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Ausschuss für Wirtschaft und Währung</w:t>
      </w:r>
      <w:r>
        <w:rPr>
          <w:rStyle w:val="HideTWBExt"/>
        </w:rPr>
        <w:t>&lt;/Commission&gt;</w:t>
      </w:r>
    </w:p>
    <w:p>
      <w:pPr>
        <w:pStyle w:val="LineBottom"/>
      </w:pPr>
      <w:r>
        <w:t xml:space="preserve"> </w:t>
      </w:r>
    </w:p>
    <w:p>
      <w:pPr>
        <w:pStyle w:val="CoverReference"/>
      </w:pPr>
      <w:r>
        <w:rPr>
          <w:rStyle w:val="HideTWBExt"/>
        </w:rPr>
        <w:t>&lt;RefProc&gt;</w:t>
      </w:r>
      <w:r>
        <w:t>2025/2072</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{13/06/2025}</w:t>
      </w:r>
      <w:r>
        <w:t>13.6.2025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459</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Jorge Martín Frías</w:t>
      </w:r>
      <w:r>
        <w:rPr>
          <w:rStyle w:val="HideTWBExt"/>
        </w:rPr>
        <w:t>&lt;/Rapporteur&gt;</w:t>
      </w:r>
    </w:p>
    <w:p>
      <w:pPr>
        <w:pStyle w:val="CoverNormal24a"/>
      </w:pPr>
      <w:r>
        <w:rPr>
          <w:rStyle w:val="HideTWBExt"/>
        </w:rPr>
        <w:t>&lt;DocRefPE&gt;</w:t>
      </w:r>
      <w:r>
        <w:t>(PE772.123v01-00)</w:t>
      </w:r>
      <w:r>
        <w:rPr>
          <w:rStyle w:val="HideTWBExt"/>
        </w:rPr>
        <w:t>&lt;/DocRefPE&gt;</w:t>
      </w:r>
    </w:p>
    <w:p>
      <w:pPr>
        <w:pStyle w:val="CoverNormal"/>
      </w:pPr>
      <w:r>
        <w:rPr>
          <w:rStyle w:val="HideTWBExt"/>
        </w:rPr>
        <w:t>&lt;Titre&gt;</w:t>
      </w:r>
      <w:r>
        <w:t>Zugang zu Finanzmitteln für KMU und expandierende Jungunternehmen</w:t>
      </w:r>
      <w:r>
        <w:rPr>
          <w:rStyle w:val="HideTWBExt"/>
        </w:rPr>
        <w:t>&lt;/Titre&gt;</w:t>
      </w:r>
    </w:p>
    <w:p>
      <w:pPr>
        <w:pStyle w:val="CoverNormal24a"/>
      </w:pPr>
      <w:r>
        <w:rPr>
          <w:rStyle w:val="HideTWBExt"/>
        </w:rPr>
        <w:t>&lt;DocRef&gt;</w:t>
      </w:r>
      <w:r>
        <w:t>(2025/2072(INI))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Mitteilung der Kommission vom 29. Januar 2025 mit dem Titel „Ein Kompass für eine wettbewerbsfähige EU“ (COM(2025)0030),</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Veröffentlichung von Kommissionspräsidentin Ursula von der Leyen vom 18. Juli 2024 mit dem Titel „Europa hat die Wahl – politische Leitlinien für die nächste Europäische Kommission 2024-2029“,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von Mario Draghi vom 9. September 2024 mit dem Titel „The future of European competitiveness“ (Die Zukunft der Wettbewerbsfähigkeit Europas) (Draghi-Bericht),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von Enrico Letta vom 17. April 2024 mit dem Titel „Much more than a market“ (Viel mehr als ein Markt) (Letta-Bericht),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von Christian Noyer vom 25. April 2024 mit dem Titel „Developing European capital markets to finance the future“ (Entwicklung der europäischen Kapitalmärkte zur Finanzierung der Zukunft),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Erklärung der Euro-Gruppe im inklusiven Format vom 11. März 2024 zur Zukunft der Kapitalmarktunion,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übergeordneten Fahrplan vom Mai 2024 als Folgemaßnahme zur Erklärung der Euro-Gruppe im inklusiven Format zur Zukunft der Kapitalmarktunion,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Schlussfolgerungen des Europäischen Rates vom 17. und 18. April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Erklärung der Europäischen Aufsichtsbehörde für das Versicherungswesen und die betriebliche Altersversorgung vom 25. April 2024 mit dem Titel „How European insurers and pension funds can contribute to further strengthen the Capital Markets Union“ (Wie können europäische Versicherer und Pensionsfonds zur weiteren Stärkung der Kapitalmarktunion beitragen?),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Positionspapier der Europäischen Wertpapier- und Marktaufsichtsbehörde (ESMA) vom Mai 2024 mit dem Titel „Building more effective and attractive capital markets in the EU“ (Schaffung wirksamerer und attraktiverer Kapitalmärkte in der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j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Erklärung des Rates der Europäischen Zentralbank vom 7. März 2024 zur Förderung der Kapitalmarktunion,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k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29. Januar 2025 mit dem Titel „Ein Kompass für eine wettbewerbsfähige EU“ (COM(2025)0030),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l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im April 2025 veröffentlichten Bericht der Europäischen Zentralbank mit dem Titel „Survey on the Access to Finance of Enterprises in the euro area – First Quarter of 2025“ (Erhebung über den Zugang von Unternehmen in der Euro-Zone zu Finanzmitteln – erstes Quartal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m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19. März 2025 mit dem Titel „Spar- und Investitionsunion – Eine Strategie zur Förderung von Wohlstand und wirtschaftlicher Wettbewerbsfähigkeit in der EU“ (COM(2025)0124),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n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28. Mai 2025 mit dem Titel „Die EU-Start-up- und Scale-up-Strategie – Den Standort Europa wählen für Start-ups und Scale-ups“ (COM(2025)0270),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o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im Januar 2025 veröffentlichten Bericht der Kommission mit dem Titel „Survey on the access to finance of enterprises (SAFE) – Analytical report 2024“ (Erhebung über den Zugang von Unternehmen zu Finanzmitteln – Analysebericht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p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der Kommission vom 4. Juli 2024 mit dem Titel „Annual Report on European SMEs 2023/2024“ (Jahresbericht 2023/2024 über KMU in der 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q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14. Dezember 2023 zur Verbesserung von Innovation und der industriellen und technologischen Wettbewerbsfähigkeit durch ein günstiges Umfeld für Start-up-Unternehmen und expandierende Jungunternehmen,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r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12. September 2023 mit dem Titel „KMU-Entlastungspaket“ (COM(2023)0535),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s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8. Oktober 2020 zu der Weiterentwicklung der Kapitalmarktunion: Verbesserung des Zugangs zu Finanzmitteln am Kapitalmarkt, insbesondere durch KMU, und Verbesserung der Beteiligungsmöglichkeiten für Kleinanleger</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ABl. C 395 vom 29.9.2021, S. 89.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t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9. Juli 2015 zu der Schaffung einer Kapitalmarktunion,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u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gestützt auf Artikel 55 seiner Geschäftsordnung,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 v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des Ausschusses für Wirtschaft und Währung (A10-0000/2025),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Erklärung von Budapest, die am 8. November 2024 auf der informellen Tagung der Staats- und Regierungschefs angenommen wurde,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Veröffentlichung von Kommissionspräsidentin von der Leyen vom 18. Juli 2024 mit dem Titel „Europa hat die Wahl – politische Leitlinien für die nächste Europäische Kommission 2024-2029“,</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im April 2025 veröffentlichten Bericht der Europäischen Zentralbank mit dem Titel „Survey on the Access to Finance of Enterprises in the euro area – First Quarter of 2025“ (Erhebung über den Zugang von Unternehmen in der Euro-Zone zu Finanzmitteln – erstes Quartal 2025),</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Mitteilung der Kommission vom 19. März 2025 mit dem Titel „Spar- und Investitionsunion – Eine Strategie zur Förderung von Wohlstand und wirtschaftlicher Wettbewerbsfähigkeit in der EU“ (COM(2025)0124),</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28. Mai 2025 mit dem Titel „Die EU-Start-up- und Scale-up-Strategie – Den Standort Europa wählen für Start-ups und Scale-ups“ (COM(2025)0270),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21. Mai 2025 mit dem Titel: „Der Binnenmarkt:</w:t>
            </w:r>
            <w:r>
              <w:t xml:space="preserve"> </w:t>
            </w:r>
            <w:r>
              <w:rPr>
                <w:b/>
                <w:i/>
              </w:rPr>
              <w:t>unser europäischer Heimatmarkt in einer unsicheren Welt – Eine Strategie für einen einfachen, nahtlosen und starken Binnenmarkt“ (COM(2025)0500),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im Januar 2025 veröffentlichten Bericht der Kommission mit dem Titel „Survey on the access to finance of enterprises (SAFE) – Analytical report 2024“ (Erhebung über den Zugang von Unternehmen zu Finanzmitteln – Analysebericht 2024),</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im September 2024 veröffentlichten Bericht von Mario Draghi mit dem Titel „The future of European competitiveness“ (Die Zukunft der Wettbewerbsfähigkeit Europas, „Draghi-Bericht“),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Bericht der Kommission vom 4. Juli 2024 mit dem Titel „Annual Report on European SMEs 2023/2024“ (Jahresbericht 2023/2024 über KMU in der Union),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von Enrico Letta im April 2024 vorgelegten Bericht mit dem Titel „Much more than a market“ (Viel mehr als ein Markt),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Schlussfolgerungen der Sondertagung des Europäischen Rates vom 17. und 18. April 2024,</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seine Entschließung vom 14. Dezember 2023 zur Verbesserung von Innovation und der industriellen und technologischen Wettbewerbsfähigkeit durch ein günstiges Umfeld für Start-up-Unternehmen und expandierende Jungunternehmen</w:t>
            </w:r>
            <w:r>
              <w:rPr>
                <w:b/>
                <w:i/>
                <w:vertAlign w:val="superscript"/>
              </w:rPr>
              <w:t>1</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w:t>
            </w:r>
            <w:r>
              <w:t xml:space="preserve"> </w:t>
            </w:r>
            <w:r>
              <w:rPr>
                <w:b/>
                <w:i/>
              </w:rPr>
              <w:t>ABl. C, C/2024/4182, 2.8.2024, ELI:</w:t>
            </w:r>
            <w:r>
              <w:t xml:space="preserve"> </w:t>
            </w:r>
            <w:r>
              <w:rPr>
                <w:b/>
                <w:i/>
              </w:rPr>
              <w:t>http://data.europa.eu/eli/C/2024/4182/oj.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die Mitteilung der Kommission vom 12. September 2023 mit dem Titel „KMU-Entlastungspaket“ (COM(2023)0535),</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gestützt auf Artikel 55 seiner Geschäftsordnung,</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Bericht des Ausschusses für Wirtschaft und Währung (A10-0000/2025),</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des Internationalen Währungsfonds vom Oktober 2024 über den regionalen Wirtschaftsausblick für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EU-Start-up- und Scale-up-Strategie der Kommission, die am 28. Mai 2025 veröffentlicht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Mitteilung der Kommission vom 21. Mai 2025 mit dem Titel: „Der Binnenmarkt:</w:t>
            </w:r>
            <w:r>
              <w:t xml:space="preserve"> </w:t>
            </w:r>
            <w:r>
              <w:rPr>
                <w:b/>
                <w:i/>
              </w:rPr>
              <w:t>unser europäischer Heimatmarkt in einer unsicheren Welt – Eine Strategie für einen einfachen, nahtlosen und starken Binnenmarkt“,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in der Erwägung, dass Kleinstunternehmen sowie kleine und mittlere Unternehmen (KKMU) das Rückgrat der europäischen Unternehmen bilden, wobei 99,8 % aller Unternehmen, 65,2 % der Beschäftigung und 53,1 % der Wertschöpfung in der nichtfinanziellen Wirtschaft in der EU 2023 auf KMU entfielen</w:t>
            </w:r>
            <w:r>
              <w:rPr>
                <w:b/>
                <w:i/>
                <w:vertAlign w:val="superscript"/>
              </w:rPr>
              <w:t>2</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Katsinis, A., Lagüera-González, J., Di Bella, L., Odenthal, L., Hell, M., Lozar, B., „Annual Report on European SMEs 2023/2024“, Amt für Veröffentlichungen der Europäischen Union,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in der Erwägung, dass Kleinstunternehmen sowie kleine und mittlere Unternehmen (KKMU) das Rückgrat der europäischen Unternehmen bilden, wobei 99,8 % aller Unternehmen, 65,2 % der Beschäftigung und 53,1 % der Wertschöpfung in der nichtfinanziellen Wirtschaft in der EU 2023 auf KMU entfielen</w:t>
            </w:r>
            <w:r>
              <w:rPr>
                <w:b/>
                <w:i/>
                <w:vertAlign w:val="superscript"/>
              </w:rPr>
              <w:t>2</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Katsinis, A., Lagüera-González, J., Di Bella, L., Odenthal, L., Hell, M., Lozar, B., „Annual Report on European SMEs 2023/2024“, Amt für Veröffentlichungen der Europäischen Union,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es nach der derzeit von der Europäischen Union verwendeten Definition mehr als 23 Millionen KMU gibt, die mehr als 99 % der in dem Gebiet tätigen Unternehmen ausmachen, zwischen 90 und 100 Millionen Menschen beschäftigen und in Bezug auf wirtschaftliche Widerstandsfähigkeit, regionalen Zusammenhalt und Innovation eine entscheidende Rolle spielen;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es notwendig ist, ein stabiles Regelungsumfeld zu fördern, das privaten Investitionen förderlich ist, und den Zugang zu Finanzmitteln durch eine integrierte Spar- und Investitionsunion zu verbessern, um das Potenzial für Wachstum, Innovation und die Schaffung von Arbeitsplätzen voll auszuschöpfen;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KMU das Rückgrat der Wirtschaft der Union bilden, da sie 99 % aller Unternehmen in der Union ausmachen, in ihnen etwa 100 Mio. Menschen beschäftigt sind und sie mehr als die Hälfte des Bruttoinlandsprodukts der Union erwirtschaften;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die EU insgesamt und insbesondere ihre größten Volkswirtschaften derzeit mit einem erheblichen Konjunkturrückgang und Problemen für Unternehmen konfrontiert sind, die gegenüber China und den USA an Wettbewerbsfähigkeit verlieren;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in der Erwägung, dass die KMU in Europa in Bezug auf Geschäftsbereich, Standort, Eigentum und Innovationskapazität unterschiedlich sind und daher mit unterschiedlichen Herausforderungen und unterschiedlichem Finanzierungsbedarf konfrontiert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in der Erwägung, dass die KMU in Europa in Bezug auf Geschäftsbereich, Standort, Eigentum und Innovationskapazität unterschiedlich sind und daher mit unterschiedlichen Herausforderungen und unterschiedlichem Finanzierungsbedarf konfrontiert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die KMU in Europa in Bezug auf Geschäftsbereich, Standort, Eigentum und Innovationskapazität unterschiedlich sind und daher mit unterschiedlichen Herausforderungen und unterschiedlichem Finanzierungsbedarf konfrontiert sind;</w:t>
            </w:r>
          </w:p>
        </w:tc>
        <w:tc>
          <w:tcPr>
            <w:tcW w:w="4876" w:type="dxa"/>
            <w:tcBorders>
              <w:top w:val="nil"/>
              <w:left w:val="nil"/>
              <w:bottom w:val="nil"/>
              <w:right w:val="nil"/>
            </w:tcBorders>
          </w:tcPr>
          <w:p>
            <w:pPr>
              <w:pStyle w:val="Normal6a"/>
            </w:pPr>
            <w:r>
              <w:t>B.</w:t>
            </w:r>
            <w:r>
              <w:tab/>
            </w:r>
            <w:r>
              <w:t xml:space="preserve">in der Erwägung, dass die KMU in Europa in Bezug auf Geschäftsbereich, Standort, </w:t>
            </w:r>
            <w:r>
              <w:rPr>
                <w:b/>
                <w:i/>
              </w:rPr>
              <w:t>Branche,</w:t>
            </w:r>
            <w:r>
              <w:t xml:space="preserve"> Eigentum</w:t>
            </w:r>
            <w:r>
              <w:rPr>
                <w:b/>
                <w:i/>
              </w:rPr>
              <w:t>, Finanzierungsbedarf</w:t>
            </w:r>
            <w:r>
              <w:t xml:space="preserve"> und Innovationskapazität unterschiedlich sind und daher mit unterschiedlichen Herausforderungen und unterschiedlichem Finanzierungsbedarf konfrontiert sind;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 der Erwägung, dass die KMU in Europa in Bezug auf Geschäftsbereich, Standort, Eigentum und Innovationskapazität unterschiedlich sind und daher mit unterschiedlichen Herausforderungen und unterschiedlichem Finanzierungsbedarf konfrontiert sind;</w:t>
            </w:r>
          </w:p>
        </w:tc>
        <w:tc>
          <w:tcPr>
            <w:tcW w:w="4876" w:type="dxa"/>
            <w:tcBorders>
              <w:top w:val="nil"/>
              <w:left w:val="nil"/>
              <w:bottom w:val="nil"/>
              <w:right w:val="nil"/>
            </w:tcBorders>
          </w:tcPr>
          <w:p>
            <w:pPr>
              <w:pStyle w:val="Normal6a"/>
            </w:pPr>
            <w:r>
              <w:t>B.</w:t>
            </w:r>
            <w:r>
              <w:tab/>
            </w:r>
            <w:r>
              <w:t>in der Erwägung, dass die KMU in Europa in Bezug auf Geschäftsbereich, Standort</w:t>
            </w:r>
            <w:r>
              <w:rPr>
                <w:b/>
                <w:i/>
              </w:rPr>
              <w:t>, Geschäftsmodell</w:t>
            </w:r>
            <w:r>
              <w:t>, Eigentum und Innovationskapazität unterschiedlich sind und daher mit unterschiedlichen Herausforderungen und unterschiedlichem Finanzierungsbedarf konfrontiert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von der Europäischen Union verwendete Definition für KMU nicht der Realität des Marktes entspricht, da Familienunternehmen und Unternehmen mit 250 Beschäftigten und einem Jahresumsatz von höchstens 50 Mio. EUR oder einer Jahresbilanzsumme von höchstens 43 Mio. EUR unter dieselbe Definition fallen, wodurch „echte“ KMU unzureichend geschützt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innovative Start-up-Unternehmen und expandierende Jungunternehmen oft flexibler sind, wenn es darum geht, neue Lösungen und Technologien anzubieten, um den unmittelbaren Bedarf im Zusammenhang mit der Verringerung der CO</w:t>
            </w:r>
            <w:r>
              <w:rPr>
                <w:b/>
                <w:i/>
                <w:vertAlign w:val="subscript"/>
              </w:rPr>
              <w:t>2</w:t>
            </w:r>
            <w:r>
              <w:rPr>
                <w:b/>
                <w:i/>
              </w:rPr>
              <w:t>-Emissionen und Umweltmaßnahmen zu decken, wodurch vielen neuen Unternehmen ein bedeutender Wettbewerbsfähigkeits- und Wachstumspfad offensteht;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ein wesentlicher Grund dafür, dass die Europäische Union gegenüber ihren chinesischen und amerikanischen Wettbewerbern zurückbleibt, die Schwierigkeit ihrer Unternehmen ist, Finanzmittel zu erhalten, insbesondere für kleine und mittlere Unternehmen, deren Wachstum Expansion erfordert;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die meisten europäischen KMU vor allem auf nationaler Ebene tätig sind;</w:t>
            </w:r>
            <w:r>
              <w:t xml:space="preserve"> </w:t>
            </w:r>
            <w:r>
              <w:rPr>
                <w:b/>
                <w:i/>
              </w:rPr>
              <w:t>in der Erwägung, dass relativ wenige KMU in der EU grenzübergreifend tätig sind und nur eine Minderheit von KMU in Nicht-EU-Länder exportiert;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sich KMU in den östlichen Grenzregionen aufgrund der Aggression Russlands gegen die Ukraine und ihrer wirtschaftlichen Folgen in einer besonders schwierigen Lage befinden;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 der Erwägung, dass die Beschränkungen während der COVID-19-Pandemie KMU besonders hart getroffen haben und ihre Folgen nach wie vor offensichtlich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in der Erwägung, dass aus dem Draghi-Bericht hervorgeht, dass regulatorische Hindernisse und Verwaltungslasten zu den größten Herausforderungen für KMU gehören, und darin empfohlen wird, KMU aus Gründen der Verhältnismäßigkeit von Vorschriften auszunehmen;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in der Erwägung, dass aus dem Draghi-Bericht hervorgeht, dass regulatorische Hindernisse und Verwaltungslasten zu den größten Herausforderungen für KMU gehören, und darin empfohlen wird, KMU aus Gründen der Verhältnismäßigkeit von Vorschriften auszunehmen;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aus dem Draghi-Bericht hervorgeht, dass regulatorische Hindernisse und Verwaltungslasten zu den größten Herausforderungen für KMU gehören, und darin empfohlen wird, KMU aus Gründen der Verhältnismäßigkeit </w:t>
            </w:r>
            <w:r>
              <w:rPr>
                <w:b/>
                <w:i/>
              </w:rPr>
              <w:t>von Vorschriften auszunehmen</w:t>
            </w:r>
            <w:r>
              <w:t>;</w:t>
            </w:r>
          </w:p>
        </w:tc>
        <w:tc>
          <w:tcPr>
            <w:tcW w:w="4876" w:type="dxa"/>
            <w:tcBorders>
              <w:top w:val="nil"/>
              <w:left w:val="nil"/>
              <w:bottom w:val="nil"/>
              <w:right w:val="nil"/>
            </w:tcBorders>
          </w:tcPr>
          <w:p>
            <w:pPr>
              <w:pStyle w:val="Normal6a"/>
            </w:pPr>
            <w:r>
              <w:t>C.</w:t>
            </w:r>
            <w:r>
              <w:tab/>
            </w:r>
            <w:r>
              <w:t xml:space="preserve">in der Erwägung, dass aus dem Draghi-Bericht hervorgeht, dass regulatorische Hindernisse und Verwaltungslasten zu den größten Herausforderungen für KMU gehören, und darin empfohlen wird, </w:t>
            </w:r>
            <w:r>
              <w:rPr>
                <w:b/>
                <w:i/>
              </w:rPr>
              <w:t>die Belastung von</w:t>
            </w:r>
            <w:r>
              <w:t xml:space="preserve"> KMU aus Gründen der Verhältnismäßigkeit </w:t>
            </w:r>
            <w:r>
              <w:rPr>
                <w:b/>
                <w:i/>
              </w:rPr>
              <w:t>zu verringern, wobei dies immer noch innerhalb eines Rahmens erfolgen muss, der ihnen Sicherheit und Stabilität bietet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in der Erwägung, dass aus dem Draghi-Bericht hervorgeht, dass regulatorische Hindernisse und Verwaltungslasten zu den größten Herausforderungen für KMU gehören</w:t>
            </w:r>
            <w:r>
              <w:rPr>
                <w:b/>
                <w:i/>
              </w:rPr>
              <w:t>, und darin empfohlen wird, KMU aus Gründen der Verhältnismäßigkeit von Vorschriften auszunehmen</w:t>
            </w:r>
            <w:r>
              <w:t>;</w:t>
            </w:r>
          </w:p>
        </w:tc>
        <w:tc>
          <w:tcPr>
            <w:tcW w:w="4876" w:type="dxa"/>
            <w:tcBorders>
              <w:top w:val="nil"/>
              <w:left w:val="nil"/>
              <w:bottom w:val="nil"/>
              <w:right w:val="nil"/>
            </w:tcBorders>
          </w:tcPr>
          <w:p>
            <w:pPr>
              <w:pStyle w:val="Normal6a"/>
            </w:pPr>
            <w:r>
              <w:t>C.</w:t>
            </w:r>
            <w:r>
              <w:tab/>
            </w:r>
            <w:r>
              <w:t>in der Erwägung, dass aus dem Draghi-Bericht hervorgeht, dass regulatorische Hindernisse und Verwaltungslasten zu den größten Herausforderungen für KMU gehören;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nach Angaben der Europäischen Zentralbank etwa 80 % der Außenfinanzierung europäischer Unternehmen von Banken stammen und 20 % von den Kapitalmärkten;</w:t>
            </w:r>
            <w:r>
              <w:t xml:space="preserve"> </w:t>
            </w:r>
            <w:r>
              <w:rPr>
                <w:b/>
                <w:i/>
              </w:rPr>
              <w:t>in der Erwägung, dass in den Vereinigten Staaten nur 30 % der Kredite an Unternehmen von Banken vergeben werden, während 70 % über Kapitalmärkte finanziert werden, etwa durch Unternehmensanleihen oder Aktienemissionen;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die stärkere Mobilisierung privater Finanzmittel verschiedene Schritte erfordert, wie die Beschleunigung der Agenda für die Kapitalmarktunion, wobei der Schwerpunkt auf der Verbesserung des Zugangs zu Risikokapital und Beteiligungsfinanzierung, insbesondere für innovative Unternehmen, liegen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laut dem Draghi-Bericht mehr als 60 % der Unternehmen in der EU Regulierung als Hindernis für Investitionen ansehen, wobei 55 % der KMU regulatorische Hindernisse und den Verwaltungsaufwand als ihre größte Herausforderung nennen;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es vor allem in der Gründungsphase für Start-up-Unternehmen und Kleinstunternehmen schwer ist, angemessene Finanzmittel zu erhalten und die rechtlichen Anforderungen im Finanzbereich sowohl in Erfahrung zu bringen als auch zu erfüllen;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die Deregulierung KMU keine Vorteile bringt, da sie es den größten und aggressivsten Unternehmen auf dem Markt ermöglicht, kleinere Aktivitäten zu erdrücken;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in der Erwägung, dass ein einfacherer, berechenbarerer und wettbewerbsfähigerer Regelungsrahmen für KMU von entscheidender Bedeutung ist, damit sie in einer Marktwirtschaft florieren können;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in der Erwägung, dass der Großteil der KMU-Finanzierung in der EU von Banken bereitgestellt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 der Erwägung, dass die Kommission den Zugang zu Finanzmitteln für KMU verbessern möchte, um den Umfang zu erhöhen, Ineffizienzen zu verringern und die Interoperabilität zu fördern, und das Ziel gesetzt hat, den Meldeaufwand für KMU um mindestens 35 % zu verringern, und in Folgenabschätzungen einen neuen Check-up der Wettbewerbsfähigkeit von KMU angekündigt hat;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in der Erwägung, dass die Kommission den Zugang zu Finanzmitteln für KMU verbessern möchte, um den Umfang zu erhöhen, Ineffizienzen zu verringern und die Interoperabilität zu fördern, und das Ziel gesetzt hat, den Meldeaufwand für KMU um mindestens 35 % zu verringern, und in Folgenabschätzungen einen neuen Check-up der Wettbewerbsfähigkeit von KMU angekündigt hat;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 der Erwägung, dass die Kommission den Zugang zu Finanzmitteln für KMU verbessern möchte, um den Umfang zu erhöhen, Ineffizienzen zu verringern und die Interoperabilität zu fördern, und das Ziel gesetzt hat, den Meldeaufwand für KMU um mindestens 35 % zu verringern, und </w:t>
            </w:r>
            <w:r>
              <w:rPr>
                <w:b/>
                <w:i/>
              </w:rPr>
              <w:t>in Folgenabschätzungen</w:t>
            </w:r>
            <w:r>
              <w:t xml:space="preserve"> einen neuen Check-up der Wettbewerbsfähigkeit von KMU angekündigt hat;</w:t>
            </w:r>
          </w:p>
        </w:tc>
        <w:tc>
          <w:tcPr>
            <w:tcW w:w="4876" w:type="dxa"/>
            <w:tcBorders>
              <w:top w:val="nil"/>
              <w:left w:val="nil"/>
              <w:bottom w:val="nil"/>
              <w:right w:val="nil"/>
            </w:tcBorders>
          </w:tcPr>
          <w:p>
            <w:pPr>
              <w:pStyle w:val="Normal6a"/>
            </w:pPr>
            <w:r>
              <w:t>D.</w:t>
            </w:r>
            <w:r>
              <w:tab/>
            </w:r>
            <w:r>
              <w:t xml:space="preserve">in der Erwägung, dass die Kommission den Zugang zu </w:t>
            </w:r>
            <w:r>
              <w:rPr>
                <w:b/>
                <w:i/>
              </w:rPr>
              <w:t>– insbesondere privaten –</w:t>
            </w:r>
            <w:r>
              <w:t xml:space="preserve"> Finanzmitteln für KMU verbessern möchte, um den Umfang zu erhöhen, Ineffizienzen zu verringern</w:t>
            </w:r>
            <w:r>
              <w:rPr>
                <w:b/>
                <w:i/>
              </w:rPr>
              <w:t>, die starke Abhängigkeit von Krediten zu beenden</w:t>
            </w:r>
            <w:r>
              <w:t xml:space="preserve"> und die Interoperabilität zu fördern, und das Ziel gesetzt hat, den Meldeaufwand für KMU um mindestens 35 % zu verringern, und einen neuen Check-up der Wettbewerbsfähigkeit von KMU </w:t>
            </w:r>
            <w:r>
              <w:rPr>
                <w:b/>
                <w:i/>
              </w:rPr>
              <w:t>in Folgenabschätzungen</w:t>
            </w:r>
            <w:r>
              <w:t xml:space="preserve"> angekündigt hat;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ein gut entwickeltes Risikokapital-Ökosystem – das in der EU immer noch fehlt – innovative Start-up-Unternehmen fördern und KMU und expandierenden Jungunternehmen die notwendigen Finanzmittel bereitstellen kann, damit sie wachsen und wettbewerbsfähig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der Berichterstattungsaufwand, der derzeit verringert werden muss, um KMU zu schützen, im Rahmen des europäischen Grünen Deals und des diskreditierten Konzepts einer grünen Führungsrolle der EU eingeführt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die derzeitige Investitionslandschaft in der EU fragmentiert ist und erhebliche Unterschiede beim Zugang zu privaten Finanzmitteln aufweist, insbesondere für innovative und wachstumsstarke Unternehmen;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aggressive Steuerplanungsstrategien multinationaler Unternehmen, die unterschiedliche nationale Steuersysteme ausnutzen, zu unlauterem Wettbewerb führen, durch den europäische KMU benachteiligt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Jorge Martín Frías, 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in der Erwägung, dass die Kommission eine Strategie für Start-up-Unternehmen und expandierende Jungunternehmen veröffentlicht hat;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in der Erwägung, dass innovative expandierende Jungunternehmen und KMU von entscheidender Bedeutung sind, damit die EU in strategischen Sektoren, einschließlich digitaler Technologien, sauberer Technologien und Verteidigungsfähigkeiten, wettbewerbsfähig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in der Erwägung, dass es in Europa an einem dynamischeren und günstigeren Umfeld für die Expansion innovativer Unternehmen mangelt, was dazu führt, dass fast 30 % der „Einhörner“ ins Ausland umgesiedelt werden</w:t>
            </w:r>
            <w:r>
              <w:rPr>
                <w:b/>
                <w:i/>
                <w:vertAlign w:val="superscript"/>
              </w:rPr>
              <w:t>3</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Draghi, Mario, „Die Zukunft der Wettbewerbsfähigkeit Europas“,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in der Erwägung, dass es in Europa an einem dynamischeren und günstigeren Umfeld für die Expansion innovativer Unternehmen mangelt, was dazu führt, dass fast 30 % der „Einhörner“ ins Ausland umgesiedelt werden</w:t>
            </w:r>
            <w:r>
              <w:rPr>
                <w:b/>
                <w:i/>
                <w:vertAlign w:val="superscript"/>
              </w:rPr>
              <w:t>3</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Draghi, Mario, „Die Zukunft der Wettbewerbsfähigkeit Europas“,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es in Europa an einem dynamischeren und günstigeren Umfeld für die Expansion innovativer Unternehmen mangelt, was dazu führt, dass </w:t>
            </w:r>
            <w:r>
              <w:rPr>
                <w:b/>
                <w:i/>
              </w:rPr>
              <w:t>fast 30 % der „</w:t>
            </w:r>
            <w:r>
              <w:t>Einhörner</w:t>
            </w:r>
            <w:r>
              <w:rPr>
                <w:b/>
                <w:i/>
              </w:rPr>
              <w:t>“ ins Ausland umgesiedelt werden</w:t>
            </w:r>
            <w:r>
              <w:rPr>
                <w:b/>
                <w:i/>
                <w:vertAlign w:val="superscript"/>
              </w:rPr>
              <w:t>3</w:t>
            </w:r>
            <w:r>
              <w:t>;</w:t>
            </w:r>
          </w:p>
        </w:tc>
        <w:tc>
          <w:tcPr>
            <w:tcW w:w="4876" w:type="dxa"/>
            <w:tcBorders>
              <w:top w:val="nil"/>
              <w:left w:val="nil"/>
              <w:bottom w:val="nil"/>
              <w:right w:val="nil"/>
            </w:tcBorders>
          </w:tcPr>
          <w:p>
            <w:pPr>
              <w:pStyle w:val="Normal6a"/>
            </w:pPr>
            <w:r>
              <w:t>E.</w:t>
            </w:r>
            <w:r>
              <w:tab/>
            </w:r>
            <w:r>
              <w:t xml:space="preserve">in der Erwägung, dass es in Europa an einem dynamischeren und günstigeren Umfeld für die Expansion innovativer Unternehmen mangelt, was dazu führt, dass </w:t>
            </w:r>
            <w:r>
              <w:rPr>
                <w:b/>
                <w:i/>
              </w:rPr>
              <w:t>dem Draghi-Bericht zufolge in Europa zwischen 2008 und 2021 147</w:t>
            </w:r>
            <w:r>
              <w:t xml:space="preserve"> Einhörner </w:t>
            </w:r>
            <w:r>
              <w:rPr>
                <w:b/>
                <w:i/>
              </w:rPr>
              <w:t>gegründet wurden, von denen 40 ihren Sitz in Drittländer, hauptsächlich in die Vereinigten Staaten, verlagert haben</w:t>
            </w:r>
            <w:r>
              <w:t xml:space="preserve">; </w:t>
            </w:r>
            <w:r>
              <w:rPr>
                <w:b/>
                <w:i/>
              </w:rPr>
              <w:t>in der Erwägung, dass der bürokratische Aufwand in Europa auf rund 150.000 Mrd. EUR (1,3 % des BIP pro Jahr) geschätzt wird und dass die Fragmentierung des Binnenmarkts nach Schätzungen des IWF die gleiche Wirkung hat wie ein Zoll von 100 %;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Draghi, Mario, „Die Zukunft der Wettbewerbsfähigkeit Europas“,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Start-up-Unternehmen und expandierende Jungunternehmen in der Regel über begrenzte personelle Ressourcen verfügen und nur in einem vergleichsweise begrenzten Umfang imstande sind, komplexe Regulierungsvorschriften oder Finanzierungsverfahren einzuhalten;</w:t>
            </w:r>
            <w:r>
              <w:t xml:space="preserve"> </w:t>
            </w:r>
            <w:r>
              <w:rPr>
                <w:b/>
                <w:i/>
              </w:rPr>
              <w:t>in der Erwägung, dass sich ihre Geschäftsanforderungen und spezifischen Herausforderungen oft von denen der etablierten kleinen und mittleren Unternehmen (KMU) unterscheiden;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im Draghi-Bericht ein strukturelles Defizit bei der Technologieverbreitung und der Zwischeninnovation in der europäischen Wirtschaft festgestellt wird, die sich insbesondere auf KMU auswirkt und ihre Expansionsfähigkeit einschränkt;</w:t>
            </w:r>
            <w:r>
              <w:t xml:space="preserve"> </w:t>
            </w:r>
            <w:r>
              <w:rPr>
                <w:b/>
                <w:i/>
              </w:rPr>
              <w:t>in der Erwägung, dass in dem Bericht betont wird, dass der Großteil der Investitionen in die Wettbewerbsfähigkeit aus dem Privatsektor stammen muss;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in dem Bericht festgestellt wird, dass in den letzten 50 Jahren kein Unternehmen in der Union mit einer Marktkapitalisierung von über 100 Mrd. EUR als neues Unternehmen gegründet wurde, während im selben Zeitraum in den Vereinigten Staaten sechs US-amerikanische Unternehmen gegründet wurden, deren Wert mehr als eine Billion US-Dollar beträgt;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die EIB-Gruppe aus der EIB und dem Europäischen Investitionsfonds (EIF) besteht;</w:t>
            </w:r>
            <w:r>
              <w:t xml:space="preserve"> </w:t>
            </w:r>
            <w:r>
              <w:rPr>
                <w:b/>
                <w:i/>
              </w:rPr>
              <w:t>in der Erwägung, dass die EIB die größte multilaterale Finanzinstitution der Welt ist und eine entscheidende Rolle bei der Finanzierung von Projekten spielt, die Wirtschaftswachstum und Innovation in der gesamten Union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KMU unverhältnismäßig anfällig für externe Schocks wie Finanzkrisen, geopolitische Instabilität oder den ökologischen und den digitalen Wandel sind, dass sie aber wesentliche Akteure für die Förderung eines inklusiven und nachhaltigen Wachstums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laut dem Regionalen Wirtschaftsausblick für Europa des IWF vom Oktober 2024 „Schattenzölle“ im EU-Binnenmarkt auf etwa 45 % für den Warenhandel und 110 % für den Handel mit Dienstleistungen geschätzt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die Kommission beabsichtigt, eine 28. Rechtsordnung vorzuschlagen, mit der die geltenden Vorschriften vereinfacht und die Kosten eines Scheiterns gesenkt werden und die alle relevanten Elemente des Gesellschafts-, Insolvenz-, Arbeits- und Steuerrechts einschließt;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es der EU nach wie vor an einer vollständig integrierten und effizienten Kapitalmarktunion mangelt, wodurch KMU und expandierende Jungunternehmen daran gehindert werden, grenzüberschreitend Zugang zu verschiedenen privaten Finanzierungsquellen zu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die beiden größten Finanzierungslücken für europäische saubere Technologien darin bestehen, Eigenkapital in der Früh- und Spätphase sowie Schulden oder Kredite in der Spätphase zu erhöhen, um expandieren zu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in der Erwägung, dass die marktgesteuerte Wirtschaft für die Förderung von Innovation, Wachstum und Investitionen von wesentlicher Bedeutung ist und dass die Einhaltung dieses Grundsatzes für die wirtschaftliche Wettbewerbsfähigkeit Europas entscheidend ist;</w:t>
            </w:r>
            <w:r>
              <w:t xml:space="preserve"> </w:t>
            </w:r>
            <w:r>
              <w:rPr>
                <w:b/>
                <w:i/>
              </w:rPr>
              <w:t>in der Erwägung, dass privates Kapital in einer marktgesteuerten Wirtschaft eine zentrale Rolle bei der Förderung von Innovation, Unternehmertum und der Schaffung neuer Arbeitsplätze spielt, was für die Entwicklung des Risikokapitalsektors von besonderer Bedeutung ist;</w:t>
            </w:r>
            <w:r>
              <w:t xml:space="preserve"> </w:t>
            </w:r>
            <w:r>
              <w:rPr>
                <w:b/>
                <w:i/>
              </w:rPr>
              <w:t>in der Erwägung, dass trotz der starken Sparbasis in Europa private Investitionen, insbesondere in Risikokapital, nach wie vor deutlich hinter denen in den Vereinigten Staaten zurückbleiben;</w:t>
            </w:r>
            <w:r>
              <w:t xml:space="preserve"> </w:t>
            </w:r>
            <w:r>
              <w:rPr>
                <w:b/>
                <w:i/>
              </w:rPr>
              <w:t>in der Erwägung, dass politische Maßnahmen, die ein freies und wettbewerbsorientiertes Marktumfeld ermöglichen, von entscheidender Bedeutung sind, um diese Lücke zu schließen und sicherzustellen, dass Europa sein wirtschaftliches Potenzial voll ausschöpfen und sowohl inländische als auch internationale Investitionen anziehen kann;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in der Erwägung, dass die Kommission verschiedene Initiativen zur Förderung von Unternehmertum, Innovation und digitalem Wandel in der EU ergriffen hat, wie die Start-up- und Scale-up-Strategie, den Öko-Innovationsanzeiger, die Wissens- und Innovationsgemeinschaften (KIC), die Europäische Plattform für Cluster-Zusammenarbeit, die digitale Dekade und die Strategie für einen digitalen Binnenmarkt sowie Finanzierungsprogramme zur Förderung von Innovation in anderen Politikbereichen;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in der Erwägung, dass das Fehlen eines einheitlichen Kapitalmarkts nicht nur den Zugang zu Finanzmitteln einschränkt, sondern auch die Fähigkeit der EU schwächt, wachstumsstarke Unternehmen zu halten, und das Risiko höherer Kapitalabflüsse in Drittländer birgt;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in der Erwägung, dass der Zugang zu Finanzmitteln nach wie vor eines der größten Hindernisse für die Entwicklung von KMU ist, insbesondere für die Expansion, den ökologischen Wandel und den digitalen Wandel;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in der Erwägung, dass institutionelle Investoren wie etwa Versicherungen durch Weitergabe und Transformation von Risiken einen wichtigen Beitrag zur KMU-Finanzierung leisten;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in der Erwägung, dass einem gut kapitalisierten Bankensektor auch weiterhin eine wichtige Rolle bei der Finanzierung von Unternehmen und insbesondere von KMU zukommen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in der Erwägung, dass eine Schwächung der Vorschriften über staatliche Beihilfen und der Wettbewerbsvorschriften in der Union die Markteintrittsbarrieren für Start-up-Unternehmen und expandierende Jungunternehmen erhöht und somit die wettbewerbsorientierte Kapitalallokation auf der Grundlage der Leistung behindert;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in der Erwägung, dass es deutliche historische Unterschiede zwischen der Investitionskultur in Europa und in anderen Regionen der Welt gibt, insbesondere in den Bereichen Risikokapital und Business-Angel-Investitionen;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in der Erwägung, dass weitere Investitionen und Fortschritte im Bereich der digitalen Infrastruktur erforderlich sind, um mit den sich wandelnden Technologien Schritt zu halten und Start-up-Unternehmen, expandierende Jungunternehmen und KMU in der EU in die Lage zu versetzen, auf globaler Ebene Vorreiter bei Innovationen zu bleiben und im Wettbewerb zu bestehen;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in der Erwägung, dass Kleinstunternehmen einen bedeutenden Anteil der europäischen KMU ausmachen und sehr häufig Schwierigkeiten haben, Zugang zu Finanzmitteln zu erhalten und sich einen umfassenden Überblick über die ihnen auf europäischer und nationaler Ebene zur Verfügung stehenden Möglichkeiten zu verschaffen;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in der Erwägung, dass es nach wie vor eine geschlechtsspezifische Diskrepanz beim Unternehmertum und beim Zugang zu Finanzmitteln für von Frauen geführte Kleinstunternehmen, kleine und mittlere Unternehmen 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in der Erwägung, dass der zusätzliche Investitionsbedarf in Europa bis 2030 im Draghi-Bericht auf insgesamt 750-800 Mrd. EUR pro Jahr geschätzt, wovon ein wesentlicher Anteil für den grünen und den digitalen Wandel benötigt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Eg.</w:t>
            </w:r>
            <w:r>
              <w:tab/>
            </w:r>
            <w:r>
              <w:rPr>
                <w:b/>
                <w:i/>
              </w:rPr>
              <w:t>in der Erwägung, dass das Fehlen eines erfolgreichen Marktes für Start-up-Unternehmen, expandierende Jungunternehmen, kleine Midcap-Unternehmen und somit auch Risikokapital hauptsächlich auf die fehlende Harmonisierung der gemeinsamen Marktvorschriften zurückzuführen ist, was verhindert, dass Wachstumsunternehmen europaweit expandieren;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Eh.</w:t>
            </w:r>
            <w:r>
              <w:tab/>
            </w:r>
            <w:r>
              <w:rPr>
                <w:b/>
                <w:i/>
              </w:rPr>
              <w:t>in der Erwägung, dass nationaler Berichterstattungs- und bürokratischer Aufwand innovativen Unternehmen den schnellen und effizienten Zugang zu Finanzmitteln auf nationaler Ebene, aber auch über europäische Grenzen hinweg erschwert;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Ei.</w:t>
            </w:r>
            <w:r>
              <w:tab/>
            </w:r>
            <w:r>
              <w:rPr>
                <w:b/>
                <w:i/>
              </w:rPr>
              <w:t>in der Erwägung, dass diese nationalen Belastungen und unterschiedlichen nationalen Vorschriften wahrscheinlich zu einer zu geringen Zahl von Unternehmen geführt haben, die expandieren können, was einen Mangel an Börsengängen, Kapital und vor allem Fachwissen aus der EU zur Folge hatte, was wiederum zu einem unterentwickelten Ökosystem für Risikokapital geführt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j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Ej.</w:t>
            </w:r>
            <w:r>
              <w:tab/>
            </w:r>
            <w:r>
              <w:rPr>
                <w:b/>
                <w:i/>
              </w:rPr>
              <w:t>in der Erwägung, dass KMU oder Midcap-Unternehmen, die einen gesellschaftlichen oder sozialen Zweck verfolgen oder zu solchen Zwecken beitragen, oft keine Finanzmittel erhalten, weshalb die Ausweitung der Kriterien, gemäß denen solche Unternehmen Finanzmittel erhalten, in die Ziele aufgenommen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Allgemeine Erwägungen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Allgemeine Erwägungen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ist der Ansicht, dass es entscheidend ist, günstige Marktbedingungen für europäische Unternehmen zu schaffen, damit sie in Europa innovativ sein, gründen, schaffen, wachsen und expandieren können, mit dem Ziel, das Potenzial unseres Marktes voll auszuschöpfen und unsere Volkswirtschaften wettbewerbsfähiger zu machen;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ist der Ansicht, dass es entscheidend ist, günstige Marktbedingungen für europäische Unternehmen zu schaffen, damit sie in Europa innovativ sein, gründen, schaffen, wachsen und expandieren können, mit dem Ziel, das Potenzial unseres Marktes voll auszuschöpfen und unsere Volkswirtschaften wettbewerbsfähiger zu machen;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ist der Ansicht, dass es entscheidend ist, günstige Marktbedingungen für europäische Unternehmen zu schaffen, damit sie in Europa innovativ sein, gründen, schaffen, wachsen und expandieren können, mit dem Ziel, das Potenzial unseres </w:t>
            </w:r>
            <w:r>
              <w:rPr>
                <w:b/>
                <w:i/>
              </w:rPr>
              <w:t>Marktes</w:t>
            </w:r>
            <w:r>
              <w:t xml:space="preserve"> voll auszuschöpfen und unsere Volkswirtschaften wettbewerbsfähiger zu machen;</w:t>
            </w:r>
          </w:p>
        </w:tc>
        <w:tc>
          <w:tcPr>
            <w:tcW w:w="4876" w:type="dxa"/>
            <w:tcBorders>
              <w:top w:val="nil"/>
              <w:left w:val="nil"/>
              <w:bottom w:val="nil"/>
              <w:right w:val="nil"/>
            </w:tcBorders>
          </w:tcPr>
          <w:p>
            <w:pPr>
              <w:pStyle w:val="Normal6a"/>
            </w:pPr>
            <w:r>
              <w:t>1.</w:t>
            </w:r>
            <w:r>
              <w:tab/>
            </w:r>
            <w:r>
              <w:t xml:space="preserve">ist der Ansicht, dass es entscheidend ist, günstige Marktbedingungen für europäische Unternehmen zu schaffen, damit sie in Europa innovativ sein, gründen, schaffen, wachsen und expandieren können, mit dem Ziel, das Potenzial unseres </w:t>
            </w:r>
            <w:r>
              <w:rPr>
                <w:b/>
                <w:i/>
              </w:rPr>
              <w:t>Binnenmarktes</w:t>
            </w:r>
            <w:r>
              <w:t xml:space="preserve"> voll auszuschöpfen</w:t>
            </w:r>
            <w:r>
              <w:rPr>
                <w:b/>
                <w:i/>
              </w:rPr>
              <w:t>, den digitalen Binnenmarkt zu vollenden</w:t>
            </w:r>
            <w:r>
              <w:t xml:space="preserve"> und unsere Volkswirtschaften </w:t>
            </w:r>
            <w:r>
              <w:rPr>
                <w:b/>
                <w:i/>
              </w:rPr>
              <w:t>produktiver und somit</w:t>
            </w:r>
            <w:r>
              <w:t xml:space="preserve"> wettbewerbsfähiger zu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ist der Ansicht, dass es entscheidend ist, günstige Marktbedingungen für europäische Unternehmen zu schaffen, damit sie in Europa innovativ sein, gründen, schaffen, wachsen und expandieren können, mit dem Ziel, das Potenzial unseres Marktes voll auszuschöpfen und unsere Volkswirtschaften wettbewerbsfähiger zu machen;</w:t>
            </w:r>
          </w:p>
        </w:tc>
        <w:tc>
          <w:tcPr>
            <w:tcW w:w="4876" w:type="dxa"/>
            <w:tcBorders>
              <w:top w:val="nil"/>
              <w:left w:val="nil"/>
              <w:bottom w:val="nil"/>
              <w:right w:val="nil"/>
            </w:tcBorders>
          </w:tcPr>
          <w:p>
            <w:pPr>
              <w:pStyle w:val="Normal6a"/>
            </w:pPr>
            <w:r>
              <w:t>1.</w:t>
            </w:r>
            <w:r>
              <w:tab/>
            </w:r>
            <w:r>
              <w:t xml:space="preserve">ist der Ansicht, dass es entscheidend ist, günstige Marktbedingungen für europäische Unternehmen zu schaffen, damit sie in Europa innovativ sein, gründen, schaffen, wachsen und expandieren können, mit dem Ziel, das Potenzial unseres Marktes voll auszuschöpfen und unsere Volkswirtschaften wettbewerbsfähiger zu machen; </w:t>
            </w:r>
            <w:r>
              <w:rPr>
                <w:b/>
                <w:i/>
              </w:rPr>
              <w:t>bedauert, dass ein erheblicher Teil der europäischen KMU und expandierenden Jungunternehmen aufgrund der anhaltenden regulatorischen Fragmentierung, des eingeschränkten grenzüberschreitenden Zugangs zu Finanzmitteln und der unzureichenden Kapitalmarktintegration nicht in der Lage ist, das Potenzial des Binnenmarkts voll auszuschöpfen;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ist der Ansicht, dass es entscheidend ist, günstige Marktbedingungen für europäische Unternehmen zu schaffen, damit sie in Europa innovativ sein, gründen, schaffen, wachsen und expandieren können, mit dem Ziel, das Potenzial unseres Marktes voll auszuschöpfen und unsere Volkswirtschaften wettbewerbsfähiger zu machen;</w:t>
            </w:r>
          </w:p>
        </w:tc>
        <w:tc>
          <w:tcPr>
            <w:tcW w:w="4876" w:type="dxa"/>
            <w:tcBorders>
              <w:top w:val="nil"/>
              <w:left w:val="nil"/>
              <w:bottom w:val="nil"/>
              <w:right w:val="nil"/>
            </w:tcBorders>
          </w:tcPr>
          <w:p>
            <w:pPr>
              <w:pStyle w:val="Normal6a"/>
            </w:pPr>
            <w:r>
              <w:t>1.</w:t>
            </w:r>
            <w:r>
              <w:tab/>
            </w:r>
            <w:r>
              <w:t xml:space="preserve">ist der Ansicht, dass es entscheidend ist, günstige Marktbedingungen für europäische Unternehmen zu schaffen, damit sie in Europa innovativ sein, gründen, schaffen, wachsen und expandieren können, mit dem Ziel, das Potenzial unseres Marktes voll auszuschöpfen und unsere Volkswirtschaften wettbewerbsfähiger zu machen; </w:t>
            </w:r>
            <w:r>
              <w:rPr>
                <w:b/>
                <w:i/>
              </w:rPr>
              <w:t>betont, dass die Vollendung der Bankenunion auch entscheidend dazu beitragen wird, die Wettbewerbsfähigkeit und die Finanzierung von KMU in Europa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ist der Ansicht, dass es entscheidend ist, günstige Marktbedingungen für europäische Unternehmen zu schaffen, damit sie in Europa innovativ sein, gründen, schaffen, wachsen und expandieren können, mit dem Ziel, das Potenzial unseres Marktes voll auszuschöpfen und unsere Volkswirtschaften wettbewerbsfähiger zu machen;</w:t>
            </w:r>
          </w:p>
        </w:tc>
        <w:tc>
          <w:tcPr>
            <w:tcW w:w="4876" w:type="dxa"/>
            <w:tcBorders>
              <w:top w:val="nil"/>
              <w:left w:val="nil"/>
              <w:bottom w:val="nil"/>
              <w:right w:val="nil"/>
            </w:tcBorders>
          </w:tcPr>
          <w:p>
            <w:pPr>
              <w:pStyle w:val="Normal6a"/>
            </w:pPr>
            <w:r>
              <w:t>1.</w:t>
            </w:r>
            <w:r>
              <w:tab/>
            </w:r>
            <w:r>
              <w:t>ist der Ansicht, dass es entscheidend ist, günstige Marktbedingungen für europäische Unternehmen zu schaffen, damit sie in Europa innovativ sein, gründen, schaffen, wachsen und expandieren können, mit dem Ziel, das Potenzial unseres Marktes voll auszuschöpfen und unsere Volkswirtschaften wettbewerbsfähiger zu machen</w:t>
            </w:r>
            <w:r>
              <w:rPr>
                <w:b/>
                <w:i/>
              </w:rPr>
              <w:t>, während diese Unternehmen ihren Bedarf auf unserem Markt decken können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hebt hervor, dass sich die überwältigende Mehrheit der KMU aufgrund der geringen Unternehmensgröße weiterhin auf Bankdarlehen als alleinige Finanzierungsquelle stützen wird;</w:t>
            </w:r>
            <w:r>
              <w:t xml:space="preserve"> </w:t>
            </w:r>
            <w:r>
              <w:rPr>
                <w:b/>
                <w:i/>
              </w:rPr>
              <w:t>unterstützt jedoch Maßnahmen zur Diversifizierung der Finanzierungsquellen für Start-up-Unternehmen und diejenigen KMU, für die Beteiligungsfinanzierungen dank ihrer relativ großen Unternehmensgröße oder dank guter Wachstumsaussichten eine Option sein können;</w:t>
            </w:r>
            <w:r>
              <w:t xml:space="preserve"> </w:t>
            </w:r>
            <w:r>
              <w:rPr>
                <w:b/>
                <w:i/>
              </w:rPr>
              <w:t>betont, dass innovative KMU von entscheidender Bedeutung sind, um die Wettbewerbsfähigkeit und strategische Autonomie der EU zu erreichen, und betont, dass eine angemessene, diversifizierte Finanzierung erforderlich ist, um KMU, Midcap-Unternehmen sowie Start-up-Unternehmen und expandierende Jungunternehmen dabei zu unterstützen, innovativ zu sein und auf globaler Ebene im Wettbewerb zu bestehen;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erkennt an, dass sich die KMU in Bezug auf Geschäftsmodelle, Größe, Standort, sozioökonomischen Kontext, Entwicklungsstadium, Finanzstruktur, Rechtsform und Niveau der unternehmerischen Ausbildung von Mitgliedstaat zu Mitgliedstaat stark unterscheiden;</w:t>
            </w:r>
            <w:r>
              <w:t xml:space="preserve"> </w:t>
            </w:r>
            <w:r>
              <w:rPr>
                <w:b/>
                <w:i/>
              </w:rPr>
              <w:t>stellt fest, dass diese Vielfalt eher ein breites Spektrum von Finanzierungsmöglichkeiten als ein einziges Finanzierungsmodell erfordert;</w:t>
            </w:r>
            <w:r>
              <w:t xml:space="preserve"> </w:t>
            </w:r>
            <w:r>
              <w:rPr>
                <w:b/>
                <w:i/>
              </w:rPr>
              <w:t>fordert die Kommission auf, die Schaffung maßgeschneiderter Programme, Instrumente und Initiativen zu unterstützen, um Unternehmen in verschiedenen Entwicklungsstadien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bedauert zutiefst, dass anhaltende Hindernisse für den freien Kapitalfluss in der EU nach wie vor den Zugang von KMU zu Finanzmitteln behindern, die Kapitalkosten erhöhen und Innovation und Wirtschaftswachstum behindern;</w:t>
            </w:r>
            <w:r>
              <w:t xml:space="preserve"> </w:t>
            </w:r>
            <w:r>
              <w:rPr>
                <w:b/>
                <w:i/>
              </w:rPr>
              <w:t>betont, dass die Vertiefung und Vollendung der Spar- und Investitionsunion von entscheidender Bedeutung ist, um diese Hindernisse zu beseitigen und einen wirklich integrierten europäischen Kapitalmarkt zu schaffen, der die Schaffung von Arbeitsplätzen, langfristigen Wohlstand und wirtschaftliche Widerstandsfähigkeit fördert;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ist der Ansicht, dass die Kommission mehrere Programme bereitgestellt hat, um KMU den Zugang zum Finanzmarkt zu erleichtern, wie etwa den EU-Garantiefonds, das Programm „InvestEU“ und die europäischen Investitionsfonds;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hebt die Schlüsselrolle hervor, die KMU in der Wirtschaft der EU spielen, da auf sie 99,8 % aller Unternehmen und 65,2 % der Beschäftigung entfallen;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erkennt an, dass KMU mit ungleichen Finanzierungsbedingungen und -anforderungen in den Mitgliedstaaten und Regionen konfrontiert sind, insbesondere was die Verfügbarkeit und die Kosten der Finanzierung betrifft;</w:t>
            </w:r>
            <w:r>
              <w:t xml:space="preserve"> </w:t>
            </w:r>
            <w:r>
              <w:rPr>
                <w:b/>
                <w:i/>
              </w:rPr>
              <w:t>betont, dass diese Unterschiede auf Faktoren zurückzuführen sind, die für jedes KMU und das wirtschaftliche Umfeld des Landes oder der Region spezifisch sind, wie wirtschaftliche Volatilität, langsames Wachstum und größere finanzielle Fragilität;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stellt fest, dass KMU von den Krisen der letzten Jahre, insbesondere von der COVID-19-Pandemie, der Energiekrise und den wirtschaftlichen Folgen der Aggression Russlands gegen die Ukraine, besonders hart getroffen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bedauert die übermäßigen und wirtschaftlich sinnlosen Belastungen, denen KMU infolge der Umsetzung der grünen Agenda der EU und insbesondere des Grünen Deals mittelbar und unmittelbar ausgesetzt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begrüßt, dass im Anschluss an die Berichte von Draghi und Letta die Notwendigkeit eines wettbewerbsfähigeren und weniger bürokratischen Binnenmarkts anerkannt wurde;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begrüßt, dass im Anschluss an die Berichte von Draghi und Letta die Notwendigkeit eines wettbewerbsfähigeren und weniger bürokratischen Binnenmarkts anerkannt wurde;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begrüßt, dass </w:t>
            </w:r>
            <w:r>
              <w:rPr>
                <w:b/>
                <w:i/>
              </w:rPr>
              <w:t>im Anschluss an die Berichte</w:t>
            </w:r>
            <w:r>
              <w:t xml:space="preserve"> von Draghi und Letta die Notwendigkeit eines wettbewerbsfähigeren und weniger bürokratischen Binnenmarkts anerkannt </w:t>
            </w:r>
            <w:r>
              <w:rPr>
                <w:b/>
                <w:i/>
              </w:rPr>
              <w:t>wurde</w:t>
            </w:r>
            <w:r>
              <w:t>;</w:t>
            </w:r>
          </w:p>
        </w:tc>
        <w:tc>
          <w:tcPr>
            <w:tcW w:w="4876" w:type="dxa"/>
            <w:tcBorders>
              <w:top w:val="nil"/>
              <w:left w:val="nil"/>
              <w:bottom w:val="nil"/>
              <w:right w:val="nil"/>
            </w:tcBorders>
          </w:tcPr>
          <w:p>
            <w:pPr>
              <w:pStyle w:val="Normal6a"/>
            </w:pPr>
            <w:r>
              <w:t>2.</w:t>
            </w:r>
            <w:r>
              <w:tab/>
            </w:r>
            <w:r>
              <w:t xml:space="preserve">begrüßt, dass </w:t>
            </w:r>
            <w:r>
              <w:rPr>
                <w:b/>
                <w:i/>
              </w:rPr>
              <w:t>in den Berichten</w:t>
            </w:r>
            <w:r>
              <w:t xml:space="preserve"> von Draghi und Letta die Notwendigkeit eines wettbewerbsfähigeren und weniger bürokratischen Binnenmarkts anerkannt </w:t>
            </w:r>
            <w:r>
              <w:rPr>
                <w:b/>
                <w:i/>
              </w:rPr>
              <w:t>wird</w:t>
            </w:r>
            <w:r>
              <w:t xml:space="preserve">; </w:t>
            </w:r>
            <w:r>
              <w:rPr>
                <w:b/>
                <w:i/>
              </w:rPr>
              <w:t>fordert die Kommission nachdrücklich auf, entschlossen zu handeln und kurzfristig Legislativvorschläge vorzulegen, um zumindest einen wesentlichen Teil der in diesen Berichten ausgesprochenen Empfehlungen umzusetzen;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begrüßt, dass im Anschluss an die Berichte von Draghi und Letta die Notwendigkeit eines wettbewerbsfähigeren und weniger bürokratischen Binnenmarkts anerkannt wurde;</w:t>
            </w:r>
          </w:p>
        </w:tc>
        <w:tc>
          <w:tcPr>
            <w:tcW w:w="4876" w:type="dxa"/>
            <w:tcBorders>
              <w:top w:val="nil"/>
              <w:left w:val="nil"/>
              <w:bottom w:val="nil"/>
              <w:right w:val="nil"/>
            </w:tcBorders>
          </w:tcPr>
          <w:p>
            <w:pPr>
              <w:pStyle w:val="Normal6a"/>
            </w:pPr>
            <w:r>
              <w:t>2.</w:t>
            </w:r>
            <w:r>
              <w:tab/>
            </w:r>
            <w:r>
              <w:t xml:space="preserve">begrüßt, dass im Anschluss an die Berichte von Draghi und Letta die Notwendigkeit eines wettbewerbsfähigeren und weniger bürokratischen Binnenmarkts </w:t>
            </w:r>
            <w:r>
              <w:rPr>
                <w:b/>
                <w:i/>
              </w:rPr>
              <w:t>als politische Priorität und ein vorrangiges Ziel der EU für diese Wahlperiode</w:t>
            </w:r>
            <w:r>
              <w:t xml:space="preserve"> anerkannt wurde</w:t>
            </w:r>
            <w:r>
              <w:rPr>
                <w:b/>
                <w:i/>
              </w:rPr>
              <w:t>, die sofortige und entschlossene Maßnahmen sowohl in regulatorischer als auch in politischer Hinsicht erfordern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begrüßt, dass im Anschluss an die Berichte von Draghi und Letta die Notwendigkeit eines wettbewerbsfähigeren und weniger bürokratischen Binnenmarkts anerkannt wurde;</w:t>
            </w:r>
          </w:p>
        </w:tc>
        <w:tc>
          <w:tcPr>
            <w:tcW w:w="4876" w:type="dxa"/>
            <w:tcBorders>
              <w:top w:val="nil"/>
              <w:left w:val="nil"/>
              <w:bottom w:val="nil"/>
              <w:right w:val="nil"/>
            </w:tcBorders>
          </w:tcPr>
          <w:p>
            <w:pPr>
              <w:pStyle w:val="Normal6a"/>
            </w:pPr>
            <w:r>
              <w:t>2.</w:t>
            </w:r>
            <w:r>
              <w:tab/>
            </w:r>
            <w:r>
              <w:t>begrüßt, dass im Anschluss an die Berichte von Draghi und Letta die Notwendigkeit eines wettbewerbsfähigeren und weniger bürokratischen Binnenmarkts anerkannt wurde</w:t>
            </w:r>
            <w:r>
              <w:rPr>
                <w:b/>
                <w:i/>
              </w:rPr>
              <w:t>, wobei insbesondere darauf hingewiesen wird, dass private Investitionen angezogen werden müssen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begrüßt, dass im Anschluss an die Berichte von Draghi und Letta die Notwendigkeit eines wettbewerbsfähigeren und </w:t>
            </w:r>
            <w:r>
              <w:rPr>
                <w:b/>
                <w:i/>
              </w:rPr>
              <w:t>weniger bürokratischen</w:t>
            </w:r>
            <w:r>
              <w:t xml:space="preserve"> Binnenmarkts anerkannt wurde;</w:t>
            </w:r>
          </w:p>
        </w:tc>
        <w:tc>
          <w:tcPr>
            <w:tcW w:w="4876" w:type="dxa"/>
            <w:tcBorders>
              <w:top w:val="nil"/>
              <w:left w:val="nil"/>
              <w:bottom w:val="nil"/>
              <w:right w:val="nil"/>
            </w:tcBorders>
          </w:tcPr>
          <w:p>
            <w:pPr>
              <w:pStyle w:val="Normal6a"/>
            </w:pPr>
            <w:r>
              <w:t>2.</w:t>
            </w:r>
            <w:r>
              <w:tab/>
            </w:r>
            <w:r>
              <w:t xml:space="preserve">begrüßt, dass im Anschluss an die Berichte von Draghi und Letta die Notwendigkeit eines wettbewerbsfähigeren und </w:t>
            </w:r>
            <w:r>
              <w:rPr>
                <w:b/>
                <w:i/>
              </w:rPr>
              <w:t>nachhaltigen</w:t>
            </w:r>
            <w:r>
              <w:t xml:space="preserve"> Binnenmarkts anerkannt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begrüßt, dass im Anschluss an die Berichte von Draghi und Letta die Notwendigkeit eines </w:t>
            </w:r>
            <w:r>
              <w:rPr>
                <w:b/>
                <w:i/>
              </w:rPr>
              <w:t>wettbewerbsfähigeren und weniger bürokratischen</w:t>
            </w:r>
            <w:r>
              <w:t xml:space="preserve"> Binnenmarkts anerkannt wurde;</w:t>
            </w:r>
          </w:p>
        </w:tc>
        <w:tc>
          <w:tcPr>
            <w:tcW w:w="4876" w:type="dxa"/>
            <w:tcBorders>
              <w:top w:val="nil"/>
              <w:left w:val="nil"/>
              <w:bottom w:val="nil"/>
              <w:right w:val="nil"/>
            </w:tcBorders>
          </w:tcPr>
          <w:p>
            <w:pPr>
              <w:pStyle w:val="Normal6a"/>
            </w:pPr>
            <w:r>
              <w:t>2.</w:t>
            </w:r>
            <w:r>
              <w:tab/>
            </w:r>
            <w:r>
              <w:t xml:space="preserve">begrüßt, dass im Anschluss an die Berichte von Draghi und Letta die Notwendigkeit eines </w:t>
            </w:r>
            <w:r>
              <w:rPr>
                <w:b/>
                <w:i/>
              </w:rPr>
              <w:t>stärker integrierten</w:t>
            </w:r>
            <w:r>
              <w:t xml:space="preserve"> Binnenmarkts anerkannt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betont, dass die Robustheit des Finanzsektors ein Schlüsselelement seiner Wettbewerbsfähigkeit ist;</w:t>
            </w:r>
            <w:r>
              <w:t xml:space="preserve"> </w:t>
            </w:r>
            <w:r>
              <w:rPr>
                <w:b/>
                <w:i/>
              </w:rPr>
              <w:t>betont in diesem Zusammenhang, dass die Reformen nach der Finanzkrise beibehalten und abgeschlossen werden sollten;</w:t>
            </w:r>
            <w:r>
              <w:t xml:space="preserve"> </w:t>
            </w:r>
            <w:r>
              <w:rPr>
                <w:b/>
                <w:i/>
              </w:rPr>
              <w:t>betont, dass nur durch eine vollständige Umsetzung der Baseler Standards sichergestellt würde, dass die Banken in der EU finanziell solide sind;</w:t>
            </w:r>
            <w:r>
              <w:t xml:space="preserve"> </w:t>
            </w:r>
            <w:r>
              <w:rPr>
                <w:b/>
                <w:i/>
              </w:rPr>
              <w:t>weist darauf hin, dass die Eigenkapitalverordnung einen Faktor zur Unterstützung von KMU enthält, um Anreize für die Kreditvergabe von Banken an KMU zu schaffen;</w:t>
            </w:r>
            <w:r>
              <w:t xml:space="preserve"> </w:t>
            </w:r>
            <w:r>
              <w:rPr>
                <w:b/>
                <w:i/>
              </w:rPr>
              <w:t>stellt fest, dass im Jahr 2024 ein höherer Anteil des Vermögensportfolios von Versicherern aus Unternehmensanleihen und Aktien besteht als 2017;</w:t>
            </w:r>
            <w:r>
              <w:t xml:space="preserve"> </w:t>
            </w:r>
            <w:r>
              <w:rPr>
                <w:b/>
                <w:i/>
              </w:rPr>
              <w:t>betont, dass dies zeigt, dass Solvabilität 2, ein solider Aufsichtsrahmen, die Investitionen von Versicherern in die Realwirtschaft nicht behindert, sondern vielmehr gefördert hat;</w:t>
            </w:r>
            <w:r>
              <w:t xml:space="preserve"> </w:t>
            </w:r>
            <w:r>
              <w:rPr>
                <w:b/>
                <w:i/>
              </w:rPr>
              <w:t>ist der Ansicht, dass beim Abschluss der Überprüfung von Solvabilität 2 die aufsichtsrechtliche Solidität des Rahmens gewahrt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erkennt an, dass es insbesondere für kleinere Unternehmen schwierig ist, sich bei den von der Europäischen Union zur Verfügung gestellten Fonds und Programmen zurechtzufinden;</w:t>
            </w:r>
            <w:r>
              <w:t xml:space="preserve"> </w:t>
            </w:r>
            <w:r>
              <w:rPr>
                <w:b/>
                <w:i/>
              </w:rPr>
              <w:t>betont, dass von Frauen geführte, von Migranten geführte und in Minderheitsbesitz befindliche KMU mit zusätzlicher struktureller Diskriminierung und Unterfinanzierung konfrontiert sind, was zu anhaltender wirtschaftlicher Ungleichheit beiträgt;</w:t>
            </w:r>
            <w:r>
              <w:t xml:space="preserve"> </w:t>
            </w:r>
            <w:r>
              <w:rPr>
                <w:b/>
                <w:i/>
              </w:rPr>
              <w:t>fordert die Kommission auf, mit geeigneten Förderprogrammen und Finanzierungslösungen gegen diese Diskriminierung vorzugehen;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betont, dass der Zugang von Unternehmen zu Finanzmitteln zunehmend mit der Möglichkeit verbunden sein wird, ihre sozialen und ökologischen Auswirkungen offenzulegen, um den Bedürfnissen größerer Investoren und Finanzmärkte gerecht zu werden; fordert die Kommission daher nachdrücklich auf, einen vereinfachten und vollständig digitalisierten Berichtsrahmen zu entwickeln, um KMU und expandierende Jungunternehmen auf ihrem Wachstumspfad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begrüßt die Start-up- und Scale-up-Strategie der Kommission;</w:t>
            </w:r>
            <w:r>
              <w:t xml:space="preserve"> </w:t>
            </w:r>
            <w:r>
              <w:rPr>
                <w:b/>
                <w:i/>
              </w:rPr>
              <w:t>ist der Ansicht, dass sie Innovationen fördern und die Herausforderungen angehen wird, mit denen einzelne Innovatoren, Gründer, Start-up-Unternehmen und expandierende Jungunternehmen in der EU konfrontiert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betont, dass die Konsolidierung des Binnenmarkts die Ermittlung und Beseitigung interner Hindernisse erfordert, die seine vollständige Integration behindern und die europäische Wettbewerbsfähigkeit untergraben;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betont, dass die EU bestrebt sein sollte, Erleichterungen für das Geschäftsumfeld von europäischen Unternehmen und ein Ökosystem für expandierende Jungunternehmen zu schaffen, das in erster Linie auf privaten Investitionen beruht;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betont, dass die EU bestrebt sein sollte, Erleichterungen für das Geschäftsumfeld von europäischen Unternehmen und ein Ökosystem für expandierende Jungunternehmen zu schaffen, das in erster Linie auf privaten Investitionen beruht;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betont, dass die EU bestrebt sein sollte, </w:t>
            </w:r>
            <w:r>
              <w:rPr>
                <w:b/>
                <w:i/>
              </w:rPr>
              <w:t>Erleichterungen für das</w:t>
            </w:r>
            <w:r>
              <w:t xml:space="preserve"> Geschäftsumfeld </w:t>
            </w:r>
            <w:r>
              <w:rPr>
                <w:b/>
                <w:i/>
              </w:rPr>
              <w:t>von europäischen Unternehmen und</w:t>
            </w:r>
            <w:r>
              <w:t xml:space="preserve"> ein Ökosystem für expandierende Jungunternehmen </w:t>
            </w:r>
            <w:r>
              <w:rPr>
                <w:b/>
                <w:i/>
              </w:rPr>
              <w:t>zu schaffen</w:t>
            </w:r>
            <w:r>
              <w:t>, das in erster Linie auf privaten Investitionen beruht;</w:t>
            </w:r>
          </w:p>
        </w:tc>
        <w:tc>
          <w:tcPr>
            <w:tcW w:w="4876" w:type="dxa"/>
            <w:tcBorders>
              <w:top w:val="nil"/>
              <w:left w:val="nil"/>
              <w:bottom w:val="nil"/>
              <w:right w:val="nil"/>
            </w:tcBorders>
          </w:tcPr>
          <w:p>
            <w:pPr>
              <w:pStyle w:val="Normal6a"/>
            </w:pPr>
            <w:r>
              <w:t>3.</w:t>
            </w:r>
            <w:r>
              <w:tab/>
            </w:r>
            <w:r>
              <w:t xml:space="preserve">betont, dass die EU bestrebt sein sollte, </w:t>
            </w:r>
            <w:r>
              <w:rPr>
                <w:b/>
                <w:i/>
              </w:rPr>
              <w:t>ein attraktives</w:t>
            </w:r>
            <w:r>
              <w:t xml:space="preserve"> Geschäftsumfeld </w:t>
            </w:r>
            <w:r>
              <w:rPr>
                <w:b/>
                <w:i/>
              </w:rPr>
              <w:t>für die Mobilisierung von europäischem und internationalem Kapital und Investitionen zu schaffen;</w:t>
            </w:r>
            <w:r>
              <w:t xml:space="preserve"> </w:t>
            </w:r>
            <w:r>
              <w:rPr>
                <w:b/>
                <w:i/>
              </w:rPr>
              <w:t>betont, dass</w:t>
            </w:r>
            <w:r>
              <w:t xml:space="preserve"> ein Ökosystem für expandierende Jungunternehmen </w:t>
            </w:r>
            <w:r>
              <w:rPr>
                <w:b/>
                <w:i/>
              </w:rPr>
              <w:t>gefördert werden muss</w:t>
            </w:r>
            <w:r>
              <w:t xml:space="preserve">, das in erster Linie auf privaten Investitionen </w:t>
            </w:r>
            <w:r>
              <w:rPr>
                <w:b/>
                <w:i/>
              </w:rPr>
              <w:t>und öffentlich-privaten Partnerschaften</w:t>
            </w:r>
            <w:r>
              <w:t xml:space="preserve"> beruht</w:t>
            </w:r>
            <w:r>
              <w:rPr>
                <w:b/>
                <w:i/>
              </w:rPr>
              <w:t>, die die Mobilisierung von Kapital ermöglichen und Unternehmen den Zugang zu Finanzmitteln erleichtern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betont, dass die EU bestrebt sein sollte, Erleichterungen für das Geschäftsumfeld von europäischen </w:t>
            </w:r>
            <w:r>
              <w:rPr>
                <w:b/>
                <w:i/>
              </w:rPr>
              <w:t>Unternehmen</w:t>
            </w:r>
            <w:r>
              <w:t xml:space="preserve"> und ein Ökosystem für expandierende Jungunternehmen </w:t>
            </w:r>
            <w:r>
              <w:rPr>
                <w:b/>
                <w:i/>
              </w:rPr>
              <w:t>zu schaffen</w:t>
            </w:r>
            <w:r>
              <w:t>, das in erster Linie auf privaten Investitionen beruht;</w:t>
            </w:r>
          </w:p>
        </w:tc>
        <w:tc>
          <w:tcPr>
            <w:tcW w:w="4876" w:type="dxa"/>
            <w:tcBorders>
              <w:top w:val="nil"/>
              <w:left w:val="nil"/>
              <w:bottom w:val="nil"/>
              <w:right w:val="nil"/>
            </w:tcBorders>
          </w:tcPr>
          <w:p>
            <w:pPr>
              <w:pStyle w:val="Normal6a"/>
            </w:pPr>
            <w:r>
              <w:t>3.</w:t>
            </w:r>
            <w:r>
              <w:tab/>
            </w:r>
            <w:r>
              <w:t xml:space="preserve">betont, dass die EU bestrebt sein sollte, Erleichterungen für das Geschäftsumfeld von europäischen </w:t>
            </w:r>
            <w:r>
              <w:rPr>
                <w:b/>
                <w:i/>
              </w:rPr>
              <w:t>Unternehmern und Arbeitgebern zu schaffen, indem unnötige Hindernisse beseitigt werden, ein berechenbarer Rechtsrahmen sichergestellt wird</w:t>
            </w:r>
            <w:r>
              <w:t xml:space="preserve"> und ein Ökosystem für expandierende Jungunternehmen </w:t>
            </w:r>
            <w:r>
              <w:rPr>
                <w:b/>
                <w:i/>
              </w:rPr>
              <w:t>geschaffen wird</w:t>
            </w:r>
            <w:r>
              <w:t>, das in erster Linie auf privaten Investitionen beruht</w:t>
            </w:r>
            <w:r>
              <w:rPr>
                <w:b/>
                <w:i/>
              </w:rPr>
              <w:t>, die Innovation, Wettbewerb und Wirtschaftswachstum fördern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betont, dass die EU bestrebt sein sollte, Erleichterungen für das Geschäftsumfeld von europäischen Unternehmen und ein Ökosystem für expandierende Jungunternehmen zu schaffen, das </w:t>
            </w:r>
            <w:r>
              <w:rPr>
                <w:b/>
                <w:i/>
              </w:rPr>
              <w:t>in erster Linie</w:t>
            </w:r>
            <w:r>
              <w:t xml:space="preserve"> auf privaten Investitionen beruht;</w:t>
            </w:r>
          </w:p>
        </w:tc>
        <w:tc>
          <w:tcPr>
            <w:tcW w:w="4876" w:type="dxa"/>
            <w:tcBorders>
              <w:top w:val="nil"/>
              <w:left w:val="nil"/>
              <w:bottom w:val="nil"/>
              <w:right w:val="nil"/>
            </w:tcBorders>
          </w:tcPr>
          <w:p>
            <w:pPr>
              <w:pStyle w:val="Normal6a"/>
            </w:pPr>
            <w:r>
              <w:t>3.</w:t>
            </w:r>
            <w:r>
              <w:tab/>
            </w:r>
            <w:r>
              <w:t xml:space="preserve">betont, dass die EU bestrebt sein sollte, Erleichterungen für das Geschäftsumfeld von europäischen Unternehmen und ein Ökosystem für expandierende Jungunternehmen zu schaffen, das </w:t>
            </w:r>
            <w:r>
              <w:rPr>
                <w:b/>
                <w:i/>
              </w:rPr>
              <w:t>sowohl</w:t>
            </w:r>
            <w:r>
              <w:t xml:space="preserve"> auf privaten </w:t>
            </w:r>
            <w:r>
              <w:rPr>
                <w:b/>
                <w:i/>
              </w:rPr>
              <w:t>als auch auf öffentlichen</w:t>
            </w:r>
            <w:r>
              <w:t xml:space="preserve"> Investitionen beruht;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betont, dass die EU bestrebt sein sollte, Erleichterungen für das Geschäftsumfeld von europäischen Unternehmen und ein Ökosystem für expandierende Jungunternehmen zu schaffen, das in erster Linie auf privaten Investitionen beruht;</w:t>
            </w:r>
          </w:p>
        </w:tc>
        <w:tc>
          <w:tcPr>
            <w:tcW w:w="4876" w:type="dxa"/>
            <w:tcBorders>
              <w:top w:val="nil"/>
              <w:left w:val="nil"/>
              <w:bottom w:val="nil"/>
              <w:right w:val="nil"/>
            </w:tcBorders>
          </w:tcPr>
          <w:p>
            <w:pPr>
              <w:pStyle w:val="Normal6a"/>
            </w:pPr>
            <w:r>
              <w:t>3.</w:t>
            </w:r>
            <w:r>
              <w:tab/>
            </w:r>
            <w:r>
              <w:t xml:space="preserve">betont, dass die EU bestrebt sein sollte, Erleichterungen für das Geschäftsumfeld von europäischen Unternehmen und ein Ökosystem für expandierende Jungunternehmen zu schaffen, das in erster Linie auf privaten Investitionen beruht; </w:t>
            </w:r>
            <w:r>
              <w:rPr>
                <w:b/>
                <w:i/>
              </w:rPr>
              <w:t>nimmt die EU-Start-up- und Scale-up-Strategie der Kommission zur Kenntnis;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Jorge Martín Frías, 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betont, dass die in der von der Kommission veröffentlichten Start-up- und Scale-up-Strategie enthaltene Diagnose zwar weitgehend korrekt ist, die vorgeschlagenen Maßnahmen jedoch ambitionierter sein müssen;</w:t>
            </w:r>
            <w:r>
              <w:t xml:space="preserve"> </w:t>
            </w:r>
            <w:r>
              <w:rPr>
                <w:b/>
                <w:i/>
              </w:rPr>
              <w:t>ist der Ansicht, dass der Schwerpunkt auf der Aufhebung all derjenigen europäischen Verordnungen liegen sollte, die unnötige bürokratische Hürden schaffen, die die Gründung und Expansion von Unternehmen behindern;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erkennt die zentrale Rolle der Privatwirtschaft für das Wachstum und den Wohlstand der Europäischen Union an;</w:t>
            </w:r>
            <w:r>
              <w:t xml:space="preserve"> </w:t>
            </w:r>
            <w:r>
              <w:rPr>
                <w:b/>
                <w:i/>
              </w:rPr>
              <w:t>weist erneut darauf hin, dass eine wettbewerbsfähige Wirtschaft wie die europäische Wirtschaft von einem dynamischen Unternehmensgefüge und einem Umfeld, das Anreize für private Investitionen, Unternehmertum und Wertschöpfung schafft, abhängt;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ist davon überzeugt, dass mit spezifischen Definitionen für Start-up-Unternehmen und expandierende Jungunternehmen die Anzahl der Möglichkeiten der Unterstützung durch Maßnahmen, die auf die besonderen Bedürfnisse und Merkmale von Start-up-Unternehmen und expandierenden Jungunternehmen zugeschnitten sind, steigen wird, indem ihr Zugang zu den europäischen Kapitalmärkten und privaten Investoren verbessert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weist darauf hin, dass Produktivitätsgewinne hauptsächlich durch Investitionen in innovative Tätigkeiten erzielt werden könnten;</w:t>
            </w:r>
            <w:r>
              <w:t xml:space="preserve"> </w:t>
            </w:r>
            <w:r>
              <w:rPr>
                <w:b/>
                <w:i/>
              </w:rPr>
              <w:t>erkennt an, dass der Aufbau einer nachhaltigen Wirtschaft einen wichtigen Wettbewerbsvorteil der EU-Wirtschaft und den Eckpfeiler der wirtschaftlichen Souveränität der EU darstellt;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stellt fest, dass Bankkredite seit jeher die wichtigste Finanzierungsquelle von KMU in der Union sind, da Mittel von Banken mehr als drei Viertel der Finanzierung von KMU ausmachen</w:t>
            </w:r>
            <w:r>
              <w:rPr>
                <w:b/>
                <w:i/>
                <w:vertAlign w:val="superscript"/>
              </w:rPr>
              <w:t>1a</w:t>
            </w:r>
            <w:r>
              <w:rPr>
                <w:b/>
                <w:i/>
              </w:rPr>
              <w:t>, wodurch KMU anfällig gegenüber Einschränkungen bei der Bankenfinanzierung sind;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OECD (2024), „Financing SMEs and Entrepreneurs 2024:</w:t>
            </w:r>
            <w:r>
              <w:t xml:space="preserve"> </w:t>
            </w:r>
            <w:r>
              <w:rPr>
                <w:b/>
                <w:i/>
              </w:rPr>
              <w:t>An OECD Scoreboard“, OECD Publishing, Paris, https://doi.org/10.1787/fa521246-en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stellt fest, dass die zunehmende Konzentration im Bankensektor und eine Konzentration auf risikobasierte Kreditrahmen die finanzielle Ausgrenzung von KMU, insbesondere in Randregionen oder unterversorgten Regionen der EU, weiter verschärfen;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unterstreicht die wichtige und etablierte Rolle von Banken, die aufgrund ihrer langfristigen Beziehung zu KMU auf regionaler und lokaler Ebene über spezifische Kenntnisse in Bezug auf die Bereitstellung von Finanzmitteln für diese Unternehmen verfügen;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hält es für wesentlich, die Rolle und Sichtbarkeit von Frauen und jungen Menschen im KMU-Sektor zu fördern, in dem ihre Beteiligung nach wie vor unverhältnismäßig gering ist;</w:t>
            </w:r>
            <w:r>
              <w:t xml:space="preserve"> </w:t>
            </w:r>
            <w:r>
              <w:rPr>
                <w:b/>
                <w:i/>
              </w:rPr>
              <w:t>ist der Ansicht, dass das Unternehmertum und die finanzielle Inklusion dieser Gruppen durch maßgeschneiderte Finanzierungsinstrumente, Kapazitätsaufbauprogramme, spezielle Mentoring-Netze und Anreize für Risikokapital und Finanzintermediäre durch gezielte politische Maßnahmen unterstützt werden sollten, um von Frauen und von jungen Menschen geführte Unternehmen zu fördern;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weist auf die besonderen Herausforderungen hin, mit denen expandierende Jungunternehmen in Europa konfrontiert sind, wenn es darum geht, in einer späten Phase Finanzierungen für das Wachstum zu erhalten;</w:t>
            </w:r>
            <w:r>
              <w:t xml:space="preserve"> </w:t>
            </w:r>
            <w:r>
              <w:rPr>
                <w:b/>
                <w:i/>
              </w:rPr>
              <w:t>stellt fest, dass viele EU-Unternehmen mit großem Potenzial nach wie vor von Risikokapital und Investoren aus dem Ausland abhängig sind, wobei ein großer Teil der späteren Finanzierungsrunden von nichteuropäischen Investoren geleitet wird;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weist auf die besonderen Herausforderungen hin, mit denen expandierende Jungunternehmen in Europa konfrontiert sind, wenn es darum geht, in einer späten Phase Finanzierungen für das Wachstum zu erhalten;</w:t>
            </w:r>
            <w:r>
              <w:t xml:space="preserve"> </w:t>
            </w:r>
            <w:r>
              <w:rPr>
                <w:b/>
                <w:i/>
              </w:rPr>
              <w:t>stellt fest, dass viele EU-Unternehmen mit großem Potenzial nach wie vor von Risikokapital und Investoren aus dem Ausland abhängig sind, wobei ein großer Teil der späteren Finanzierungsrunden von nichteuropäischen Investoren geleitet wird;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weist auf die besonderen Herausforderungen hin, mit denen expandierende Jungunternehmen in Europa konfrontiert sind, wenn es darum geht, in einer späten Phase Finanzierungen für das Wachstum zu erhalten; stellt fest, dass viele EU-Unternehmen mit großem Potenzial nach wie vor </w:t>
            </w:r>
            <w:r>
              <w:rPr>
                <w:b/>
                <w:i/>
              </w:rPr>
              <w:t>von</w:t>
            </w:r>
            <w:r>
              <w:t xml:space="preserve"> Risikokapital </w:t>
            </w:r>
            <w:r>
              <w:rPr>
                <w:b/>
                <w:i/>
              </w:rPr>
              <w:t>und Investoren</w:t>
            </w:r>
            <w:r>
              <w:t xml:space="preserve"> aus dem Ausland </w:t>
            </w:r>
            <w:r>
              <w:rPr>
                <w:b/>
                <w:i/>
              </w:rPr>
              <w:t>abhängig sind, wobei ein großer Teil der späteren Finanzierungsrunden von nichteuropäischen Investoren</w:t>
            </w:r>
            <w:r>
              <w:t xml:space="preserve"> geleitet </w:t>
            </w:r>
            <w:r>
              <w:rPr>
                <w:b/>
                <w:i/>
              </w:rPr>
              <w:t>wird</w:t>
            </w:r>
            <w:r>
              <w:t>;</w:t>
            </w:r>
          </w:p>
        </w:tc>
        <w:tc>
          <w:tcPr>
            <w:tcW w:w="4876" w:type="dxa"/>
            <w:tcBorders>
              <w:top w:val="nil"/>
              <w:left w:val="nil"/>
              <w:bottom w:val="nil"/>
              <w:right w:val="nil"/>
            </w:tcBorders>
          </w:tcPr>
          <w:p>
            <w:pPr>
              <w:pStyle w:val="Normal6a"/>
            </w:pPr>
            <w:r>
              <w:t>4.</w:t>
            </w:r>
            <w:r>
              <w:tab/>
            </w:r>
            <w:r>
              <w:t xml:space="preserve">weist auf die besonderen Herausforderungen hin, mit denen expandierende Jungunternehmen in Europa konfrontiert sind, wenn es darum geht, in einer späten Phase Finanzierungen für das Wachstum zu erhalten; stellt fest, dass viele EU-Unternehmen mit großem Potenzial nach wie vor </w:t>
            </w:r>
            <w:r>
              <w:rPr>
                <w:b/>
                <w:i/>
              </w:rPr>
              <w:t>auf</w:t>
            </w:r>
            <w:r>
              <w:t xml:space="preserve"> Risikokapital aus dem Ausland </w:t>
            </w:r>
            <w:r>
              <w:rPr>
                <w:b/>
                <w:i/>
              </w:rPr>
              <w:t>zurückgreifen, was die Notwendigkeit unterstreicht, attraktivere Bedingungen für Investitionen in der EU zu schaffen;</w:t>
            </w:r>
            <w:r>
              <w:t xml:space="preserve"> </w:t>
            </w:r>
            <w:r>
              <w:rPr>
                <w:b/>
                <w:i/>
              </w:rPr>
              <w:t>betont, dass der Zugang zu Finanzmitteln unabhängig vom Ursprung der Finanzmittel von Kriterien der wirtschaftlichen Effizienz, Rentabilität und Skalierbarkeit</w:t>
            </w:r>
            <w:r>
              <w:t xml:space="preserve"> geleitet </w:t>
            </w:r>
            <w:r>
              <w:rPr>
                <w:b/>
                <w:i/>
              </w:rPr>
              <w:t>werden sollte, und weist darauf hin, dass ein offener und globaler Wettbewerb, um Investitionen anzuziehen, Unternehmen und Innovationen zugutekommt</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weist auf die besonderen Herausforderungen hin, mit denen expandierende Jungunternehmen in Europa konfrontiert sind, wenn es darum geht, in einer späten Phase Finanzierungen für das Wachstum zu erhalten; stellt fest, dass viele EU-Unternehmen mit großem Potenzial nach wie vor von Risikokapital und Investoren aus dem Ausland abhängig sind, wobei ein großer Teil der späteren Finanzierungsrunden von nichteuropäischen Investoren geleitet wird;</w:t>
            </w:r>
          </w:p>
        </w:tc>
        <w:tc>
          <w:tcPr>
            <w:tcW w:w="4876" w:type="dxa"/>
            <w:tcBorders>
              <w:top w:val="nil"/>
              <w:left w:val="nil"/>
              <w:bottom w:val="nil"/>
              <w:right w:val="nil"/>
            </w:tcBorders>
          </w:tcPr>
          <w:p>
            <w:pPr>
              <w:pStyle w:val="Normal6a"/>
            </w:pPr>
            <w:r>
              <w:t>4.</w:t>
            </w:r>
            <w:r>
              <w:tab/>
            </w:r>
            <w:r>
              <w:t xml:space="preserve">weist auf die besonderen Herausforderungen hin, mit denen expandierende Jungunternehmen in Europa konfrontiert sind, wenn es darum geht, in einer späten Phase Finanzierungen für das Wachstum zu erhalten; stellt fest, dass viele EU-Unternehmen mit großem Potenzial nach wie vor von Risikokapital und Investoren aus dem Ausland abhängig sind, wobei ein großer Teil der späteren Finanzierungsrunden von nichteuropäischen Investoren geleitet wird; </w:t>
            </w:r>
            <w:r>
              <w:rPr>
                <w:b/>
                <w:i/>
              </w:rPr>
              <w:t>begrüßt die kürzlich erfolgte Annahme des EU-Rechtsakts zur Börsennotierung, der Unternehmen jeder Größe, einschließlich KMU, einen Börsengang an europäischen Börsen erleichtern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weist auf die besonderen Herausforderungen hin, mit denen expandierende Jungunternehmen in Europa konfrontiert sind, wenn es darum geht, in einer späten Phase Finanzierungen für das Wachstum zu erhalten; stellt fest, dass viele EU-Unternehmen mit großem Potenzial nach wie vor von Risikokapital und Investoren aus dem Ausland abhängig sind, wobei ein großer Teil der </w:t>
            </w:r>
            <w:r>
              <w:rPr>
                <w:b/>
                <w:i/>
              </w:rPr>
              <w:t>späteren Finanzierungsrunden von nichteuropäischen Investoren geleitet wird</w:t>
            </w:r>
            <w:r>
              <w:t>;</w:t>
            </w:r>
          </w:p>
        </w:tc>
        <w:tc>
          <w:tcPr>
            <w:tcW w:w="4876" w:type="dxa"/>
            <w:tcBorders>
              <w:top w:val="nil"/>
              <w:left w:val="nil"/>
              <w:bottom w:val="nil"/>
              <w:right w:val="nil"/>
            </w:tcBorders>
          </w:tcPr>
          <w:p>
            <w:pPr>
              <w:pStyle w:val="Normal6a"/>
            </w:pPr>
            <w:r>
              <w:t>4.</w:t>
            </w:r>
            <w:r>
              <w:tab/>
            </w:r>
            <w:r>
              <w:t xml:space="preserve">weist auf die besonderen Herausforderungen hin, mit denen expandierende Jungunternehmen in Europa konfrontiert sind, wenn es darum geht, in einer späten Phase Finanzierungen für das Wachstum zu erhalten; stellt fest, dass viele EU-Unternehmen mit großem Potenzial nach wie vor von Risikokapital und Investoren aus dem Ausland abhängig sind, wobei ein großer Teil der </w:t>
            </w:r>
            <w:r>
              <w:rPr>
                <w:b/>
                <w:i/>
              </w:rPr>
              <w:t>europäischen Unternehmen innerhalb der Grenzen der Union keine Finanzierungsquellen auftun kann und sie in anderen Ländern suchen muss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weist auf die besonderen Herausforderungen hin, mit denen expandierende Jungunternehmen in Europa konfrontiert sind, wenn es darum geht, in einer späten Phase Finanzierungen für das Wachstum zu erhalten; stellt fest, dass </w:t>
            </w:r>
            <w:r>
              <w:rPr>
                <w:b/>
                <w:i/>
              </w:rPr>
              <w:t>viele EU-Unternehmen mit großem Potenzial nach wie vor von</w:t>
            </w:r>
            <w:r>
              <w:t xml:space="preserve"> Risikokapital </w:t>
            </w:r>
            <w:r>
              <w:rPr>
                <w:b/>
                <w:i/>
              </w:rPr>
              <w:t>und Investoren aus dem Ausland abhängig sind, wobei ein großer Teil der späteren Finanzierungsrunden von nichteuropäischen Investoren geleitet wird</w:t>
            </w:r>
            <w:r>
              <w:t>;</w:t>
            </w:r>
          </w:p>
        </w:tc>
        <w:tc>
          <w:tcPr>
            <w:tcW w:w="4876" w:type="dxa"/>
            <w:tcBorders>
              <w:top w:val="nil"/>
              <w:left w:val="nil"/>
              <w:bottom w:val="nil"/>
              <w:right w:val="nil"/>
            </w:tcBorders>
          </w:tcPr>
          <w:p>
            <w:pPr>
              <w:pStyle w:val="Normal6a"/>
            </w:pPr>
            <w:r>
              <w:t>4.</w:t>
            </w:r>
            <w:r>
              <w:tab/>
            </w:r>
            <w:r>
              <w:t xml:space="preserve">weist auf die besonderen Herausforderungen hin, mit denen expandierende Jungunternehmen in Europa konfrontiert sind, wenn es darum geht, in einer späten Phase Finanzierungen für das Wachstum zu erhalten; stellt fest, dass </w:t>
            </w:r>
            <w:r>
              <w:rPr>
                <w:b/>
                <w:i/>
              </w:rPr>
              <w:t>ausländisches</w:t>
            </w:r>
            <w:r>
              <w:t xml:space="preserve"> Risikokapital </w:t>
            </w:r>
            <w:r>
              <w:rPr>
                <w:b/>
                <w:i/>
              </w:rPr>
              <w:t>eine entscheidende Triebfeder für das Wachstum in Europa ist, da 40 % der Mittel an privaten Märkten aus Ländern außerhalb der EU stammen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hebt die entscheidende Rolle von Garantieinstrumenten für die Verbesserung des Zugangs von KMU zu Finanzmitteln hervor;</w:t>
            </w:r>
            <w:r>
              <w:t xml:space="preserve"> </w:t>
            </w:r>
            <w:r>
              <w:rPr>
                <w:b/>
                <w:i/>
              </w:rPr>
              <w:t>betont, dass diese Instrumente die mit der Kreditvergabe an kleinere Unternehmen verbundenen Risiken durch die Bereitstellung von Bonitätsverbesserungen und Risikoteilungsmechanismen erheblich mindern können;</w:t>
            </w:r>
            <w:r>
              <w:t xml:space="preserve"> </w:t>
            </w:r>
            <w:r>
              <w:rPr>
                <w:b/>
                <w:i/>
              </w:rPr>
              <w:t>stellt fest, dass Garantieinstrumente ein breiteres Spektrum von Kreditgebern anziehen können, einschließlich solcher, die aufgrund der wahrgenommenen Risiken möglicherweise zögerlich sind, und so ein breiteres Spektrum von KMU Finanzmittel erhalten kann;</w:t>
            </w:r>
            <w:r>
              <w:t xml:space="preserve"> </w:t>
            </w:r>
            <w:r>
              <w:rPr>
                <w:b/>
                <w:i/>
              </w:rPr>
              <w:t>fordert die Kommission auf, den breiteren Einsatz von Garantieinstrumenten in allen Mitgliedstaaten zu fördern und den Einsatz von Garantien im nächsten Programmplanungszeitraum nach dem Erfolg von InvestEU zu verstärken;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weist darauf hin, dass etwa 80 % der Außenfinanzierung europäischer Unternehmen von Banken stammen und 20 % von den Kapitalmärkten, während in den Vereinigten Staaten nur 30 % der Unternehmensfinanzierung von Banken stammt und 70 % über Kapitalmärkte finanziert werden, beispielsweise über Unternehmensanleihen oder Aktienemissionen;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betont, dass Vereinfachung nie Deregulierung bedeuten darf;</w:t>
            </w:r>
            <w:r>
              <w:t xml:space="preserve"> </w:t>
            </w:r>
            <w:r>
              <w:rPr>
                <w:b/>
                <w:i/>
              </w:rPr>
              <w:t>fordert die Kommission und die Mitgliedstaaten auf, dafür zu sorgen, dass mit den Mitteln, die die Europäische Union bietet, Unternehmen unterstützt werden, die anspruchsberechtigt sind und diese Mittel auch benötigen;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ist der festen Überzeugung, dass die Ausarbeitung eines soliden und glaubwürdigen Rahmens für ein nachhaltiges Finanzwesen von entscheidender Bedeutung ist, um Investitionen im Einklang mit den langfristigen Zielen der EU zu steuern und internationale Investoren zu gewinnen;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ist der Ansicht, dass ein leichterer Zugang von KMU und expandierenden Jungunternehmen zu Finanzmitteln i) von der erheblichen Verringerung des bürokratischen und regulatorischen Aufwands, ii) von der verbesserten Fähigkeit zur Mobilisierung privater Investitionen und Einsparungen, iii) von der Schließung der Finanzierungslücke für expandierende Jungunternehmen und iv) von der Stärkung eines wettbewerbsorientierten Kapitalmarktökosystems in der EU abhängen wird;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ist der Ansicht, dass ein leichterer Zugang von KMU und expandierenden Jungunternehmen zu Finanzmitteln i) von der erheblichen Verringerung des bürokratischen und regulatorischen Aufwands, ii) von der verbesserten Fähigkeit zur Mobilisierung privater Investitionen und Einsparungen, iii) von der Schließung der Finanzierungslücke für expandierende Jungunternehmen und iv) von der Stärkung eines wettbewerbsorientierten Kapitalmarktökosystems in der EU abhängen wird;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ist der Ansicht, dass ein leichterer Zugang von KMU und expandierenden Jungunternehmen zu Finanzmitteln i) von der erheblichen Verringerung des bürokratischen und regulatorischen Aufwands, ii) von der verbesserten Fähigkeit zur Mobilisierung privater Investitionen und Einsparungen, iii) von der Schließung der Finanzierungslücke für expandierende Jungunternehmen und iv) von der Stärkung eines wettbewerbsorientierten Kapitalmarktökosystems in der EU </w:t>
            </w:r>
            <w:r>
              <w:rPr>
                <w:b/>
                <w:i/>
              </w:rPr>
              <w:t>abhängen wird</w:t>
            </w:r>
            <w:r>
              <w:t>;</w:t>
            </w:r>
          </w:p>
        </w:tc>
        <w:tc>
          <w:tcPr>
            <w:tcW w:w="4876" w:type="dxa"/>
            <w:tcBorders>
              <w:top w:val="nil"/>
              <w:left w:val="nil"/>
              <w:bottom w:val="nil"/>
              <w:right w:val="nil"/>
            </w:tcBorders>
          </w:tcPr>
          <w:p>
            <w:pPr>
              <w:pStyle w:val="Normal6a"/>
            </w:pPr>
            <w:r>
              <w:t>5.</w:t>
            </w:r>
            <w:r>
              <w:tab/>
            </w:r>
            <w:r>
              <w:t xml:space="preserve">ist der Ansicht, dass ein leichterer Zugang von KMU und expandierenden Jungunternehmen zu Finanzmitteln i) von der erheblichen Verringerung des bürokratischen und regulatorischen Aufwands, </w:t>
            </w:r>
            <w:r>
              <w:rPr>
                <w:b/>
                <w:i/>
              </w:rPr>
              <w:t>darunter langwierige Genehmigungsverfahren, kostspielige Berichterstattungspflichten sowie die Komplexität und Unvorhersehbarkeit des Regelungsumfelds, abhängen wird, sowie</w:t>
            </w:r>
            <w:r>
              <w:t xml:space="preserve"> ii) von der verbesserten Fähigkeit zur Mobilisierung privater Investitionen und Einsparungen </w:t>
            </w:r>
            <w:r>
              <w:rPr>
                <w:b/>
                <w:i/>
              </w:rPr>
              <w:t>durch die Verwirklichung einer Spar- und Investitionsunion</w:t>
            </w:r>
            <w:r>
              <w:t>, iii) von der Schließung der Finanzierungslücke für expandierende Jungunternehmen</w:t>
            </w:r>
            <w:r>
              <w:rPr>
                <w:b/>
                <w:i/>
              </w:rPr>
              <w:t>, insbesondere, indem institutionelle Anleger in die Lage versetzt werden, als langfristige Eigenkapitalgeber zu agieren,</w:t>
            </w:r>
            <w:r>
              <w:t xml:space="preserve"> und iv) von der Stärkung eines wettbewerbsorientierten Kapitalmarktökosystems in der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ist der Ansicht, dass ein leichterer Zugang von KMU und expandierenden Jungunternehmen zu Finanzmitteln i) von der </w:t>
            </w:r>
            <w:r>
              <w:rPr>
                <w:b/>
                <w:i/>
              </w:rPr>
              <w:t>erheblichen</w:t>
            </w:r>
            <w:r>
              <w:t xml:space="preserve"> Verringerung des bürokratischen und regulatorischen Aufwands, ii) von der verbesserten Fähigkeit zur Mobilisierung privater Investitionen und Einsparungen, iii) von der Schließung der Finanzierungslücke für expandierende Jungunternehmen und iv) von der Stärkung eines wettbewerbsorientierten Kapitalmarktökosystems in der EU abhängen wird;</w:t>
            </w:r>
          </w:p>
        </w:tc>
        <w:tc>
          <w:tcPr>
            <w:tcW w:w="4876" w:type="dxa"/>
            <w:tcBorders>
              <w:top w:val="nil"/>
              <w:left w:val="nil"/>
              <w:bottom w:val="nil"/>
              <w:right w:val="nil"/>
            </w:tcBorders>
          </w:tcPr>
          <w:p>
            <w:pPr>
              <w:pStyle w:val="Normal6a"/>
            </w:pPr>
            <w:r>
              <w:t>5.</w:t>
            </w:r>
            <w:r>
              <w:tab/>
            </w:r>
            <w:r>
              <w:t xml:space="preserve">ist der Ansicht, dass ein leichterer Zugang von KMU und expandierenden Jungunternehmen zu Finanzmitteln i) von der Verringerung des bürokratischen und regulatorischen Aufwands, ii) von der verbesserten Fähigkeit zur Mobilisierung privater </w:t>
            </w:r>
            <w:r>
              <w:rPr>
                <w:b/>
                <w:i/>
              </w:rPr>
              <w:t>und öffentlicher</w:t>
            </w:r>
            <w:r>
              <w:t xml:space="preserve"> Investitionen und Einsparungen, iii) von der Schließung der Finanzierungslücke für expandierende Jungunternehmen und iv) von der Stärkung eines wettbewerbsorientierten </w:t>
            </w:r>
            <w:r>
              <w:rPr>
                <w:b/>
                <w:i/>
              </w:rPr>
              <w:t>und stärker integrierten</w:t>
            </w:r>
            <w:r>
              <w:t xml:space="preserve"> Kapitalmarktökosystems in der EU</w:t>
            </w:r>
            <w:r>
              <w:rPr>
                <w:b/>
                <w:i/>
              </w:rPr>
              <w:t>, das gut reguliert ist und auf einem soliden Investorenschutz basiert,</w:t>
            </w:r>
            <w:r>
              <w:t xml:space="preserve"> abhängen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ist der Ansicht, dass ein leichterer Zugang von KMU und expandierenden Jungunternehmen zu Finanzmitteln i) von der erheblichen Verringerung des bürokratischen und regulatorischen Aufwands, ii) von der verbesserten Fähigkeit zur Mobilisierung privater Investitionen und Einsparungen, iii) von der Schließung der Finanzierungslücke für expandierende Jungunternehmen und iv) von der Stärkung eines wettbewerbsorientierten Kapitalmarktökosystems in der EU abhängen wird;</w:t>
            </w:r>
          </w:p>
        </w:tc>
        <w:tc>
          <w:tcPr>
            <w:tcW w:w="4876" w:type="dxa"/>
            <w:tcBorders>
              <w:top w:val="nil"/>
              <w:left w:val="nil"/>
              <w:bottom w:val="nil"/>
              <w:right w:val="nil"/>
            </w:tcBorders>
          </w:tcPr>
          <w:p>
            <w:pPr>
              <w:pStyle w:val="Normal6a"/>
            </w:pPr>
            <w:r>
              <w:t>5.</w:t>
            </w:r>
            <w:r>
              <w:tab/>
            </w:r>
            <w:r>
              <w:t xml:space="preserve">ist der Ansicht, dass ein leichterer Zugang von KMU und expandierenden Jungunternehmen zu Finanzmitteln i) von der erheblichen </w:t>
            </w:r>
            <w:r>
              <w:rPr>
                <w:b/>
                <w:i/>
              </w:rPr>
              <w:t>und dauerhaften</w:t>
            </w:r>
            <w:r>
              <w:t xml:space="preserve"> Verringerung des bürokratischen und regulatorischen Aufwands, ii) von der verbesserten Fähigkeit zur Mobilisierung privater Investitionen und Einsparungen, iii) von der Schließung der Finanzierungslücke für expandierende Jungunternehmen und iv) von der Stärkung eines wettbewerbsorientierten Kapitalmarktökosystems in der EU abhängen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ist der Ansicht, dass ein leichterer Zugang von KMU und expandierenden Jungunternehmen zu Finanzmitteln i) von der </w:t>
            </w:r>
            <w:r>
              <w:rPr>
                <w:b/>
                <w:i/>
              </w:rPr>
              <w:t>erheblichen Verringerung des bürokratischen und regulatorischen Aufwands, ii) von der</w:t>
            </w:r>
            <w:r>
              <w:t xml:space="preserve"> verbesserten Fähigkeit zur Mobilisierung privater Investitionen und Einsparungen, </w:t>
            </w:r>
            <w:r>
              <w:rPr>
                <w:b/>
                <w:i/>
              </w:rPr>
              <w:t>iii</w:t>
            </w:r>
            <w:r>
              <w:t xml:space="preserve">) von der Schließung der Finanzierungslücke für expandierende Jungunternehmen und </w:t>
            </w:r>
            <w:r>
              <w:rPr>
                <w:b/>
                <w:i/>
              </w:rPr>
              <w:t>iv</w:t>
            </w:r>
            <w:r>
              <w:t>) von der Stärkung eines wettbewerbsorientierten Kapitalmarktökosystems in der EU abhängen wird;</w:t>
            </w:r>
          </w:p>
        </w:tc>
        <w:tc>
          <w:tcPr>
            <w:tcW w:w="4876" w:type="dxa"/>
            <w:tcBorders>
              <w:top w:val="nil"/>
              <w:left w:val="nil"/>
              <w:bottom w:val="nil"/>
              <w:right w:val="nil"/>
            </w:tcBorders>
          </w:tcPr>
          <w:p>
            <w:pPr>
              <w:pStyle w:val="Normal6a"/>
            </w:pPr>
            <w:r>
              <w:t>5.</w:t>
            </w:r>
            <w:r>
              <w:tab/>
            </w:r>
            <w:r>
              <w:t xml:space="preserve">ist der Ansicht, dass ein leichterer Zugang von KMU und expandierenden Jungunternehmen zu Finanzmitteln i) von der verbesserten Fähigkeit zur Mobilisierung privater Investitionen und Einsparungen, </w:t>
            </w:r>
            <w:r>
              <w:rPr>
                <w:b/>
                <w:i/>
              </w:rPr>
              <w:t>ii</w:t>
            </w:r>
            <w:r>
              <w:t xml:space="preserve">) von der Schließung der Finanzierungslücke für expandierende Jungunternehmen und </w:t>
            </w:r>
            <w:r>
              <w:rPr>
                <w:b/>
                <w:i/>
              </w:rPr>
              <w:t>iii</w:t>
            </w:r>
            <w:r>
              <w:t>) von der Stärkung eines wettbewerbsorientierten Kapitalmarktökosystems in der EU abhängen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ist der Ansicht, dass ein leichterer Zugang von KMU und expandierenden Jungunternehmen zu Finanzmitteln i) von der erheblichen Verringerung des bürokratischen und regulatorischen Aufwands, ii) von der verbesserten Fähigkeit zur Mobilisierung privater Investitionen und Einsparungen, iii) von der Schließung der Finanzierungslücke für expandierende Jungunternehmen und iv) von der </w:t>
            </w:r>
            <w:r>
              <w:rPr>
                <w:b/>
                <w:i/>
              </w:rPr>
              <w:t>Stärkung eines wettbewerbsorientierten Kapitalmarktökosystems</w:t>
            </w:r>
            <w:r>
              <w:t xml:space="preserve"> in der EU abhängen wird;</w:t>
            </w:r>
          </w:p>
        </w:tc>
        <w:tc>
          <w:tcPr>
            <w:tcW w:w="4876" w:type="dxa"/>
            <w:tcBorders>
              <w:top w:val="nil"/>
              <w:left w:val="nil"/>
              <w:bottom w:val="nil"/>
              <w:right w:val="nil"/>
            </w:tcBorders>
          </w:tcPr>
          <w:p>
            <w:pPr>
              <w:pStyle w:val="Normal6a"/>
            </w:pPr>
            <w:r>
              <w:t>5.</w:t>
            </w:r>
            <w:r>
              <w:tab/>
            </w:r>
            <w:r>
              <w:t xml:space="preserve">ist der Ansicht, dass ein leichterer Zugang von KMU und expandierenden Jungunternehmen zu Finanzmitteln i) von der erheblichen Verringerung des bürokratischen und regulatorischen Aufwands, ii) von der verbesserten Fähigkeit zur Mobilisierung privater Investitionen und Einsparungen, iii) von der Schließung der Finanzierungslücke für expandierende Jungunternehmen und iv) von der </w:t>
            </w:r>
            <w:r>
              <w:rPr>
                <w:b/>
                <w:i/>
              </w:rPr>
              <w:t>Vollendung der Spar- und Investitionsunion</w:t>
            </w:r>
            <w:r>
              <w:t xml:space="preserve"> in der EU abhängen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betont, dass die Finanzierung von KMU da erfolgen sollte, wo günstigere Bedingungen für ihr Wachstum und ihre Expansion bestehen, unabhängig von der geografischen Herkunft des Kapitals;</w:t>
            </w:r>
            <w:r>
              <w:t xml:space="preserve"> </w:t>
            </w:r>
            <w:r>
              <w:rPr>
                <w:b/>
                <w:i/>
              </w:rPr>
              <w:t>ist der Ansicht, dass jede politische Ausrichtung, bei der dem Finanznationalismus oder der Präferenz „europäischen“ Kapitals Vorrang vor Kriterien der wirtschaftlichen Effizienz, der Rentabilität und des Risikoprofils eingeräumt wird, kontraproduktiv ist;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betont, wie wichtig ein Eingreifen der EIB im Hinblick auf die Unterstützung von KMU und Start-up-Unternehmen insbesondere in bestimmten strategischen Sektoren ist;</w:t>
            </w:r>
            <w:r>
              <w:t xml:space="preserve"> </w:t>
            </w:r>
            <w:r>
              <w:rPr>
                <w:b/>
                <w:i/>
              </w:rPr>
              <w:t>betont, dass diese Darlehen für die Entwicklung unserer Wirtschaft, insbesondere in wirtschaftsschwachen und marginalisierten Gebieten, von grundlegender Bedeutung sind und nicht für militärische Technologien oder Technologien mit doppeltem Verwendungszweck verwendet werden dürfen;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fordert die Kommission und die EIB-Gruppe auf, dafür zu sorgen, dass der Politikbereich „KMU“ von InvestEU ausreichend mit Mitteln ausgestattet und auch weiterhin in der Lage ist, innovative Projekte mit höherem Risiko in der Frühphase zu unterstützen, um Unternehmen mit hohem Wachstumspotenzial nicht auszuschließen;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stellt fest, dass infolge der Klimakrise Millionen von KMU in der EU den Übergang zur Klimaneutralität vollziehen müssen;</w:t>
            </w:r>
            <w:r>
              <w:t xml:space="preserve"> </w:t>
            </w:r>
            <w:r>
              <w:rPr>
                <w:b/>
                <w:i/>
              </w:rPr>
              <w:t>fordert die Kommission und die Mitgliedstaaten auf, ihre Anstrengungen zu verstärken, um nachhaltige Finanzierung besser auf KMU zuzuschneiden;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fordert, dass alle neuen Rechtsvorschriften der EU systematisch im Hinblick auf ihre potenziellen Auswirkungen auf KMU bewertet werden, insbesondere in Bezug auf den Verwaltungsaufwand, und dass diese Bewertungen als Grundlage für eine Gestaltung von Rechtsvorschriften dienen, bei der unverhältnismäßige Auswirkungen vermieden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Verringerung des bürokratischen und regulatorischen Aufwands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Verringerung des bürokratischen und regulatorischen Aufwands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Verringerung des bürokratischen und regulatorischen Aufwands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betont, dass Bemühungen um Vereinfachungen nicht dazu führen sollten, dass wesentliche Vorschriften und Bestimmungen zur Unterstützung von KMU aufgehoben werden, da diese von entscheidender Bedeutung sind, um ihnen dabei zu helfen, ihre Wettbewerbsfähigkeit zu steigern und Ineffizienzen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KMU und neue Technologien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weist darauf hin, dass viele vielversprechende Start-up-Unternehmen und expandierende Jungunternehmen in Europa aufgrund eines aufwändigen, langsamen und unvorhersehbaren europäischen Regelungsumfelds in Nicht-EU-Länder umsiedeln;</w:t>
            </w:r>
            <w:r>
              <w:t xml:space="preserve"> </w:t>
            </w:r>
            <w:r>
              <w:rPr>
                <w:b/>
                <w:i/>
              </w:rPr>
              <w:t>betont, dass Europa Unternehmen in ihrer strategisch wichtigsten Wachstumsphase auch weiter verliert, wenn diesem Abgang nicht durch eine erhebliche Vereinfachung gegengesteuert wird;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weist darauf hin, dass viele vielversprechende Start-up-Unternehmen und expandierende Jungunternehmen in Europa aufgrund eines aufwändigen, langsamen und unvorhersehbaren europäischen Regelungsumfelds in Nicht-EU-Länder umsiedeln;</w:t>
            </w:r>
            <w:r>
              <w:t xml:space="preserve"> </w:t>
            </w:r>
            <w:r>
              <w:rPr>
                <w:b/>
                <w:i/>
              </w:rPr>
              <w:t>betont, dass Europa Unternehmen in ihrer strategisch wichtigsten Wachstumsphase auch weiter verliert, wenn diesem Abgang nicht durch eine erhebliche Vereinfachung gegengesteuert wird;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weist darauf hin, dass viele vielversprechende Start-up-Unternehmen und expandierende Jungunternehmen in Europa aufgrund eines aufwändigen, langsamen und unvorhersehbaren europäischen Regelungsumfelds in Nicht-EU-Länder umsiedeln;</w:t>
            </w:r>
            <w:r>
              <w:t xml:space="preserve"> </w:t>
            </w:r>
            <w:r>
              <w:rPr>
                <w:b/>
                <w:i/>
              </w:rPr>
              <w:t>betont, dass Europa Unternehmen in ihrer strategisch wichtigsten Wachstumsphase auch weiter verliert, wenn diesem Abgang nicht durch eine erhebliche Vereinfachung gegengesteuert wird;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weist darauf hin, dass viele vielversprechende Start-up-Unternehmen und expandierende Jungunternehmen in Europa aufgrund eines aufwändigen</w:t>
            </w:r>
            <w:r>
              <w:rPr>
                <w:b/>
                <w:i/>
              </w:rPr>
              <w:t>, langsamen und unvorhersehbaren europäischen Regelungsumfelds</w:t>
            </w:r>
            <w:r>
              <w:t xml:space="preserve"> in Nicht-EU-Länder umsiedeln; betont, dass Europa Unternehmen in ihrer strategisch wichtigsten Wachstumsphase auch weiter verliert, wenn diesem Abgang nicht durch eine erhebliche Vereinfachung gegengesteuert wird;</w:t>
            </w:r>
          </w:p>
        </w:tc>
        <w:tc>
          <w:tcPr>
            <w:tcW w:w="4876" w:type="dxa"/>
            <w:tcBorders>
              <w:top w:val="nil"/>
              <w:left w:val="nil"/>
              <w:bottom w:val="nil"/>
              <w:right w:val="nil"/>
            </w:tcBorders>
          </w:tcPr>
          <w:p>
            <w:pPr>
              <w:pStyle w:val="Normal6a"/>
            </w:pPr>
            <w:r>
              <w:t>6.</w:t>
            </w:r>
            <w:r>
              <w:tab/>
            </w:r>
            <w:r>
              <w:t xml:space="preserve">weist darauf hin, dass viele vielversprechende Start-up-Unternehmen und expandierende Jungunternehmen in Europa aufgrund eines aufwändigen </w:t>
            </w:r>
            <w:r>
              <w:rPr>
                <w:b/>
                <w:i/>
              </w:rPr>
              <w:t>EU-Regelungsrahmens und eines Mangels an tiefen, einheitlichen Kapitalmärkten</w:t>
            </w:r>
            <w:r>
              <w:t xml:space="preserve"> in Nicht-EU-Länder umsiedeln; betont, dass Europa Unternehmen in ihrer strategisch wichtigsten Wachstumsphase auch weiter verliert, wenn diesem Abgang nicht durch eine erhebliche Vereinfachung gegengesteuert wird; </w:t>
            </w:r>
            <w:r>
              <w:rPr>
                <w:b/>
                <w:i/>
              </w:rPr>
              <w:t>betont, dass Europa Unternehmen in ihrer strategisch wichtigsten Wachstumsphase auch weiterhin verlieren wird, wenn dieser Tendenz nicht durch erhebliche Vereinfachungen und die Verwirklichung der Spar- und Investitionsunion gegengesteuert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weist darauf hin, dass viele vielversprechende Start-up-Unternehmen und expandierende Jungunternehmen in Europa aufgrund eines aufwändigen, langsamen und unvorhersehbaren europäischen Regelungsumfelds in Nicht-EU-Länder umsiedeln; betont, dass Europa Unternehmen in ihrer strategisch wichtigsten Wachstumsphase auch weiter verliert, wenn diesem Abgang nicht durch eine erhebliche Vereinfachung gegengesteuert wird;</w:t>
            </w:r>
          </w:p>
        </w:tc>
        <w:tc>
          <w:tcPr>
            <w:tcW w:w="4876" w:type="dxa"/>
            <w:tcBorders>
              <w:top w:val="nil"/>
              <w:left w:val="nil"/>
              <w:bottom w:val="nil"/>
              <w:right w:val="nil"/>
            </w:tcBorders>
          </w:tcPr>
          <w:p>
            <w:pPr>
              <w:pStyle w:val="Normal6a"/>
            </w:pPr>
            <w:r>
              <w:t>6.</w:t>
            </w:r>
            <w:r>
              <w:tab/>
            </w:r>
            <w:r>
              <w:t xml:space="preserve">weist darauf hin, dass viele vielversprechende Start-up-Unternehmen und expandierende Jungunternehmen in Europa aufgrund eines aufwändigen, langsamen und unvorhersehbaren europäischen Regelungsumfelds in Nicht-EU-Länder umsiedeln; betont, dass Europa Unternehmen in ihrer strategisch wichtigsten Wachstumsphase auch weiter verliert, wenn diesem Abgang nicht durch eine erhebliche Vereinfachung gegengesteuert wird; </w:t>
            </w:r>
            <w:r>
              <w:rPr>
                <w:b/>
                <w:i/>
              </w:rPr>
              <w:t>betont, dass dieser Verlust innovativer und schnell wachsender Unternehmen zu weniger neuen Arbeitsplätzen und einem langsameren Wirtschaftswachstum in der EU führt;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weist darauf hin, dass viele vielversprechende Start-up-Unternehmen und expandierende Jungunternehmen in Europa aufgrund eines </w:t>
            </w:r>
            <w:r>
              <w:rPr>
                <w:b/>
                <w:i/>
              </w:rPr>
              <w:t>aufwändigen, langsamen und unvorhersehbaren europäischen</w:t>
            </w:r>
            <w:r>
              <w:t xml:space="preserve"> Regelungsumfelds in Nicht-EU-Länder </w:t>
            </w:r>
            <w:r>
              <w:rPr>
                <w:b/>
                <w:i/>
              </w:rPr>
              <w:t>umsiedeln</w:t>
            </w:r>
            <w:r>
              <w:t xml:space="preserve">; betont, dass </w:t>
            </w:r>
            <w:r>
              <w:rPr>
                <w:b/>
                <w:i/>
              </w:rPr>
              <w:t>Europa</w:t>
            </w:r>
            <w:r>
              <w:t xml:space="preserve"> Unternehmen in ihrer </w:t>
            </w:r>
            <w:r>
              <w:rPr>
                <w:b/>
                <w:i/>
              </w:rPr>
              <w:t>strategisch wichtigsten Wachstumsphase auch weiter verliert, wenn diesem Abgang nicht durch eine erhebliche Vereinfachung gegengesteuert wird</w:t>
            </w:r>
            <w:r>
              <w:t>;</w:t>
            </w:r>
          </w:p>
        </w:tc>
        <w:tc>
          <w:tcPr>
            <w:tcW w:w="4876" w:type="dxa"/>
            <w:tcBorders>
              <w:top w:val="nil"/>
              <w:left w:val="nil"/>
              <w:bottom w:val="nil"/>
              <w:right w:val="nil"/>
            </w:tcBorders>
          </w:tcPr>
          <w:p>
            <w:pPr>
              <w:pStyle w:val="Normal6a"/>
            </w:pPr>
            <w:r>
              <w:t>6.</w:t>
            </w:r>
            <w:r>
              <w:tab/>
            </w:r>
            <w:r>
              <w:t xml:space="preserve">weist darauf hin, dass viele vielversprechende Start-up-Unternehmen und expandierende Jungunternehmen in Europa </w:t>
            </w:r>
            <w:r>
              <w:rPr>
                <w:b/>
                <w:i/>
              </w:rPr>
              <w:t>vorrangig</w:t>
            </w:r>
            <w:r>
              <w:t xml:space="preserve"> aufgrund eines Regelungsumfelds</w:t>
            </w:r>
            <w:r>
              <w:rPr>
                <w:b/>
                <w:i/>
              </w:rPr>
              <w:t>, das als aufwändig, fragmentiert und unvorhersehbar wahrgenommen wird, zunehmend anstreben,</w:t>
            </w:r>
            <w:r>
              <w:t xml:space="preserve"> in Nicht-EU-Länder </w:t>
            </w:r>
            <w:r>
              <w:rPr>
                <w:b/>
                <w:i/>
              </w:rPr>
              <w:t>umzusiedeln oder dort zu expandieren</w:t>
            </w:r>
            <w:r>
              <w:t xml:space="preserve">; betont, dass </w:t>
            </w:r>
            <w:r>
              <w:rPr>
                <w:b/>
                <w:i/>
              </w:rPr>
              <w:t>die EU ohne bedeutsame und rechtzeitige Maßnahmen zur Vereinfachung Gefahr läuft, wachstumsstarke</w:t>
            </w:r>
            <w:r>
              <w:t xml:space="preserve"> Unternehmen in ihrer </w:t>
            </w:r>
            <w:r>
              <w:rPr>
                <w:b/>
                <w:i/>
              </w:rPr>
              <w:t>kritischsten Entwicklungsphase sowie auch die damit verbundenen Innovationen, Arbeitsplätze und Investitionen zu verlieren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weist darauf hin, dass viele vielversprechende Start-up-Unternehmen und expandierende Jungunternehmen </w:t>
            </w:r>
            <w:r>
              <w:rPr>
                <w:b/>
                <w:i/>
              </w:rPr>
              <w:t>in Europa</w:t>
            </w:r>
            <w:r>
              <w:t xml:space="preserve"> aufgrund </w:t>
            </w:r>
            <w:r>
              <w:rPr>
                <w:b/>
                <w:i/>
              </w:rPr>
              <w:t>eines aufwändigen, langsamen und unvorhersehbaren</w:t>
            </w:r>
            <w:r>
              <w:t xml:space="preserve"> europäischen </w:t>
            </w:r>
            <w:r>
              <w:rPr>
                <w:b/>
                <w:i/>
              </w:rPr>
              <w:t>Regelungsumfelds</w:t>
            </w:r>
            <w:r>
              <w:t xml:space="preserve"> in Nicht-EU-Länder umsiedeln; </w:t>
            </w:r>
            <w:r>
              <w:rPr>
                <w:b/>
                <w:i/>
              </w:rPr>
              <w:t>betont, dass Europa</w:t>
            </w:r>
            <w:r>
              <w:t xml:space="preserve"> Unternehmen </w:t>
            </w:r>
            <w:r>
              <w:rPr>
                <w:b/>
                <w:i/>
              </w:rPr>
              <w:t>in ihrer strategisch wichtigsten Wachstumsphase auch weiter verliert, wenn diesem Abgang nicht durch eine erhebliche Vereinfachung gegengesteuert wird</w:t>
            </w:r>
            <w:r>
              <w:t>;</w:t>
            </w:r>
          </w:p>
        </w:tc>
        <w:tc>
          <w:tcPr>
            <w:tcW w:w="4876" w:type="dxa"/>
            <w:tcBorders>
              <w:top w:val="nil"/>
              <w:left w:val="nil"/>
              <w:bottom w:val="nil"/>
              <w:right w:val="nil"/>
            </w:tcBorders>
          </w:tcPr>
          <w:p>
            <w:pPr>
              <w:pStyle w:val="Normal6a"/>
            </w:pPr>
            <w:r>
              <w:t>6.</w:t>
            </w:r>
            <w:r>
              <w:tab/>
            </w:r>
            <w:r>
              <w:t xml:space="preserve">weist darauf hin, dass viele vielversprechende Start-up-Unternehmen und expandierende Jungunternehmen aufgrund </w:t>
            </w:r>
            <w:r>
              <w:rPr>
                <w:b/>
                <w:i/>
              </w:rPr>
              <w:t>unzureichend integrierter und unterentwickelter Kapitalmärkte in der</w:t>
            </w:r>
            <w:r>
              <w:t xml:space="preserve"> Europäischen </w:t>
            </w:r>
            <w:r>
              <w:rPr>
                <w:b/>
                <w:i/>
              </w:rPr>
              <w:t>Union</w:t>
            </w:r>
            <w:r>
              <w:t xml:space="preserve"> in Nicht-EU-Länder umsiedeln; </w:t>
            </w:r>
            <w:r>
              <w:rPr>
                <w:b/>
                <w:i/>
              </w:rPr>
              <w:t>fordert die Kommission auf, weitere Fortschritte bei der Entwicklung einer EU-Kapitalmarktunion zu erzielen, mit der sich der Zugang zu Finanzmitteln für</w:t>
            </w:r>
            <w:r>
              <w:t xml:space="preserve"> Unternehmen </w:t>
            </w:r>
            <w:r>
              <w:rPr>
                <w:b/>
                <w:i/>
              </w:rPr>
              <w:t>verbessert und attraktivere Investitionsmöglichkeiten für die Bürgerinnen und Bürger sowie für Investoren entstehen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weist darauf hin, dass viele vielversprechende Start-up-Unternehmen und expandierende Jungunternehmen in Europa aufgrund </w:t>
            </w:r>
            <w:r>
              <w:rPr>
                <w:b/>
                <w:i/>
              </w:rPr>
              <w:t>eines aufwändigen, langsamen und unvorhersehbaren europäischen Regelungsumfelds</w:t>
            </w:r>
            <w:r>
              <w:t xml:space="preserve"> in Nicht-EU-Länder umsiedeln; betont, dass Europa Unternehmen in ihrer strategisch wichtigsten Wachstumsphase auch weiter verliert, wenn diesem </w:t>
            </w:r>
            <w:r>
              <w:rPr>
                <w:b/>
                <w:i/>
              </w:rPr>
              <w:t>Abgang</w:t>
            </w:r>
            <w:r>
              <w:t xml:space="preserve"> nicht durch eine erhebliche Vereinfachung </w:t>
            </w:r>
            <w:r>
              <w:rPr>
                <w:b/>
                <w:i/>
              </w:rPr>
              <w:t>gegengesteuert</w:t>
            </w:r>
            <w:r>
              <w:t xml:space="preserve"> wird;</w:t>
            </w:r>
          </w:p>
        </w:tc>
        <w:tc>
          <w:tcPr>
            <w:tcW w:w="4876" w:type="dxa"/>
            <w:tcBorders>
              <w:top w:val="nil"/>
              <w:left w:val="nil"/>
              <w:bottom w:val="nil"/>
              <w:right w:val="nil"/>
            </w:tcBorders>
          </w:tcPr>
          <w:p>
            <w:pPr>
              <w:pStyle w:val="Normal6a"/>
            </w:pPr>
            <w:r>
              <w:t>6.</w:t>
            </w:r>
            <w:r>
              <w:tab/>
            </w:r>
            <w:r>
              <w:t xml:space="preserve">weist darauf hin, dass viele vielversprechende Start-up-Unternehmen und expandierende Jungunternehmen in Europa aufgrund </w:t>
            </w:r>
            <w:r>
              <w:rPr>
                <w:b/>
                <w:i/>
              </w:rPr>
              <w:t>des sehr hohen Verwaltungsaufwands</w:t>
            </w:r>
            <w:r>
              <w:t xml:space="preserve"> in Nicht-EU-Länder umsiedeln; betont, dass Europa Unternehmen in ihrer strategisch wichtigsten Wachstumsphase auch weiter verliert, wenn diesem </w:t>
            </w:r>
            <w:r>
              <w:rPr>
                <w:b/>
                <w:i/>
              </w:rPr>
              <w:t>Umstand</w:t>
            </w:r>
            <w:r>
              <w:t xml:space="preserve"> nicht durch eine erhebliche Vereinfachung </w:t>
            </w:r>
            <w:r>
              <w:rPr>
                <w:b/>
                <w:i/>
              </w:rPr>
              <w:t>abgeholfen</w:t>
            </w:r>
            <w:r>
              <w:t xml:space="preserve">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weist darauf hin, dass viele vielversprechende Start-up-Unternehmen und expandierende Jungunternehmen in Europa aufgrund </w:t>
            </w:r>
            <w:r>
              <w:rPr>
                <w:b/>
                <w:i/>
              </w:rPr>
              <w:t>eines aufwändigen, langsamen und unvorhersehbaren europäischen Regelungsumfelds in Nicht-EU-Länder umsiedeln;</w:t>
            </w:r>
            <w:r>
              <w:t xml:space="preserve"> </w:t>
            </w:r>
            <w:r>
              <w:rPr>
                <w:b/>
                <w:i/>
              </w:rPr>
              <w:t>betont, dass Europa</w:t>
            </w:r>
            <w:r>
              <w:t xml:space="preserve"> Unternehmen </w:t>
            </w:r>
            <w:r>
              <w:rPr>
                <w:b/>
                <w:i/>
              </w:rPr>
              <w:t>in ihrer strategisch wichtigsten Wachstumsphase auch weiter verliert, wenn diesem Abgang nicht durch eine erhebliche Vereinfachung gegengesteuert wird</w:t>
            </w:r>
            <w:r>
              <w:t>;</w:t>
            </w:r>
          </w:p>
        </w:tc>
        <w:tc>
          <w:tcPr>
            <w:tcW w:w="4876" w:type="dxa"/>
            <w:tcBorders>
              <w:top w:val="nil"/>
              <w:left w:val="nil"/>
              <w:bottom w:val="nil"/>
              <w:right w:val="nil"/>
            </w:tcBorders>
          </w:tcPr>
          <w:p>
            <w:pPr>
              <w:pStyle w:val="Normal6a"/>
            </w:pPr>
            <w:r>
              <w:t>6.</w:t>
            </w:r>
            <w:r>
              <w:tab/>
            </w:r>
            <w:r>
              <w:t xml:space="preserve">weist darauf hin, dass viele vielversprechende Start-up-Unternehmen und expandierende Jungunternehmen in Europa aufgrund </w:t>
            </w:r>
            <w:r>
              <w:rPr>
                <w:b/>
                <w:i/>
              </w:rPr>
              <w:t>des hohen Regelungsaufwands, der in einigen Fällen zu Unsicherheit führt und das Wachstum von</w:t>
            </w:r>
            <w:r>
              <w:t xml:space="preserve"> Unternehmen </w:t>
            </w:r>
            <w:r>
              <w:rPr>
                <w:b/>
                <w:i/>
              </w:rPr>
              <w:t>beeinträchtigt, ihren Standort in Drittländer verlagern;</w:t>
            </w:r>
            <w:r>
              <w:t xml:space="preserve"> </w:t>
            </w:r>
            <w:r>
              <w:rPr>
                <w:b/>
                <w:i/>
              </w:rPr>
              <w:t>weist darauf hin, dass es in der vorangegangenen Wahlperiode eine umfassende Regulierungsagende gab, die in dieser Wahlperiode umgesetzt werden muss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fordert die Kommission und die Mitgliedstaaten auf, sich verstärkt darum zu bemühen, Barrieren und Hindernisse zu beseitigen, die zu einer Fragmentierung des Binnenmarkts führen und die Fähigkeit von KMU und expandierenden Jungunternehmen beeinträchtigen, sich in ihrem jeweiligen Gebiet zu konsolidieren und zu wachsen;</w:t>
            </w:r>
            <w:r>
              <w:t xml:space="preserve"> </w:t>
            </w:r>
            <w:r>
              <w:rPr>
                <w:b/>
                <w:i/>
              </w:rPr>
              <w:t>betont insbesondere, dass dringend Maßnahmen ergriffen werden müssen, um gegen unverhältnismäßigen Verwaltungsaufwand, ungleiche Steuerregelungen zwischen den Mitgliedstaaten, nachteilige Umweltauflagen, übermäßig lange Fristen für die Erteilung von Genehmigungen und Lizenzen sowie Schwierigkeiten beim Zugang zu Finanzmitteln vorzugehen;</w:t>
            </w:r>
            <w:r>
              <w:t xml:space="preserve"> </w:t>
            </w:r>
            <w:r>
              <w:rPr>
                <w:b/>
                <w:i/>
              </w:rPr>
              <w:t>weist darauf hin, dass diese Probleme die Wettbewerbsfähigkeit und die Wachstumsfähigkeit der europäischen KMU beeinträchtigen, insbesondere in den sensibelsten Entwicklungsstadien;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fordert die Kommission auf, einen „Start-up-Test“ nach dem Vorbild des von ihr 2021 angenommenen KMU-Tests auszuarbeiten und anzunehmen, damit die Auswirkungen von Rechtsvorschriften mit einem Schwerpunkt auf Innovation, Finanzierung und Wettbewerbsfähigkeit besser bewertet werden können; nimmt den Vorschlag der Präsidentin der Kommission zur Kenntnis, für neue EU-Rechtsvorschriften eine Überprüfung im Hinblick auf Wettbewerbsfähigkeit durch einen unabhängigen Ausschuss einzuführen;</w:t>
            </w:r>
            <w:r>
              <w:t xml:space="preserve"> </w:t>
            </w:r>
            <w:r>
              <w:rPr>
                <w:b/>
                <w:i/>
              </w:rPr>
              <w:t>ist der Ansicht, dass bei dieser Überprüfung der Wettbewerbsfähigkeit ein besonderer Rahmen für Start-up-Unternehmen, expandierende Jungunternehmen und KMU vorgesehen werden sollte, damit im Rahmen der Regulierung Anreize für die Gründung neuer Unternehmen in Europa entstehen;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stellt fest, dass das Wachstum der Unternehmen nicht nur durch den Mangel an Finanzmitteln in späten Phasen, sondern auch durch die Anhäufung regulatorischer Hindernisse, die eine Expansion sanktionieren, begrenzt wird;</w:t>
            </w:r>
            <w:r>
              <w:t xml:space="preserve"> </w:t>
            </w:r>
            <w:r>
              <w:rPr>
                <w:b/>
                <w:i/>
              </w:rPr>
              <w:t>hebt insbesondere den Verwaltungsaufwand im Zusammenhang mit den Meldepflichten sowie die Steuer- und regulatorischen Schwellenwerte hervor, die dem Wachstum der Unternehmen entgegenwirken, da nach Überschreitung bestimmter Mengen oder Abrechnungsbeträge eine aufwändigere Vorgehensweise vorgeschrieben ist;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erwartet von der Kommission, dass sie den Interessen von Start-up-Unternehmen und expandierenden Jungunternehmen an einem wettbewerbsfähigen Marktzugang größtmögliche Aufmerksamkeit widmet, wenn sie Ausnahmen von den Vorschriften über staatliche Beihilfen und Fusionskontrollvorschriften sowie Lockerungen der Vorschriften der Wettbewerbspolitik bewertet;</w:t>
            </w:r>
            <w:r>
              <w:t xml:space="preserve"> </w:t>
            </w:r>
            <w:r>
              <w:rPr>
                <w:b/>
                <w:i/>
              </w:rPr>
              <w:t>fordert eine Agenda für Wettbewerbsfähigkeit, die sich auf Innovatoren konzentriert, wobei der Schwerpunkt auf der Senkung der Marktzugangskosten, der Förderung der grenzüberschreitenden Mobilität von Gründern und Talenten und der Unterstützung des digitalen und ökologischen Wandels von Unternehmen liegen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betont, wie wichtig der Zugang von KMU zu neuen Technologien der künstlichen Intelligenz ist;</w:t>
            </w:r>
            <w:r>
              <w:t xml:space="preserve"> </w:t>
            </w:r>
            <w:r>
              <w:rPr>
                <w:b/>
                <w:i/>
              </w:rPr>
              <w:t>fordert, dass eine öffentliche digitale Infrastruktur und Plattformen entwickelt werden, die auch dem Zugang zu Know-how und der öffentlichen, demokratischen Kontrolle im digitalen Sektor förderlich wären;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fordert die Kommission auf, gegen die wirtschaftliche, finanzielle, regulatorische und rechtliche Fragmentierung in der EU vorzugehen, um Hindernisse für das Wachstum von KMU und expandierenden Jungunternehmen zu beseitigen;</w:t>
            </w:r>
            <w:r>
              <w:t xml:space="preserve"> </w:t>
            </w:r>
            <w:r>
              <w:rPr>
                <w:b/>
                <w:i/>
              </w:rPr>
              <w:t>betont, dass mit einem echten Binnenmarkt dazu beigetragen wird, expandierende Jungunternehmen von einer Verlagerung in Nicht-EU-Länder abzuhalten;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weist darauf hin, dass im Rahmen des europäischen Grünen Deals übermäßige Berichtspflichten für KMU eingeführt wurden und dass ihre Eindämmung mit einer Überprüfung der gesamten grünen Agenda der EU einhergehen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begrüßt das Ziel der Kommission, den Aufwand im Zusammenhang mit den Berichtspflichten um 25 % zu verringern, ohne dabei die politischen Ziele zu untergraben;</w:t>
            </w:r>
            <w:r>
              <w:t xml:space="preserve"> </w:t>
            </w:r>
            <w:r>
              <w:rPr>
                <w:b/>
                <w:i/>
              </w:rPr>
              <w:t>ist der Ansicht, dass die Kommission die spezifischen und strukturellen Einschränkungen von Start-up-Unternehmen und expandierenden Jungunternehmen in dieser Hinsicht berücksichtigen sollte, um den Kostendruck zu verringern und die Wettbewerbsfähigkeit zu fördern;</w:t>
            </w:r>
            <w:r>
              <w:t xml:space="preserve"> </w:t>
            </w:r>
            <w:r>
              <w:rPr>
                <w:b/>
                <w:i/>
              </w:rPr>
              <w:t>fordert einen ausgewogenen Ansatz bei den EU-Rechtsvorschriften zur Förderung von Wachstum, Unternehmertum und des grünen und des digitalen Wandels;</w:t>
            </w:r>
            <w:r>
              <w:t xml:space="preserve"> </w:t>
            </w:r>
            <w:r>
              <w:rPr>
                <w:b/>
                <w:i/>
              </w:rPr>
              <w:t>fordert die konsequente Anwendung des Prinzips „Vorfahrt für KMU“ bei internen Beratungen sowie in allen einschlägigen Legislativvorschlägen und politischen Initiativen;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fordert die Schaffung von Start-up-freundlichen Regelungen und Rahmenbedingungen, mit denen das Wachstum, die Skalierbarkeit und die grenzüberschreitende Tätigkeit von Start-up-Unternehmen und expandierenden Jungunternehmen erleichtert und gleichzeitig Verbraucherschutz, Datenschutz und fairen Wettbewerb sichergestellt werden;</w:t>
            </w:r>
            <w:r>
              <w:t xml:space="preserve"> </w:t>
            </w:r>
            <w:r>
              <w:rPr>
                <w:b/>
                <w:i/>
              </w:rPr>
              <w:t>hebt hervor, dass es wichtig ist, die Befolgungskosten für Start-up-Unternehmen und expandierende Jungunternehmen zu begrenzen;</w:t>
            </w:r>
            <w:r>
              <w:t xml:space="preserve"> </w:t>
            </w:r>
            <w:r>
              <w:rPr>
                <w:b/>
                <w:i/>
              </w:rPr>
              <w:t>fordert die Kommission auf, KMU, Start-up-Unternehmen und expandierende Jungunternehmen bei der Bewältigung der Komplexität der Rechtsvorschriften stärker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fordert weitere Vereinfachungen, die über das am 26. Februar 2025 veröffentlichte Omnibus-Vereinfachungspaket der Kommission hinausgehen;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fordert weitere Vereinfachungen, die über das am 26. Februar 2025 veröffentlichte Omnibus-Vereinfachungspaket der Kommission hinausgehen;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fordert weitere Vereinfachungen, die über das am 26. Februar 2025 veröffentlichte Omnibus-Vereinfachungspaket der Kommission hinausgehen;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fordert weitere Vereinfachungen, die über das am 26. Februar 2025 veröffentlichte Omnibus-Vereinfachungspaket der Kommission hinausgehen;</w:t>
            </w:r>
          </w:p>
        </w:tc>
        <w:tc>
          <w:tcPr>
            <w:tcW w:w="4876" w:type="dxa"/>
            <w:tcBorders>
              <w:top w:val="nil"/>
              <w:left w:val="nil"/>
              <w:bottom w:val="nil"/>
              <w:right w:val="nil"/>
            </w:tcBorders>
          </w:tcPr>
          <w:p>
            <w:pPr>
              <w:pStyle w:val="Normal6a"/>
            </w:pPr>
            <w:r>
              <w:t>7.</w:t>
            </w:r>
            <w:r>
              <w:tab/>
            </w:r>
            <w:r>
              <w:t xml:space="preserve">fordert weitere Vereinfachungen, die über das am 26. Februar 2025 veröffentlichte Omnibus-Vereinfachungspaket der Kommission hinausgehen; </w:t>
            </w:r>
            <w:r>
              <w:rPr>
                <w:b/>
                <w:i/>
              </w:rPr>
              <w:t>fordert die Kommission insbesondere nachdrücklich auf, ein neues Legislativpaket zur Nachhaltigkeit vorzulegen, durch das diese Rechtsvorschriften fakultativ werden, wodurch Unternehmen, die sie freiwillig einhalten möchten, das Führen eines Nachhaltigkeitssiegels angeboten wird, mit dem ihre Übereinstimmung mit den Umwelt- und Menschenrechtsstandards der Europäischen Union nachgewiesen wird;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fordert weitere Vereinfachungen, die über das am 26. Februar 2025 veröffentlichte Omnibus-Vereinfachungspaket der Kommission hinausgehen;</w:t>
            </w:r>
          </w:p>
        </w:tc>
        <w:tc>
          <w:tcPr>
            <w:tcW w:w="4876" w:type="dxa"/>
            <w:tcBorders>
              <w:top w:val="nil"/>
              <w:left w:val="nil"/>
              <w:bottom w:val="nil"/>
              <w:right w:val="nil"/>
            </w:tcBorders>
          </w:tcPr>
          <w:p>
            <w:pPr>
              <w:pStyle w:val="Normal6a"/>
            </w:pPr>
            <w:r>
              <w:t>7.</w:t>
            </w:r>
            <w:r>
              <w:tab/>
            </w:r>
            <w:r>
              <w:t xml:space="preserve">fordert weitere Vereinfachungen, die über das am 26. Februar 2025 veröffentlichte Omnibus-Vereinfachungspaket der Kommission hinausgehen; </w:t>
            </w:r>
            <w:r>
              <w:rPr>
                <w:b/>
                <w:i/>
              </w:rPr>
              <w:t>fordert eine systematische Überprüfung des gemeinschaftlichen Besitzstands auf Maßnahmen, die den Zugang von KMU zu Finanzmitteln behindern, sowie die Beseitigung der ermittelten Hindernisse;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fordert weitere Vereinfachungen, die über </w:t>
            </w:r>
            <w:r>
              <w:rPr>
                <w:b/>
                <w:i/>
              </w:rPr>
              <w:t>das am 26. Februar 2025 veröffentlichte Omnibus-Vereinfachungspaket</w:t>
            </w:r>
            <w:r>
              <w:t xml:space="preserve"> der Kommission hinausgehen;</w:t>
            </w:r>
          </w:p>
        </w:tc>
        <w:tc>
          <w:tcPr>
            <w:tcW w:w="4876" w:type="dxa"/>
            <w:tcBorders>
              <w:top w:val="nil"/>
              <w:left w:val="nil"/>
              <w:bottom w:val="nil"/>
              <w:right w:val="nil"/>
            </w:tcBorders>
          </w:tcPr>
          <w:p>
            <w:pPr>
              <w:pStyle w:val="Normal6a"/>
            </w:pPr>
            <w:r>
              <w:t>7.</w:t>
            </w:r>
            <w:r>
              <w:tab/>
            </w:r>
            <w:r>
              <w:t xml:space="preserve">fordert weitere Vereinfachungen, die über </w:t>
            </w:r>
            <w:r>
              <w:rPr>
                <w:b/>
                <w:i/>
              </w:rPr>
              <w:t>die vor kurzem veröffentlichten Omnibus-Vereinfachungspakete</w:t>
            </w:r>
            <w:r>
              <w:t xml:space="preserve"> der Kommission hinausgehen; </w:t>
            </w:r>
            <w:r>
              <w:rPr>
                <w:b/>
                <w:i/>
              </w:rPr>
              <w:t>erinnert an die Zusage der Kommission, Bürokratie im Rahmen eines horizontalen Ansatzes in allen Bereichen abzubauen;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fordert weitere Vereinfachungen, die über das am 26. Februar 2025 veröffentlichte Omnibus-Vereinfachungspaket der Kommission hinausgehen;</w:t>
            </w:r>
          </w:p>
        </w:tc>
        <w:tc>
          <w:tcPr>
            <w:tcW w:w="4876" w:type="dxa"/>
            <w:tcBorders>
              <w:top w:val="nil"/>
              <w:left w:val="nil"/>
              <w:bottom w:val="nil"/>
              <w:right w:val="nil"/>
            </w:tcBorders>
          </w:tcPr>
          <w:p>
            <w:pPr>
              <w:pStyle w:val="Normal6a"/>
            </w:pPr>
            <w:r>
              <w:t>7.</w:t>
            </w:r>
            <w:r>
              <w:tab/>
            </w:r>
            <w:r>
              <w:t xml:space="preserve">fordert weitere Vereinfachungen, die über das am 26. Februar 2025 veröffentlichte Omnibus-Vereinfachungspaket der Kommission hinausgehen; </w:t>
            </w:r>
            <w:r>
              <w:rPr>
                <w:b/>
                <w:i/>
              </w:rPr>
              <w:t>betont, dass Vereinfachung nie Deregulierung bedeuten darf;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fordert </w:t>
            </w:r>
            <w:r>
              <w:rPr>
                <w:b/>
                <w:i/>
              </w:rPr>
              <w:t>weitere Vereinfachungen, die über das am 26. Februar 2025 veröffentlichte Omnibus-Vereinfachungspaket der</w:t>
            </w:r>
            <w:r>
              <w:t xml:space="preserve"> Kommission hinausgehen;</w:t>
            </w:r>
          </w:p>
        </w:tc>
        <w:tc>
          <w:tcPr>
            <w:tcW w:w="4876" w:type="dxa"/>
            <w:tcBorders>
              <w:top w:val="nil"/>
              <w:left w:val="nil"/>
              <w:bottom w:val="nil"/>
              <w:right w:val="nil"/>
            </w:tcBorders>
          </w:tcPr>
          <w:p>
            <w:pPr>
              <w:pStyle w:val="Normal6a"/>
            </w:pPr>
            <w:r>
              <w:t>7.</w:t>
            </w:r>
            <w:r>
              <w:tab/>
            </w:r>
            <w:r>
              <w:rPr>
                <w:b/>
                <w:i/>
              </w:rPr>
              <w:t>bringt seine Unterstützung der Vereinfachungsbemühungen zum Ausdruck;</w:t>
            </w:r>
            <w:r>
              <w:t xml:space="preserve"> fordert </w:t>
            </w:r>
            <w:r>
              <w:rPr>
                <w:b/>
                <w:i/>
              </w:rPr>
              <w:t>die</w:t>
            </w:r>
            <w:r>
              <w:t xml:space="preserve"> Kommission </w:t>
            </w:r>
            <w:r>
              <w:rPr>
                <w:b/>
                <w:i/>
              </w:rPr>
              <w:t>auf, Folgevorschläge vorzulegen, die über die bereits veröffentlichten Omnibus-Vereinfachungspakete</w:t>
            </w:r>
            <w:r>
              <w:t xml:space="preserve"> hinausgehen;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fordert weitere Vereinfachungen, die über das</w:t>
            </w:r>
            <w:r>
              <w:t xml:space="preserve"> am 26. Februar 2025 </w:t>
            </w:r>
            <w:r>
              <w:rPr>
                <w:b/>
                <w:i/>
              </w:rPr>
              <w:t>veröffentlichte Omnibus-Vereinfachungspaket der</w:t>
            </w:r>
            <w:r>
              <w:t xml:space="preserve"> Kommission </w:t>
            </w:r>
            <w:r>
              <w:rPr>
                <w:b/>
                <w:i/>
              </w:rPr>
              <w:t>hinausgehen</w:t>
            </w:r>
            <w:r>
              <w:t>;</w:t>
            </w:r>
          </w:p>
        </w:tc>
        <w:tc>
          <w:tcPr>
            <w:tcW w:w="4876" w:type="dxa"/>
            <w:tcBorders>
              <w:top w:val="nil"/>
              <w:left w:val="nil"/>
              <w:bottom w:val="nil"/>
              <w:right w:val="nil"/>
            </w:tcBorders>
          </w:tcPr>
          <w:p>
            <w:pPr>
              <w:pStyle w:val="Normal6a"/>
            </w:pPr>
            <w:r>
              <w:t>7.</w:t>
            </w:r>
            <w:r>
              <w:tab/>
            </w:r>
            <w:r>
              <w:rPr>
                <w:b/>
                <w:i/>
              </w:rPr>
              <w:t>begrüßt die Omnibus-Vereinfachung der Kommission, die</w:t>
            </w:r>
            <w:r>
              <w:t xml:space="preserve"> am 26. Februar 2025 </w:t>
            </w:r>
            <w:r>
              <w:rPr>
                <w:b/>
                <w:i/>
              </w:rPr>
              <w:t>veröffentlicht wurde;</w:t>
            </w:r>
            <w:r>
              <w:t xml:space="preserve"> </w:t>
            </w:r>
            <w:r>
              <w:rPr>
                <w:b/>
                <w:i/>
              </w:rPr>
              <w:t>weist erneut darauf hin, dass die</w:t>
            </w:r>
            <w:r>
              <w:t xml:space="preserve"> Kommission </w:t>
            </w:r>
            <w:r>
              <w:rPr>
                <w:b/>
                <w:i/>
              </w:rPr>
              <w:t>angekündigt hat, weitere Omnibus-Pakete anzunehmen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erwartet von der Kommission, dass sie wachsende Start-up-Unternehmen und Unternehmen anregt, in der EU zu expandieren und an die Börse zu gehen;</w:t>
            </w:r>
            <w:r>
              <w:t xml:space="preserve"> </w:t>
            </w:r>
            <w:r>
              <w:rPr>
                <w:b/>
                <w:i/>
              </w:rPr>
              <w:t>weist auf die Gefahr hin, dass technologische Vorteile und Innovationen, die EU-Unternehmen entwickelt haben, an Nicht-EU-Märkte verloren gehen, und begrüßt es daher, dass der Schwerpunkt der EU-Strategie für Start-ups und Scale-ups auf die Finanzierung gelegt wird, um eine Verlagerung dieser Unternehmen in Nicht-EU-Länder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betont, dass nach der Annahme des zweiten Omnibus-Pakets durch die Kommission gestraffte Verfahren bei der Umsetzung des Programms „InvestEU“ erforderlich sind, um dafür zu sorgen, dass KMU – einschließlich der kleinsten KMU – leichter Zugang zu finanzieller Unterstützung erhalten, die sie für Wachstum und Innovation benötigen;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unterstützt die Ausweitung staatlicher Innovationsökosysteme und regionaler Cluster, durch die die Marktzutrittsschranken für technologisch schwache KMU verringert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fordert die Kommission nachdrücklich auf, bestehende regulatorische Verpflichtungen, die Unternehmen belasten, wie den Rahmen für ein nachhaltiges Finanzwesen, zu bewerten und Verhältnismäßigkeitsschwellen zu entwickeln, um KMU von übermäßigen Verpflichtungen zu befreien;</w:t>
            </w:r>
            <w:r>
              <w:t xml:space="preserve"> </w:t>
            </w:r>
            <w:r>
              <w:rPr>
                <w:b/>
                <w:i/>
              </w:rPr>
              <w:t>begrüßt den vorgeschlagenen neuen Check-up der Wettbewerbsfähigkeit von KMU;</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fordert die Kommission nachdrücklich auf, bestehende regulatorische Verpflichtungen, die Unternehmen belasten, wie den Rahmen für ein nachhaltiges Finanzwesen, zu bewerten und Verhältnismäßigkeitsschwellen zu entwickeln, um KMU von übermäßigen Verpflichtungen zu befreien;</w:t>
            </w:r>
            <w:r>
              <w:t xml:space="preserve"> </w:t>
            </w:r>
            <w:r>
              <w:rPr>
                <w:b/>
                <w:i/>
              </w:rPr>
              <w:t>begrüßt den vorgeschlagenen neuen Check-up der Wettbewerbsfähigkeit von KMU;</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fordert die Kommission nachdrücklich auf, bestehende regulatorische Verpflichtungen, die Unternehmen belasten, wie den Rahmen für ein nachhaltiges Finanzwesen, zu bewerten und Verhältnismäßigkeitsschwellen zu entwickeln, um KMU von übermäßigen Verpflichtungen zu befreien;</w:t>
            </w:r>
            <w:r>
              <w:t xml:space="preserve"> </w:t>
            </w:r>
            <w:r>
              <w:rPr>
                <w:b/>
                <w:i/>
              </w:rPr>
              <w:t>begrüßt den vorgeschlagenen neuen Check-up der Wettbewerbsfähigkeit von KMU;</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fordert die Kommission nachdrücklich auf, bestehende regulatorische Verpflichtungen, die Unternehmen belasten, wie den Rahmen für ein nachhaltiges Finanzwesen, zu bewerten und Verhältnismäßigkeitsschwellen zu entwickeln, um KMU </w:t>
            </w:r>
            <w:r>
              <w:rPr>
                <w:b/>
                <w:i/>
              </w:rPr>
              <w:t>von übermäßigen</w:t>
            </w:r>
            <w:r>
              <w:t xml:space="preserve"> Verpflichtungen zu </w:t>
            </w:r>
            <w:r>
              <w:rPr>
                <w:b/>
                <w:i/>
              </w:rPr>
              <w:t>befreien</w:t>
            </w:r>
            <w:r>
              <w:t>; begrüßt den vorgeschlagenen neuen Check-up der Wettbewerbsfähigkeit von KMU;</w:t>
            </w:r>
          </w:p>
        </w:tc>
        <w:tc>
          <w:tcPr>
            <w:tcW w:w="4876" w:type="dxa"/>
            <w:tcBorders>
              <w:top w:val="nil"/>
              <w:left w:val="nil"/>
              <w:bottom w:val="nil"/>
              <w:right w:val="nil"/>
            </w:tcBorders>
          </w:tcPr>
          <w:p>
            <w:pPr>
              <w:pStyle w:val="Normal6a"/>
            </w:pPr>
            <w:r>
              <w:t>8.</w:t>
            </w:r>
            <w:r>
              <w:tab/>
            </w:r>
            <w:r>
              <w:t xml:space="preserve">fordert die Kommission nachdrücklich auf, bestehende regulatorische Verpflichtungen, die Unternehmen belasten, wie den Rahmen für ein nachhaltiges Finanzwesen, zu bewerten und Verhältnismäßigkeitsschwellen zu entwickeln, um KMU </w:t>
            </w:r>
            <w:r>
              <w:rPr>
                <w:b/>
                <w:i/>
              </w:rPr>
              <w:t>und Start-up-Unternehmen in Bezug auf übermäßige</w:t>
            </w:r>
            <w:r>
              <w:t xml:space="preserve"> Verpflichtungen zu </w:t>
            </w:r>
            <w:r>
              <w:rPr>
                <w:b/>
                <w:i/>
              </w:rPr>
              <w:t>entlasten</w:t>
            </w:r>
            <w:r>
              <w:t xml:space="preserve">; begrüßt den vorgeschlagenen neuen Check-up der Wettbewerbsfähigkeit von KMU; </w:t>
            </w:r>
            <w:r>
              <w:rPr>
                <w:b/>
                <w:i/>
              </w:rPr>
              <w:t>bekräftigt, dass die Verfügbarkeit von Nachhaltigkeitsinformationen für die Verfahren der Kreditvergabe an KMU von entscheidender Bedeutung ist;</w:t>
            </w:r>
            <w:r>
              <w:t xml:space="preserve"> </w:t>
            </w:r>
            <w:r>
              <w:rPr>
                <w:b/>
                <w:i/>
              </w:rPr>
              <w:t>weist in diesem Zusammenhang darauf hin, dass sich Kreditinstitute bei ihren Kreditentscheidungen unter anderem auf die gemäß Artikel 449a der Eigenkapitalverordnung erforderlichen Informationen stützen, um die Nachhaltigkeitsrisiken von Unternehmen zu bewerten;</w:t>
            </w:r>
            <w:r>
              <w:t xml:space="preserve"> </w:t>
            </w:r>
            <w:r>
              <w:rPr>
                <w:b/>
                <w:i/>
              </w:rPr>
              <w:t>hält es daher für äußerst wichtig, dass die Berichtspflichten für KMU den Informationen entsprechen, die Investoren bei ihren Entscheidungen über die Vergabe von Krediten benötigen;</w:t>
            </w:r>
            <w:r>
              <w:t xml:space="preserve"> </w:t>
            </w:r>
            <w:r>
              <w:rPr>
                <w:b/>
                <w:i/>
              </w:rPr>
              <w:t>bedauert zutiefst, dass die Kommission KMU in ihrem Omnibus-I-Vorschlag weitgehend ausklammert und Investoren somit gezwungen sind, sich auf willkürliche freiwillige Angaben zu verlassen, was einen eklatanten Widerspruch zu anderen Informationspflichten für Finanzmarktteilnehmer darstellt und dem Rahmen für nachhaltige Finanzen sowie dem Zugang zu Finanzmitteln für KMU zuwiderläuft;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fordert die Kommission nachdrücklich auf, bestehende regulatorische Verpflichtungen, die Unternehmen belasten, wie den Rahmen für ein nachhaltiges Finanzwesen, zu bewerten und Verhältnismäßigkeitsschwellen zu entwickeln, um KMU von übermäßigen Verpflichtungen zu befreien; begrüßt den vorgeschlagenen neuen Check-up der Wettbewerbsfähigkeit von KMU;</w:t>
            </w:r>
          </w:p>
        </w:tc>
        <w:tc>
          <w:tcPr>
            <w:tcW w:w="4876" w:type="dxa"/>
            <w:tcBorders>
              <w:top w:val="nil"/>
              <w:left w:val="nil"/>
              <w:bottom w:val="nil"/>
              <w:right w:val="nil"/>
            </w:tcBorders>
          </w:tcPr>
          <w:p>
            <w:pPr>
              <w:pStyle w:val="Normal6a"/>
            </w:pPr>
            <w:r>
              <w:t>8.</w:t>
            </w:r>
            <w:r>
              <w:tab/>
            </w:r>
            <w:r>
              <w:t xml:space="preserve">fordert die Kommission nachdrücklich auf, bestehende regulatorische Verpflichtungen, die Unternehmen belasten, wie den Rahmen für ein nachhaltiges Finanzwesen, zu bewerten und Verhältnismäßigkeitsschwellen zu entwickeln, um KMU von übermäßigen Verpflichtungen zu befreien; begrüßt den vorgeschlagenen neuen Check-up der Wettbewerbsfähigkeit von KMU; </w:t>
            </w:r>
            <w:r>
              <w:rPr>
                <w:b/>
                <w:i/>
              </w:rPr>
              <w:t>fordert ferner rechtzeitige Fortschritte in Bezug auf vereinfachte, freiwillige Standards für die Nachhaltigkeitsberichterstattung, die auf KMU zugeschnitten sind, und eine Überprüfung der Offenlegungspflichten für Banken in Säule 3, durch die KMU-Kunden indirekt unverhältnismäßige Datenanforderungen auferlegt werden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fordert die Kommission nachdrücklich auf, bestehende regulatorische Verpflichtungen, die Unternehmen belasten, wie den Rahmen für ein nachhaltiges Finanzwesen, zu bewerten und Verhältnismäßigkeitsschwellen zu entwickeln, um KMU von übermäßigen Verpflichtungen zu befreien; begrüßt den vorgeschlagenen neuen Check-up der Wettbewerbsfähigkeit von KMU;</w:t>
            </w:r>
          </w:p>
        </w:tc>
        <w:tc>
          <w:tcPr>
            <w:tcW w:w="4876" w:type="dxa"/>
            <w:tcBorders>
              <w:top w:val="nil"/>
              <w:left w:val="nil"/>
              <w:bottom w:val="nil"/>
              <w:right w:val="nil"/>
            </w:tcBorders>
          </w:tcPr>
          <w:p>
            <w:pPr>
              <w:pStyle w:val="Normal6a"/>
            </w:pPr>
            <w:r>
              <w:t>8.</w:t>
            </w:r>
            <w:r>
              <w:tab/>
            </w:r>
            <w:r>
              <w:t xml:space="preserve">fordert die Kommission nachdrücklich auf, bestehende regulatorische Verpflichtungen, die Unternehmen belasten, wie den Rahmen für ein nachhaltiges Finanzwesen, </w:t>
            </w:r>
            <w:r>
              <w:rPr>
                <w:b/>
                <w:i/>
              </w:rPr>
              <w:t>systematisch</w:t>
            </w:r>
            <w:r>
              <w:t xml:space="preserve"> zu bewerten und Verhältnismäßigkeitsschwellen zu entwickeln, um KMU von übermäßigen Verpflichtungen zu befreien; begrüßt den vorgeschlagenen neuen Check-up der Wettbewerbsfähigkeit von KMU;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 fordert die Schaffung eines geschützten, nicht pfändbaren Geschäftskontos für KMU, das an einen Teil ihres Umsatzes gebunden ist, um die operative Liquidität sicherzustellen und systemische Störungen der laufenden Geschäftstätigkeit aufgrund von Maßnahmen zur Durchsetzung von Forderungen zu verhindern;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bedauert, dass viele Unternehmer mit Sitz in der EU eine Standortverlagerung für notwendig erachten, um leichter Zugang zu Finanzmitteln und Ressourcen zu erhalten;</w:t>
            </w:r>
            <w:r>
              <w:t xml:space="preserve"> </w:t>
            </w:r>
            <w:r>
              <w:rPr>
                <w:b/>
                <w:i/>
              </w:rPr>
              <w:t>bedauert, dass sie sich an Risikokapitalgeber außerhalb der EU wenden und auf ausländischen Märkten expandieren;</w:t>
            </w:r>
            <w:r>
              <w:t xml:space="preserve"> </w:t>
            </w:r>
            <w:r>
              <w:rPr>
                <w:b/>
                <w:i/>
              </w:rPr>
              <w:t>stimmt den Berichten von Draghi und Letta zu, dass die EU ihre Risikokapitalmärkte weiterentwickeln sollte;</w:t>
            </w:r>
            <w:r>
              <w:t xml:space="preserve"> </w:t>
            </w:r>
            <w:r>
              <w:rPr>
                <w:b/>
                <w:i/>
              </w:rPr>
              <w:t>betont jedoch, dass die öffentliche Unterstützung für Risikokapitalmärkte ausschließlich auf Projekte ausgerichtet sein sollte, die mit den Zielen des Grünen Deals in Einklang stehen und positive soziale Auswirkungen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betont, wie wichtig es ist, dafür zu sorgen, dass die Regelungsrahmen und die von der EU finanzierten Instrumente in einem angemessenen Verhältnis zur Größe und zur Verwaltungskapazität von KMU stehen und angemessen angepasst und nicht aus den Anforderungen an größere Unternehmen übernommen werden;</w:t>
            </w:r>
            <w:r>
              <w:t xml:space="preserve"> </w:t>
            </w:r>
            <w:r>
              <w:rPr>
                <w:b/>
                <w:i/>
              </w:rPr>
              <w:t>fordert die Kommission nachdrücklich auf, spätestens zwei Jahre, bevor neue Verpflichtungen wirksam werden, Leitlinien für die Umsetzung zu veröffentlichen und dafür zu sorgen, dass diese in allen Amtssprachen der EU verfügbar sind, um KMU ausreichend Zeit für die Vorbereitung und Anpassung zu 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begrüßt das Ziel der Kommission, die Berichtspflichten für KMU um mindestens 35 % zu verringern;</w:t>
            </w:r>
            <w:r>
              <w:t xml:space="preserve"> </w:t>
            </w:r>
            <w:r>
              <w:rPr>
                <w:b/>
                <w:i/>
              </w:rPr>
              <w:t>betont, dass ein solches Ziel messbar sein muss und die Ergebnisse nachverfolgbar sein müssen;</w:t>
            </w:r>
            <w:r>
              <w:t xml:space="preserve"> </w:t>
            </w:r>
            <w:r>
              <w:rPr>
                <w:b/>
                <w:i/>
              </w:rPr>
              <w:t>fordert die Kommission auf, einen klaren Zeitplan festzulegen und wesentliche Leistungsindikatoren (KPI) sowie eine Methodik für deren Nachverfolgung festzulegen;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stellt fest, dass durch Regulierung keine zu hohen Hürden entstehen sollten, wenn Unternehmen von einer Größenkategorie in eine andere oder von börsennotiert zu nicht-börsennotiert wechseln;</w:t>
            </w:r>
            <w:r>
              <w:t xml:space="preserve"> </w:t>
            </w:r>
            <w:r>
              <w:rPr>
                <w:b/>
                <w:i/>
              </w:rPr>
              <w:t>ist deshalb der Ansicht, dass ein gestufter Ansatz mit schrittweise steigenden regulatorischen Auflagen vorzuziehen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betont, dass der EU-Rahmen für ein nachhaltiges Finanzwesen für europäische KMU schlecht geeignet ist, da er in vielen Fällen mit einem hohen Verwaltungs- und Berichterstattungsaufwand sowie hohen Umsetzungs- und Befolgungskosten verbunden ist;</w:t>
            </w:r>
            <w:r>
              <w:t xml:space="preserve"> </w:t>
            </w:r>
            <w:r>
              <w:rPr>
                <w:b/>
                <w:i/>
              </w:rPr>
              <w:t>fordert die Kommission auf, den EU-Rahmen für ein nachhaltiges Finanzwesen zu überprüfen und zu überarbeiten, um ihn weniger bürokratisch, kostengünstiger und KMU-freundlicher zu gestalten;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betont, dass der One-in-one-out-Grundsatz nicht ausreicht, und fordert die Kommission auf, eine ambitionierte Vereinfachungsstrategie vorzuschlagen;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betont, dass der One-in-one-out-Grundsatz nicht ausreicht, und fordert die Kommission auf, eine ambitionierte Vereinfachungsstrategie vorzuschlagen;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betont, dass der One-in-one-out-Grundsatz nicht ausreicht, und fordert die Kommission auf, eine ambitionierte Vereinfachungsstrategie vorzuschlagen;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betont, dass der One-in-one-out-Grundsatz nicht ausreicht, und fordert die Kommission auf, eine ambitionierte Vereinfachungsstrategie vorzuschlagen;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betont, dass der One-in-one-out-Grundsatz nicht ausreicht, und fordert die Kommission auf, eine ambitionierte Vereinfachungsstrategie vorzuschlagen;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betont, dass der One-in-one-out-Grundsatz nicht ausreicht, und fordert die Kommission auf, eine ambitionierte Vereinfachungsstrategie vorzuschlagen;</w:t>
            </w:r>
          </w:p>
        </w:tc>
        <w:tc>
          <w:tcPr>
            <w:tcW w:w="4876" w:type="dxa"/>
            <w:tcBorders>
              <w:top w:val="nil"/>
              <w:left w:val="nil"/>
              <w:bottom w:val="nil"/>
              <w:right w:val="nil"/>
            </w:tcBorders>
          </w:tcPr>
          <w:p>
            <w:pPr>
              <w:pStyle w:val="Normal6a"/>
            </w:pPr>
            <w:r>
              <w:t>9.</w:t>
            </w:r>
            <w:r>
              <w:tab/>
            </w:r>
            <w:r>
              <w:t>betont, dass der One-in-one-out-Grundsatz nicht ausreicht, und fordert die Kommission auf, eine ambitionierte Vereinfachungsstrategie vorzuschlagen</w:t>
            </w:r>
            <w:r>
              <w:rPr>
                <w:b/>
                <w:i/>
              </w:rPr>
              <w:t>, mit der die politischen Ziele der EU gewahrt bleiben und gleichzeitig der Regelungs- und Verwaltungsaufwand für Unternehmen, insbesondere KMU, verringert wird</w:t>
            </w:r>
            <w:r>
              <w:t xml:space="preserve">; </w:t>
            </w:r>
            <w:r>
              <w:rPr>
                <w:b/>
                <w:i/>
              </w:rPr>
              <w:t>betont, dass eine systematische rechtliche und regulatorische Kohärenz innerhalb des EU-Rechtsrahmens gewährleistet sein muss, damit für Rechtssicherheit, Sicherheit und Berechenbarkeit gesorgt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betont, dass der One-in-one-out-Grundsatz nicht ausreicht, und fordert die Kommission auf, eine ambitionierte Vereinfachungsstrategie vorzuschlagen;</w:t>
            </w:r>
          </w:p>
        </w:tc>
        <w:tc>
          <w:tcPr>
            <w:tcW w:w="4876" w:type="dxa"/>
            <w:tcBorders>
              <w:top w:val="nil"/>
              <w:left w:val="nil"/>
              <w:bottom w:val="nil"/>
              <w:right w:val="nil"/>
            </w:tcBorders>
          </w:tcPr>
          <w:p>
            <w:pPr>
              <w:pStyle w:val="Normal6a"/>
            </w:pPr>
            <w:r>
              <w:t>9.</w:t>
            </w:r>
            <w:r>
              <w:tab/>
            </w:r>
            <w:r>
              <w:t>betont, dass der One-in-one-out-Grundsatz nicht ausreicht, und fordert die Kommission auf, eine ambitionierte Vereinfachungsstrategie vorzuschlagen</w:t>
            </w:r>
            <w:r>
              <w:rPr>
                <w:b/>
                <w:i/>
              </w:rPr>
              <w:t>, die über die reine Betrachtung von Richtlinien und Verordnungen hinausgeht, aber auch die Rechtsvorschriften der Ebenen 2 und 3 sowie die qualitativen Auswirkungen von Maßnahmen wie dem One-in-one-out-Grundsatz berücksichtigt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betont, dass der One-in-one-out-Grundsatz nicht ausreicht, und</w:t>
            </w:r>
            <w:r>
              <w:t xml:space="preserve"> fordert die Kommission auf, eine ambitionierte Vereinfachungsstrategie vorzuschlagen;</w:t>
            </w:r>
          </w:p>
        </w:tc>
        <w:tc>
          <w:tcPr>
            <w:tcW w:w="4876" w:type="dxa"/>
            <w:tcBorders>
              <w:top w:val="nil"/>
              <w:left w:val="nil"/>
              <w:bottom w:val="nil"/>
              <w:right w:val="nil"/>
            </w:tcBorders>
          </w:tcPr>
          <w:p>
            <w:pPr>
              <w:pStyle w:val="Normal6a"/>
            </w:pPr>
            <w:r>
              <w:t>9.</w:t>
            </w:r>
            <w:r>
              <w:tab/>
            </w:r>
            <w:r>
              <w:t xml:space="preserve">fordert die Kommission auf, eine ambitionierte Vereinfachungsstrategie </w:t>
            </w:r>
            <w:r>
              <w:rPr>
                <w:b/>
                <w:i/>
              </w:rPr>
              <w:t>in Bereichen</w:t>
            </w:r>
            <w:r>
              <w:t xml:space="preserve"> vorzuschlagen</w:t>
            </w:r>
            <w:r>
              <w:rPr>
                <w:b/>
                <w:i/>
              </w:rPr>
              <w:t>, in denen mit einer Vereinfachung konkrete Ergebnisse erreicht werden, ohne das Ziel der Rechtsvorschriften zu schwächen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Anouk Van Brug,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betont, dass der One-in-one-out-Grundsatz nicht </w:t>
            </w:r>
            <w:r>
              <w:rPr>
                <w:b/>
                <w:i/>
              </w:rPr>
              <w:t>ausreicht</w:t>
            </w:r>
            <w:r>
              <w:t>, und fordert die Kommission auf, eine ambitionierte Vereinfachungsstrategie vorzuschlagen;</w:t>
            </w:r>
          </w:p>
        </w:tc>
        <w:tc>
          <w:tcPr>
            <w:tcW w:w="4876" w:type="dxa"/>
            <w:tcBorders>
              <w:top w:val="nil"/>
              <w:left w:val="nil"/>
              <w:bottom w:val="nil"/>
              <w:right w:val="nil"/>
            </w:tcBorders>
          </w:tcPr>
          <w:p>
            <w:pPr>
              <w:pStyle w:val="Normal6a"/>
            </w:pPr>
            <w:r>
              <w:t>9.</w:t>
            </w:r>
            <w:r>
              <w:tab/>
            </w:r>
            <w:r>
              <w:t xml:space="preserve">betont, dass der One-in-one-out-Grundsatz nicht </w:t>
            </w:r>
            <w:r>
              <w:rPr>
                <w:b/>
                <w:i/>
              </w:rPr>
              <w:t>ausreichend in die Praxis umgesetzt wird</w:t>
            </w:r>
            <w:r>
              <w:t xml:space="preserve">, und fordert die Kommission auf, eine </w:t>
            </w:r>
            <w:r>
              <w:rPr>
                <w:b/>
                <w:i/>
              </w:rPr>
              <w:t>entsprechend</w:t>
            </w:r>
            <w:r>
              <w:t xml:space="preserve"> ambitionierte Vereinfachungsstrategie vorzuschlagen;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9a.</w:t>
            </w:r>
            <w:r>
              <w:tab/>
            </w:r>
            <w:r>
              <w:rPr>
                <w:b/>
                <w:i/>
              </w:rPr>
              <w:t>erinnert an die Katalysatorrolle, die gezielte öffentliche Unterstützung in Form von Finanzhilfen, Beteiligungskapital oder Bürgschaften bei der Überbrückung der Finanzierungslücke bei Investitionen in Infrastruktur und Produktionskapazitäten für Start-up-Unternehmen und expandierende Jungunternehmen spielt, insbesondere in Fällen, in denen private Investitionen unzureichend oder gar nicht verfügbar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9a.</w:t>
            </w:r>
            <w:r>
              <w:tab/>
            </w:r>
            <w:r>
              <w:rPr>
                <w:b/>
                <w:i/>
              </w:rPr>
              <w:t>weist darauf hin, dass die zur Vereinfachung eingeführten Vorschriften oft selbst komplex sind, weshalb erwogen werden sollte, viele bestehende Vorschriften, die den Verwaltungsaufwand erhöhen, vollständig aufzuheben, insbesondere in Bezug auf die Verpflichtungen im Bereich Nachhaltigkeitsberichterstattung;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9a.</w:t>
            </w:r>
            <w:r>
              <w:tab/>
            </w:r>
            <w:r>
              <w:rPr>
                <w:b/>
                <w:i/>
              </w:rPr>
              <w:t>bekräftigt, dass die Anforderungen an KMU in Bezug auf die Einhaltung der Rechtsvorschriften verhältnismäßig bleiben sollten; fordert die Entwicklung standardisierter, kostenloser Vorlagen und eindeutiger, verhältnismäßiger Offenlegungspflichten, die den Kapazitäten kleinerer Unternehmen entsprechen;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Anouk Van Brug,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9a.</w:t>
            </w:r>
            <w:r>
              <w:tab/>
            </w:r>
            <w:r>
              <w:rPr>
                <w:b/>
                <w:i/>
              </w:rPr>
              <w:t>fordert die Kommission auf, die Vorteile einer Stärkung der zentralen Aufsicht über die Finanzmärkte der EU zu prüfen, um Reibungen abzubauen, die nach wie vor grenzüberschreitenden Investitionen im Wege stehen, und die Durchführbarkeit eines einheitlichen Regelwerks für die Marktteilnehmer zu bewerten;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9a.</w:t>
            </w:r>
            <w:r>
              <w:tab/>
            </w:r>
            <w:r>
              <w:rPr>
                <w:b/>
                <w:i/>
              </w:rPr>
              <w:t>fordert die Kommission auf, ein zentrales digitales Portal einzurichten, um KMU dabei zu unterstützen, EU-Finanzierungsmöglichkeiten zu ermitteln;</w:t>
            </w:r>
            <w:r>
              <w:t xml:space="preserve"> </w:t>
            </w:r>
            <w:r>
              <w:rPr>
                <w:b/>
                <w:i/>
              </w:rPr>
              <w:t>ist der Ansicht, dass dieses Portal sprachlich barrierefrei, KI-gestützt und mobil abrufbar sein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Mobilisierung von privatem Kapital und Ersparnissen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Mobilisierung von privatem Kapital und Ersparnissen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Unterstützung europäischer KMU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stellt fest, dass die Kommission beabsichtigt, eine Spar- und Investitionsunion umzusetzen, die nicht nur Maßnahmen auf EU-Ebene, sondern auch die Entwicklung von Instrumenten, Lösungen und bewährten Verfahren umfassen muss, bei denen die Maßnahmen der Mitgliedstaaten auf einzelstaatlicher Ebene geachtet und unterstützt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stellt fest, dass die Kommission beabsichtigt, eine Spar- und Investitionsunion umzusetzen, die nicht nur Maßnahmen auf EU-Ebene, sondern auch die Entwicklung von Instrumenten, Lösungen und bewährten Verfahren umfassen muss, bei denen die Maßnahmen der Mitgliedstaaten auf einzelstaatlicher Ebene geachtet und unterstützt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stellt fest, dass die Kommission beabsichtigt, eine Spar- und Investitionsunion umzusetzen, die nicht nur Maßnahmen auf EU-Ebene, sondern auch die Entwicklung von Instrumenten, Lösungen und bewährten Verfahren umfassen muss, bei denen die Maßnahmen der Mitgliedstaaten auf einzelstaatlicher Ebene geachtet und unterstützt werden;</w:t>
            </w:r>
          </w:p>
        </w:tc>
        <w:tc>
          <w:tcPr>
            <w:tcW w:w="4876" w:type="dxa"/>
            <w:tcBorders>
              <w:top w:val="nil"/>
              <w:left w:val="nil"/>
              <w:bottom w:val="nil"/>
              <w:right w:val="nil"/>
            </w:tcBorders>
          </w:tcPr>
          <w:p>
            <w:pPr>
              <w:pStyle w:val="Normal6a"/>
            </w:pPr>
            <w:r>
              <w:t>10.</w:t>
            </w:r>
            <w:r>
              <w:tab/>
            </w:r>
            <w:r>
              <w:t xml:space="preserve">stellt fest, dass die Kommission beabsichtigt, eine Spar- und Investitionsunion umzusetzen, die nicht nur Maßnahmen auf EU-Ebene, sondern auch die Entwicklung von Instrumenten, Lösungen und bewährten Verfahren umfassen muss, bei denen die Maßnahmen der Mitgliedstaaten auf einzelstaatlicher Ebene geachtet und unterstützt werden; </w:t>
            </w:r>
            <w:r>
              <w:rPr>
                <w:b/>
                <w:i/>
              </w:rPr>
              <w:t>hebt hervor, dass die Spar- und Investitionsunion in Bezug auf die Verbesserung der Finanzierungssituation für KMU nur dann ein Erfolg sein wird, wenn die EU-Mitgliedstaaten sich auch wirklich beteiligen;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stellt fest, dass die Kommission beabsichtigt, eine Spar- und Investitionsunion umzusetzen, die nicht nur Maßnahmen auf EU-Ebene, sondern auch die Entwicklung von Instrumenten, Lösungen und bewährten Verfahren umfassen muss, bei denen die Maßnahmen der Mitgliedstaaten auf einzelstaatlicher Ebene geachtet und unterstützt werden;</w:t>
            </w:r>
          </w:p>
        </w:tc>
        <w:tc>
          <w:tcPr>
            <w:tcW w:w="4876" w:type="dxa"/>
            <w:tcBorders>
              <w:top w:val="nil"/>
              <w:left w:val="nil"/>
              <w:bottom w:val="nil"/>
              <w:right w:val="nil"/>
            </w:tcBorders>
          </w:tcPr>
          <w:p>
            <w:pPr>
              <w:pStyle w:val="Normal6a"/>
            </w:pPr>
            <w:r>
              <w:t>10.</w:t>
            </w:r>
            <w:r>
              <w:tab/>
            </w:r>
            <w:r>
              <w:t xml:space="preserve">stellt fest, dass die Kommission beabsichtigt, eine Spar- und Investitionsunion umzusetzen, die nicht nur Maßnahmen auf EU-Ebene, sondern auch die Entwicklung von Instrumenten, Lösungen und bewährten Verfahren umfassen muss, bei denen die Maßnahmen der Mitgliedstaaten auf einzelstaatlicher Ebene geachtet und unterstützt werden </w:t>
            </w:r>
            <w:r>
              <w:rPr>
                <w:b/>
                <w:i/>
              </w:rPr>
              <w:t>und insbesondere die grenzüberschreitende Kohärenz gefördert werden muss, um regulatorische Unterschiede zwischen den Mitgliedstaaten zu verhindern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stellt fest, dass die </w:t>
            </w:r>
            <w:r>
              <w:rPr>
                <w:b/>
                <w:i/>
              </w:rPr>
              <w:t>Kommission beabsichtigt, eine</w:t>
            </w:r>
            <w:r>
              <w:t xml:space="preserve"> Spar- und Investitionsunion </w:t>
            </w:r>
            <w:r>
              <w:rPr>
                <w:b/>
                <w:i/>
              </w:rPr>
              <w:t>umzusetzen, die nicht nur Maßnahmen auf EU-Ebene, sondern auch die Entwicklung von Instrumenten, Lösungen und bewährten Verfahren umfassen muss, bei denen die Maßnahmen der Mitgliedstaaten auf einzelstaatlicher Ebene geachtet und unterstützt werden</w:t>
            </w:r>
            <w:r>
              <w:t>;</w:t>
            </w:r>
          </w:p>
        </w:tc>
        <w:tc>
          <w:tcPr>
            <w:tcW w:w="4876" w:type="dxa"/>
            <w:tcBorders>
              <w:top w:val="nil"/>
              <w:left w:val="nil"/>
              <w:bottom w:val="nil"/>
              <w:right w:val="nil"/>
            </w:tcBorders>
          </w:tcPr>
          <w:p>
            <w:pPr>
              <w:pStyle w:val="Normal6a"/>
            </w:pPr>
            <w:r>
              <w:t>10.</w:t>
            </w:r>
            <w:r>
              <w:tab/>
            </w:r>
            <w:r>
              <w:t xml:space="preserve">stellt fest, dass die </w:t>
            </w:r>
            <w:r>
              <w:rPr>
                <w:b/>
                <w:i/>
              </w:rPr>
              <w:t>Haushalte in der EU ein großes Volumen an Spareinlagen in niedrigverzinslichen Anlageformen halten;</w:t>
            </w:r>
            <w:r>
              <w:t xml:space="preserve"> </w:t>
            </w:r>
            <w:r>
              <w:rPr>
                <w:b/>
                <w:i/>
              </w:rPr>
              <w:t>befürwortet nachdrücklich die Weiterentwicklung der</w:t>
            </w:r>
            <w:r>
              <w:t xml:space="preserve"> Spar- und Investitionsunion</w:t>
            </w:r>
            <w:r>
              <w:rPr>
                <w:b/>
                <w:i/>
              </w:rPr>
              <w:t>, die dazu beitragen kann, langfristige Anlagen in die Kapitalmärkte zu lenken und die nationalen Bemühungen zur Vertiefung der Kapitalmärkte und zur Erhöhung der Verfügbarkeit von Kapital, insbesondere für KMU, zu ergänzen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stellt fest, dass die Kommission beabsichtigt, eine Spar- und Investitionsunion umzusetzen, die nicht nur Maßnahmen auf EU-Ebene, sondern auch die Entwicklung von Instrumenten, Lösungen und bewährten Verfahren umfassen muss, bei denen die Maßnahmen der Mitgliedstaaten auf einzelstaatlicher Ebene </w:t>
            </w:r>
            <w:r>
              <w:rPr>
                <w:b/>
                <w:i/>
              </w:rPr>
              <w:t>geachtet und</w:t>
            </w:r>
            <w:r>
              <w:t xml:space="preserve"> unterstützt werden;</w:t>
            </w:r>
          </w:p>
        </w:tc>
        <w:tc>
          <w:tcPr>
            <w:tcW w:w="4876" w:type="dxa"/>
            <w:tcBorders>
              <w:top w:val="nil"/>
              <w:left w:val="nil"/>
              <w:bottom w:val="nil"/>
              <w:right w:val="nil"/>
            </w:tcBorders>
          </w:tcPr>
          <w:p>
            <w:pPr>
              <w:pStyle w:val="Normal6a"/>
            </w:pPr>
            <w:r>
              <w:t>10.</w:t>
            </w:r>
            <w:r>
              <w:tab/>
            </w:r>
            <w:r>
              <w:t xml:space="preserve">stellt fest, dass die Kommission beabsichtigt, eine Spar- und Investitionsunion </w:t>
            </w:r>
            <w:r>
              <w:rPr>
                <w:b/>
                <w:i/>
              </w:rPr>
              <w:t>(SIU)</w:t>
            </w:r>
            <w:r>
              <w:t xml:space="preserve"> umzusetzen, die nicht nur Maßnahmen auf EU-Ebene, sondern auch die Entwicklung von Instrumenten, Lösungen und bewährten Verfahren umfassen muss, bei denen die Maßnahmen der Mitgliedstaaten auf einzelstaatlicher Ebene unterstützt werden</w:t>
            </w:r>
            <w:r>
              <w:rPr>
                <w:b/>
                <w:i/>
              </w:rPr>
              <w:t>, sofern diese Maßnahmen einen besseren Beitrag zur Umsetzung der Spar- und Investitionsunion darstellen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stellt fest, dass die Kommission beabsichtigt, eine Spar- und Investitionsunion umzusetzen, </w:t>
            </w:r>
            <w:r>
              <w:rPr>
                <w:b/>
                <w:i/>
              </w:rPr>
              <w:t>die nicht nur Maßnahmen auf EU-Ebene, sondern auch die Entwicklung von Instrumenten, Lösungen und bewährten Verfahren umfassen muss, bei denen die Maßnahmen der Mitgliedstaaten auf einzelstaatlicher Ebene geachtet und unterstützt werden</w:t>
            </w:r>
            <w:r>
              <w:t>;</w:t>
            </w:r>
          </w:p>
        </w:tc>
        <w:tc>
          <w:tcPr>
            <w:tcW w:w="4876" w:type="dxa"/>
            <w:tcBorders>
              <w:top w:val="nil"/>
              <w:left w:val="nil"/>
              <w:bottom w:val="nil"/>
              <w:right w:val="nil"/>
            </w:tcBorders>
          </w:tcPr>
          <w:p>
            <w:pPr>
              <w:pStyle w:val="Normal6a"/>
            </w:pPr>
            <w:r>
              <w:t>10.</w:t>
            </w:r>
            <w:r>
              <w:tab/>
            </w:r>
            <w:r>
              <w:t>stellt fest, dass die Kommission beabsichtigt, eine Spar- und Investitionsunion umzusetzen</w:t>
            </w:r>
            <w:r>
              <w:rPr>
                <w:b/>
                <w:i/>
              </w:rPr>
              <w:t>;</w:t>
            </w:r>
            <w:r>
              <w:t xml:space="preserve"> </w:t>
            </w:r>
            <w:r>
              <w:rPr>
                <w:b/>
                <w:i/>
              </w:rPr>
              <w:t>betont</w:t>
            </w:r>
            <w:r>
              <w:t xml:space="preserve">, </w:t>
            </w:r>
            <w:r>
              <w:rPr>
                <w:b/>
                <w:i/>
              </w:rPr>
              <w:t>dass die Verwirklichung der Spar- und Investitionsunion eine vollständige Integration der Kapitalmärkte erfordert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stellt fest, dass die Kommission beabsichtigt, eine Spar- und Investitionsunion umzusetzen, die nicht nur Maßnahmen auf EU-Ebene, sondern </w:t>
            </w:r>
            <w:r>
              <w:rPr>
                <w:b/>
                <w:i/>
              </w:rPr>
              <w:t>auch</w:t>
            </w:r>
            <w:r>
              <w:t xml:space="preserve"> die Entwicklung von Instrumenten, Lösungen und bewährten Verfahren umfassen muss, bei denen die Maßnahmen der Mitgliedstaaten auf einzelstaatlicher Ebene geachtet und unterstützt werden;</w:t>
            </w:r>
          </w:p>
        </w:tc>
        <w:tc>
          <w:tcPr>
            <w:tcW w:w="4876" w:type="dxa"/>
            <w:tcBorders>
              <w:top w:val="nil"/>
              <w:left w:val="nil"/>
              <w:bottom w:val="nil"/>
              <w:right w:val="nil"/>
            </w:tcBorders>
          </w:tcPr>
          <w:p>
            <w:pPr>
              <w:pStyle w:val="Normal6a"/>
            </w:pPr>
            <w:r>
              <w:t>10.</w:t>
            </w:r>
            <w:r>
              <w:tab/>
            </w:r>
            <w:r>
              <w:t>stellt fest, dass die Kommission beabsichtigt, eine Spar- und Investitionsunion umzusetzen, die nicht nur Maßnahmen auf EU-Ebene, sondern</w:t>
            </w:r>
            <w:r>
              <w:rPr>
                <w:b/>
                <w:i/>
              </w:rPr>
              <w:t>, was noch wichtiger ist,</w:t>
            </w:r>
            <w:r>
              <w:t xml:space="preserve"> die Entwicklung von Instrumenten, Lösungen und bewährten Verfahren umfassen muss, bei denen die Maßnahmen der Mitgliedstaaten auf einzelstaatlicher Ebene geachtet und unterstützt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stellt fest, dass die Kommission beabsichtigt, eine Spar- und Investitionsunion umzusetzen, die nicht nur Maßnahmen auf EU-Ebene, sondern auch die Entwicklung von Instrumenten, Lösungen und bewährten Verfahren </w:t>
            </w:r>
            <w:r>
              <w:rPr>
                <w:b/>
                <w:i/>
              </w:rPr>
              <w:t>umfassen muss, bei denen die Maßnahmen</w:t>
            </w:r>
            <w:r>
              <w:t xml:space="preserve"> der Mitgliedstaaten </w:t>
            </w:r>
            <w:r>
              <w:rPr>
                <w:b/>
                <w:i/>
              </w:rPr>
              <w:t>auf einzelstaatlicher Ebene geachtet und unterstützt werden</w:t>
            </w:r>
            <w:r>
              <w:t>;</w:t>
            </w:r>
          </w:p>
        </w:tc>
        <w:tc>
          <w:tcPr>
            <w:tcW w:w="4876" w:type="dxa"/>
            <w:tcBorders>
              <w:top w:val="nil"/>
              <w:left w:val="nil"/>
              <w:bottom w:val="nil"/>
              <w:right w:val="nil"/>
            </w:tcBorders>
          </w:tcPr>
          <w:p>
            <w:pPr>
              <w:pStyle w:val="Normal6a"/>
            </w:pPr>
            <w:r>
              <w:t>10.</w:t>
            </w:r>
            <w:r>
              <w:tab/>
            </w:r>
            <w:r>
              <w:t xml:space="preserve">stellt fest, dass die Kommission beabsichtigt, eine Spar- und Investitionsunion umzusetzen, die nicht nur Maßnahmen auf EU-Ebene, sondern auch die Entwicklung von Instrumenten, Lösungen und bewährten Verfahren </w:t>
            </w:r>
            <w:r>
              <w:rPr>
                <w:b/>
                <w:i/>
              </w:rPr>
              <w:t>auf der Ebene</w:t>
            </w:r>
            <w:r>
              <w:t xml:space="preserve"> der Mitgliedstaaten </w:t>
            </w:r>
            <w:r>
              <w:rPr>
                <w:b/>
                <w:i/>
              </w:rPr>
              <w:t>umfassen muss,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stellt fest, dass die Kommission beabsichtigt, eine Spar- und Investitionsunion umzusetzen, die </w:t>
            </w:r>
            <w:r>
              <w:rPr>
                <w:b/>
                <w:i/>
              </w:rPr>
              <w:t>nicht nur</w:t>
            </w:r>
            <w:r>
              <w:t xml:space="preserve"> Maßnahmen auf EU-Ebene, </w:t>
            </w:r>
            <w:r>
              <w:rPr>
                <w:b/>
                <w:i/>
              </w:rPr>
              <w:t>sondern auch die Entwicklung von Instrumenten</w:t>
            </w:r>
            <w:r>
              <w:t xml:space="preserve">, Lösungen und </w:t>
            </w:r>
            <w:r>
              <w:rPr>
                <w:b/>
                <w:i/>
              </w:rPr>
              <w:t>bewährten</w:t>
            </w:r>
            <w:r>
              <w:t xml:space="preserve"> Verfahren umfassen muss, bei denen die Maßnahmen der Mitgliedstaaten </w:t>
            </w:r>
            <w:r>
              <w:rPr>
                <w:b/>
                <w:i/>
              </w:rPr>
              <w:t>auf einzelstaatlicher Ebene geachtet und</w:t>
            </w:r>
            <w:r>
              <w:t xml:space="preserve"> unterstützt werden;</w:t>
            </w:r>
          </w:p>
        </w:tc>
        <w:tc>
          <w:tcPr>
            <w:tcW w:w="4876" w:type="dxa"/>
            <w:tcBorders>
              <w:top w:val="nil"/>
              <w:left w:val="nil"/>
              <w:bottom w:val="nil"/>
              <w:right w:val="nil"/>
            </w:tcBorders>
          </w:tcPr>
          <w:p>
            <w:pPr>
              <w:pStyle w:val="Normal6a"/>
            </w:pPr>
            <w:r>
              <w:t>10.</w:t>
            </w:r>
            <w:r>
              <w:tab/>
            </w:r>
            <w:r>
              <w:t xml:space="preserve">stellt fest, dass die Kommission beabsichtigt, eine Spar- und Investitionsunion umzusetzen, die Maßnahmen auf EU-Ebene, </w:t>
            </w:r>
            <w:r>
              <w:rPr>
                <w:b/>
                <w:i/>
              </w:rPr>
              <w:t>aber auch Instrumente</w:t>
            </w:r>
            <w:r>
              <w:t xml:space="preserve">, Lösungen und </w:t>
            </w:r>
            <w:r>
              <w:rPr>
                <w:b/>
                <w:i/>
              </w:rPr>
              <w:t>bewährte</w:t>
            </w:r>
            <w:r>
              <w:t xml:space="preserve"> Verfahren umfassen muss, bei denen die </w:t>
            </w:r>
            <w:r>
              <w:rPr>
                <w:b/>
                <w:i/>
              </w:rPr>
              <w:t>einzelstaatlichen Zuständigkeiten geachtet und die</w:t>
            </w:r>
            <w:r>
              <w:t xml:space="preserve"> Maßnahmen der Mitgliedstaaten unterstützt werden;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fordert die Kommission auf, neue Finanzierungsinstrumente zu prüfen und sie an die Bedürfnisse von Kleinst- und Kleinunternehmen anzupassen, wobei die Gebühren gesenkt und die Risikoabdeckung für grüne, soziale und kooperative KMU erhöht werden und ein besonderer Schwerpunkt auf der Unterstützung wirtschaftlich benachteiligter und marginalisierter Gebiete und der Bekämpfung von Arbeitslosigkeit und regionaler Ungleichheit liegen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Gilles Boyer, 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begrüßt die Einführung des „Finance Europe“-Siegels mit seiner spezifischen Liste der Merkmale, die die Fonds, die das Siegel tragen, aufweisen müssen, wodurch Sparer, die ihre Ersparnisse in europäische Unternehmen investieren und somit direkt zur Finanzierung der Wirtschaft der Union beitragen wollen, in die Lage versetzt werden können, dies auch zu tun;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weist darauf hin, dass die Vollendung und Stärkung der Wirtschafts- und Währungsunion, der Kapitalmarktunion und der Bankenunion, insbesondere im derzeitigen Kontext einer möglichen Entdollarisierung, zu einer stärkeren internationalen Nutzung des Euro zugunsten von KMU führen könnte;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fordert die Kommission auf, den Zugang der Anleger zu Informationen und den Schutz zu verbessern und gleichzeitig das Potenzial vereinfachter Kleinanlegerprodukte zu nutzen, um mehr Ersparnisse auf den Kapitalmärkten anzuziehen;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fordert die Kommission auf, den Zugang der Anleger zu Informationen und den Schutz zu verbessern und gleichzeitig das Potenzial vereinfachter Kleinanlegerprodukte zu nutzen, um mehr Ersparnisse auf den Kapitalmärkten anzuziehen;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die Kommission auf, den Zugang </w:t>
            </w:r>
            <w:r>
              <w:rPr>
                <w:b/>
                <w:i/>
              </w:rPr>
              <w:t>der Anleger zu Informationen und den Schutz zu verbessern und gleichzeitig das Potenzial vereinfachter Kleinanlegerprodukte zu nutzen, um mehr</w:t>
            </w:r>
            <w:r>
              <w:t xml:space="preserve"> Ersparnisse </w:t>
            </w:r>
            <w:r>
              <w:rPr>
                <w:b/>
                <w:i/>
              </w:rPr>
              <w:t>auf den Kapitalmärkten anzuziehen</w:t>
            </w:r>
            <w:r>
              <w:t>;</w:t>
            </w:r>
          </w:p>
        </w:tc>
        <w:tc>
          <w:tcPr>
            <w:tcW w:w="4876" w:type="dxa"/>
            <w:tcBorders>
              <w:top w:val="nil"/>
              <w:left w:val="nil"/>
              <w:bottom w:val="nil"/>
              <w:right w:val="nil"/>
            </w:tcBorders>
          </w:tcPr>
          <w:p>
            <w:pPr>
              <w:pStyle w:val="Normal6a"/>
            </w:pPr>
            <w:r>
              <w:t>11.</w:t>
            </w:r>
            <w:r>
              <w:tab/>
            </w:r>
            <w:r>
              <w:rPr>
                <w:b/>
                <w:i/>
              </w:rPr>
              <w:t>begrüßt die Idee, Sparer zu Anlegern zu machen;</w:t>
            </w:r>
            <w:r>
              <w:t xml:space="preserve"> fordert die Kommission auf, </w:t>
            </w:r>
            <w:r>
              <w:rPr>
                <w:b/>
                <w:i/>
              </w:rPr>
              <w:t>Kleinanlegern</w:t>
            </w:r>
            <w:r>
              <w:t xml:space="preserve"> den Zugang </w:t>
            </w:r>
            <w:r>
              <w:rPr>
                <w:b/>
                <w:i/>
              </w:rPr>
              <w:t>zu den Finanzmärkten zu erleichtern;</w:t>
            </w:r>
            <w:r>
              <w:t xml:space="preserve"> </w:t>
            </w:r>
            <w:r>
              <w:rPr>
                <w:b/>
                <w:i/>
              </w:rPr>
              <w:t>betont, dass Intermediäre wie Pensionsfonds und Versicherungsunternehmen von entscheidender Bedeutung sind, wenn</w:t>
            </w:r>
            <w:r>
              <w:t xml:space="preserve"> Ersparnisse </w:t>
            </w:r>
            <w:r>
              <w:rPr>
                <w:b/>
                <w:i/>
              </w:rPr>
              <w:t>in Start-up-Unternehmen oder expandierende Jungunternehmen gelenkt werden sollen;</w:t>
            </w:r>
            <w:r>
              <w:t xml:space="preserve"> </w:t>
            </w:r>
            <w:r>
              <w:rPr>
                <w:b/>
                <w:i/>
              </w:rPr>
              <w:t>fordert die Kommission auf, einen Regelungsrahmen zu schaffen, der es für solche Einrichtungen attraktiv macht, diese Rolle als Intermediäre zu übernehmen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fordert die Kommission auf, den Zugang der Anleger zu Informationen und den Schutz zu verbessern und gleichzeitig das Potenzial vereinfachter Kleinanlegerprodukte zu nutzen, um mehr Ersparnisse auf den Kapitalmärkten anzuziehen;</w:t>
            </w:r>
          </w:p>
        </w:tc>
        <w:tc>
          <w:tcPr>
            <w:tcW w:w="4876" w:type="dxa"/>
            <w:tcBorders>
              <w:top w:val="nil"/>
              <w:left w:val="nil"/>
              <w:bottom w:val="nil"/>
              <w:right w:val="nil"/>
            </w:tcBorders>
          </w:tcPr>
          <w:p>
            <w:pPr>
              <w:pStyle w:val="Normal6a"/>
            </w:pPr>
            <w:r>
              <w:t>11.</w:t>
            </w:r>
            <w:r>
              <w:tab/>
            </w:r>
            <w:r>
              <w:t xml:space="preserve">fordert die Kommission auf, den Zugang der Anleger zu Informationen und den Schutz zu verbessern und gleichzeitig das Potenzial vereinfachter Kleinanlegerprodukte zu nutzen, um mehr Ersparnisse auf den Kapitalmärkten anzuziehen; </w:t>
            </w:r>
            <w:r>
              <w:rPr>
                <w:b/>
                <w:i/>
              </w:rPr>
              <w:t>fordert die Kommission auf, freiwillige europäische Standards zu fördern, um die Transparenz, Vergleichbarkeit und klare Darstellung von Finanzprodukten für KMU zu verbessern, damit die Unternehmer leichter fundierte Entscheidungen treffen können;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die Kommission auf, </w:t>
            </w:r>
            <w:r>
              <w:rPr>
                <w:b/>
                <w:i/>
              </w:rPr>
              <w:t>den Zugang der Anleger zu Informationen und den Schutz zu verbessern</w:t>
            </w:r>
            <w:r>
              <w:t xml:space="preserve"> und gleichzeitig das Potenzial </w:t>
            </w:r>
            <w:r>
              <w:rPr>
                <w:b/>
                <w:i/>
              </w:rPr>
              <w:t>vereinfachter</w:t>
            </w:r>
            <w:r>
              <w:t xml:space="preserve"> Kleinanlegerprodukte zu nutzen, um mehr Ersparnisse auf den Kapitalmärkten anzuziehen;</w:t>
            </w:r>
          </w:p>
        </w:tc>
        <w:tc>
          <w:tcPr>
            <w:tcW w:w="4876" w:type="dxa"/>
            <w:tcBorders>
              <w:top w:val="nil"/>
              <w:left w:val="nil"/>
              <w:bottom w:val="nil"/>
              <w:right w:val="nil"/>
            </w:tcBorders>
          </w:tcPr>
          <w:p>
            <w:pPr>
              <w:pStyle w:val="Normal6a"/>
            </w:pPr>
            <w:r>
              <w:t>11.</w:t>
            </w:r>
            <w:r>
              <w:tab/>
            </w:r>
            <w:r>
              <w:t xml:space="preserve">fordert die Kommission auf, </w:t>
            </w:r>
            <w:r>
              <w:rPr>
                <w:b/>
                <w:i/>
              </w:rPr>
              <w:t>die Beteiligung von Kleinanlegern an den Kapitalmärkten durch verschiedene Mittel zu stärken</w:t>
            </w:r>
            <w:r>
              <w:t xml:space="preserve"> und gleichzeitig das Potenzial </w:t>
            </w:r>
            <w:r>
              <w:rPr>
                <w:b/>
                <w:i/>
              </w:rPr>
              <w:t>einfacher</w:t>
            </w:r>
            <w:r>
              <w:t xml:space="preserve"> Kleinanlegerprodukte zu nutzen, um mehr Ersparnisse auf den Kapitalmärkten anzuziehen </w:t>
            </w:r>
            <w:r>
              <w:rPr>
                <w:b/>
                <w:i/>
              </w:rPr>
              <w:t>und, was noch wichtiger ist, den Unionsbürgerinnen und -bürgern attraktivere Renditen aus ihren Ersparnissen zu bieten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die Kommission auf, den Zugang der Anleger zu Informationen und den Schutz zu verbessern und gleichzeitig das Potenzial </w:t>
            </w:r>
            <w:r>
              <w:rPr>
                <w:b/>
                <w:i/>
              </w:rPr>
              <w:t>vereinfachter Kleinanlegerprodukte</w:t>
            </w:r>
            <w:r>
              <w:t xml:space="preserve"> zu nutzen, um mehr Ersparnisse auf den Kapitalmärkten anzuziehen;</w:t>
            </w:r>
          </w:p>
        </w:tc>
        <w:tc>
          <w:tcPr>
            <w:tcW w:w="4876" w:type="dxa"/>
            <w:tcBorders>
              <w:top w:val="nil"/>
              <w:left w:val="nil"/>
              <w:bottom w:val="nil"/>
              <w:right w:val="nil"/>
            </w:tcBorders>
          </w:tcPr>
          <w:p>
            <w:pPr>
              <w:pStyle w:val="Normal6a"/>
            </w:pPr>
            <w:r>
              <w:t>11.</w:t>
            </w:r>
            <w:r>
              <w:tab/>
            </w:r>
            <w:r>
              <w:t xml:space="preserve">fordert die Kommission auf, den Zugang der Anleger zu Informationen und den Schutz zu verbessern und gleichzeitig das Potenzial </w:t>
            </w:r>
            <w:r>
              <w:rPr>
                <w:b/>
                <w:i/>
              </w:rPr>
              <w:t>von Kleinanlegerprodukten</w:t>
            </w:r>
            <w:r>
              <w:t xml:space="preserve"> zu nutzen, um mehr Ersparnisse auf den Kapitalmärkten anzuziehen;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bedauert, dass sich die EuVECA-Verordnung ((EU) Nr. 345/2013) nicht wesentlich positiv auf die lokalen Risikokapitalmärkte ausgewirkt hat;</w:t>
            </w:r>
            <w:r>
              <w:t xml:space="preserve"> </w:t>
            </w:r>
            <w:r>
              <w:rPr>
                <w:b/>
                <w:i/>
              </w:rPr>
              <w:t>begrüßt, dass sich die SIU-Mitteilung speziell mit Risikokapitalinvestitionen in kleine, nicht börsennotierte Unternehmen befasst, die idealerweise jung und innovativ sind, bedauert allerdings, dass der Vorschlag der Kommission für die EuVECA-Verordnung auf das dritte Quartal 2026 verschoben wurde;</w:t>
            </w:r>
            <w:r>
              <w:t xml:space="preserve"> </w:t>
            </w:r>
            <w:r>
              <w:rPr>
                <w:b/>
                <w:i/>
              </w:rPr>
              <w:t>fordert die Kommission auf, in Erwägung zu ziehen, Privatsparern die Möglichkeit zu geben, in alternative Fonds zu investieren und die Mindestinvestition in Höhe von 100 000 EUR aus der EuVECA-Verordnung zu streichen;</w:t>
            </w:r>
            <w:r>
              <w:t xml:space="preserve"> </w:t>
            </w:r>
            <w:r>
              <w:rPr>
                <w:b/>
                <w:i/>
              </w:rPr>
              <w:t>fordert die Kommission auf, die Mitgliedstaaten dazu anzuhalten, Risikokapitalfonds, die in KMU investieren, steuerliche Anreize zu gewähren;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betont, dass die Mobilisierung von Sparanlagen für Investitionen mit der Schaffung eines geeigneten Umfelds für europäische KMU und expandierende Jungunternehmen einhergehen sollte, damit eine ausreichende Rentabilität erreicht wird, sodass die Menschen ihre Gelder frei in europäische Unternehmen investieren können;</w:t>
            </w:r>
            <w:r>
              <w:t xml:space="preserve"> </w:t>
            </w:r>
            <w:r>
              <w:rPr>
                <w:b/>
                <w:i/>
              </w:rPr>
              <w:t>weist daher darauf hin, dass die Förderung von Produktivität, Innovation und Wettbewerbsfähigkeit sowie eine erhebliche Verringerung des Regelungsaufwands eine wesentliche Voraussetzung für die Mobilisierung von privatem Kapital und von Ersparnissen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stellt fest, dass im Draghi-Bericht die Unterentwicklung der vorfinanzierten öffentlichen, betrieblichen und privaten Rentensysteme in den EU-Mitgliedstaaten als wesentlicher Faktor genannt wird, der die Entwicklung der Kapitalmärkte einschränkt;</w:t>
            </w:r>
            <w:r>
              <w:t xml:space="preserve"> </w:t>
            </w:r>
            <w:r>
              <w:rPr>
                <w:b/>
                <w:i/>
              </w:rPr>
              <w:t>betont, dass vorfinanzierte Rentensysteme, bei denen festgelegte Beiträge auf den Kapitalmärkten angelegt und nicht über umlagefinanzierte Systeme ausgezahlt werden, von entscheidender Bedeutung sind, um langfristige Investitionen in die Realwirtschaft zu lenken;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die Kommission auf, einer Agenda für die Kapitalmarktunion Vorrang einzuräumen, durch die die Finanzstabilität aufrechterhalten, der Verbraucherschutz sichergestellt, der Zugang zu Risikokapital und Beteiligungsinvestitionen begünstigt und die übermäßige Abhängigkeit von Bankkrediten verringert wird, wobei zugleich klare Anreize für die Hinwendung zu nachhaltigen Tätigkeiten und die Abkehr von Tätigkeiten, die einem der Taxonomie-Ziele abträglich sind, zu setzen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ist der Ansicht, dass die Mobilisierung von privatem Kapital und seine stärkere Beteiligung an Investitionen eine Aufgabe ist, die weit über den Bereich der Regulierung hinausgeht und eine Änderung der Spar- und Investitionsgewohnheiten erfordert, was wiederum eine erhebliche Verbesserung des Wissens über die Wirtschaft und ein entsprechendes Bewusstseins erfordert;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die europäischen und nationalen Entwicklungsbanken auf, die direkte Kreditvergabe und die Kapitalbeteiligung an KMU zu erhöhen, wobei der Schwerpunkt auf der Frühphasenfinanzierung und den unterversorgten Gemeinschaften liegen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betont, dass die Finanzkompetenz der Bürgerinnen und Bürger sowie der Unternehmerinnen und Unternehmer in der EU verbessert werden muss;</w:t>
            </w:r>
            <w:r>
              <w:t xml:space="preserve"> </w:t>
            </w:r>
            <w:r>
              <w:rPr>
                <w:b/>
                <w:i/>
              </w:rPr>
              <w:t>fordert die Kommission auf, das Unternehmertum in den Anwendungsbereich der künftigen Strategie zur Vermittlung von Finanzwissen und in ein Instrumentarium für die Mitgliedstaaten aufzunehmen, um die Koordinierung in diesem Bereich zu verbessern;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betont, dass die Finanzkompetenz der Bürgerinnen und Bürger sowie der Unternehmerinnen und Unternehmer in der EU verbessert werden muss;</w:t>
            </w:r>
            <w:r>
              <w:t xml:space="preserve"> </w:t>
            </w:r>
            <w:r>
              <w:rPr>
                <w:b/>
                <w:i/>
              </w:rPr>
              <w:t>fordert die Kommission auf, das Unternehmertum in den Anwendungsbereich der künftigen Strategie zur Vermittlung von Finanzwissen und in ein Instrumentarium für die Mitgliedstaaten aufzunehmen, um die Koordinierung in diesem Bereich zu verbessern;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betont, dass die Finanzkompetenz der Bürgerinnen und Bürger sowie der Unternehmerinnen und Unternehmer in der EU verbessert werden muss; fordert die Kommission auf, das Unternehmertum in den Anwendungsbereich der künftigen Strategie zur Vermittlung von Finanzwissen und in ein Instrumentarium für die Mitgliedstaaten aufzunehmen, um die Koordinierung in diesem Bereich zu verbessern;</w:t>
            </w:r>
          </w:p>
        </w:tc>
        <w:tc>
          <w:tcPr>
            <w:tcW w:w="4876" w:type="dxa"/>
            <w:tcBorders>
              <w:top w:val="nil"/>
              <w:left w:val="nil"/>
              <w:bottom w:val="nil"/>
              <w:right w:val="nil"/>
            </w:tcBorders>
          </w:tcPr>
          <w:p>
            <w:pPr>
              <w:pStyle w:val="Normal6a"/>
            </w:pPr>
            <w:r>
              <w:t>12.</w:t>
            </w:r>
            <w:r>
              <w:tab/>
            </w:r>
            <w:r>
              <w:t xml:space="preserve">betont </w:t>
            </w:r>
            <w:r>
              <w:rPr>
                <w:b/>
                <w:i/>
              </w:rPr>
              <w:t>nachdrücklich</w:t>
            </w:r>
            <w:r>
              <w:t xml:space="preserve">, dass die Finanzkompetenz der Bürgerinnen und Bürger sowie der Unternehmerinnen und Unternehmer in der EU verbessert werden muss; fordert die Kommission auf, das Unternehmertum in den Anwendungsbereich der künftigen Strategie zur Vermittlung von Finanzwissen und in ein Instrumentarium für die Mitgliedstaaten aufzunehmen, um die Koordinierung in diesem Bereich zu verbessern; </w:t>
            </w:r>
            <w:r>
              <w:rPr>
                <w:b/>
                <w:i/>
              </w:rPr>
              <w:t>betont, dass sich eine verbesserte Finanzkompetenz auszahlt, weil die Bürger dann eigenständig fundiertere Finanzentscheidungen treffen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betont, dass die </w:t>
            </w:r>
            <w:r>
              <w:rPr>
                <w:b/>
                <w:i/>
              </w:rPr>
              <w:t>Finanzkompetenz</w:t>
            </w:r>
            <w:r>
              <w:t xml:space="preserve"> der Bürgerinnen und Bürger sowie der Unternehmerinnen und Unternehmer in der EU verbessert werden muss; fordert die Kommission auf, das Unternehmertum in den Anwendungsbereich der künftigen Strategie zur Vermittlung von </w:t>
            </w:r>
            <w:r>
              <w:rPr>
                <w:b/>
                <w:i/>
              </w:rPr>
              <w:t>Finanzwissen</w:t>
            </w:r>
            <w:r>
              <w:t xml:space="preserve"> und in ein Instrumentarium für die Mitgliedstaaten aufzunehmen, um die Koordinierung in diesem Bereich zu verbessern;</w:t>
            </w:r>
          </w:p>
        </w:tc>
        <w:tc>
          <w:tcPr>
            <w:tcW w:w="4876" w:type="dxa"/>
            <w:tcBorders>
              <w:top w:val="nil"/>
              <w:left w:val="nil"/>
              <w:bottom w:val="nil"/>
              <w:right w:val="nil"/>
            </w:tcBorders>
          </w:tcPr>
          <w:p>
            <w:pPr>
              <w:pStyle w:val="Normal6a"/>
            </w:pPr>
            <w:r>
              <w:t>12.</w:t>
            </w:r>
            <w:r>
              <w:tab/>
            </w:r>
            <w:r>
              <w:t xml:space="preserve">betont, dass die </w:t>
            </w:r>
            <w:r>
              <w:rPr>
                <w:b/>
                <w:i/>
              </w:rPr>
              <w:t>Finanzbildung</w:t>
            </w:r>
            <w:r>
              <w:t xml:space="preserve"> der Bürgerinnen und Bürger sowie der Unternehmerinnen und Unternehmer in der EU verbessert werden muss; fordert die Kommission auf, das Unternehmertum in den Anwendungsbereich der künftigen Strategie zur Vermittlung von </w:t>
            </w:r>
            <w:r>
              <w:rPr>
                <w:b/>
                <w:i/>
              </w:rPr>
              <w:t>Finanzbildung</w:t>
            </w:r>
            <w:r>
              <w:t xml:space="preserve"> und in ein Instrumentarium für die Mitgliedstaaten aufzunehmen, um die Koordinierung in diesem Bereich zu verbessern;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betont, dass gegen die derzeitige verschuldungsfreundliche Besteuerung der Unternehmen vorgegangen werden muss, da sie den Verschuldungsgrad nach oben treibt und Anreize zum Einsatz von komplexen Finanzierungsinstrumenten schafft, wodurch sich das systemische Risiko auf den Kapitalmärkten erhöht;</w:t>
            </w:r>
            <w:r>
              <w:t xml:space="preserve"> </w:t>
            </w:r>
            <w:r>
              <w:rPr>
                <w:b/>
                <w:i/>
              </w:rPr>
              <w:t>vertritt die Auffassung, dass derartige steuerliche Verzerrungen korrigiert werden sollten, indem die steuerliche Abzugsfähigkeit von Zinsaufwendungen eingeschränkt wird und nicht indem bei der Körperschaftssteuer neue Abzugsmöglichkeiten für Eigenkapitalkosten eingeführt werden, da dies zu erheblichen Einbußen bei den Körperschaftssteuereinnahmen führen würde, ohne eine wirkliche Förderung der Wertschöpfung zu bewirken;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betont nachdrücklich, dass gezielte Steuererleichterungen ein wichtiges Instrument zur Förderung der Entwicklung, der Wettbewerbsfähigkeit und des dynamischen Wachstums kleiner und mittlerer Unternehmen und expandierender Jungunternehmen sind;</w:t>
            </w:r>
            <w:r>
              <w:t xml:space="preserve"> </w:t>
            </w:r>
            <w:r>
              <w:rPr>
                <w:b/>
                <w:i/>
              </w:rPr>
              <w:t>fordert die Kommission daher auf, die Mitgliedstaaten zu unterstützen und zu ermutigen, in innovativen Sektoren und Sektoren mit hohem Wachstumspotenzial strukturierte und ambitionierte „Steuerfreiheitsmaßnahmen“ sowie Steuer- und Regulierungserleichterungen umzusetzen;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fordert eine europäische Strategie zur Unterstützung der Entwicklung genossenschaftlicher und gemeinschaftsbasierter Finanzinstitute (z. B. Kreditgenossenschaften, Genossenschaftsbanken) als Schlüsselakteure bei der inklusiven Finanzierung von KMU, da sie besser in der Lage sind, KMU mit Kenntnissen der lokalen Gegebenheiten und in Bezug auf soziale Wirksamkeit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fordert, dass öffentliche Mittel nicht als Subventionen, sondern vielmehr als ein Katalysator für die Mobilisierung privater Investitionen verwendet werden, und dass mehr private Mittel für Unternehmen bereitgestellt werden;</w:t>
            </w:r>
            <w:r>
              <w:t xml:space="preserve"> </w:t>
            </w:r>
            <w:r>
              <w:rPr>
                <w:b/>
                <w:i/>
              </w:rPr>
              <w:t>betont in diesem Zusammenhang auch die Rolle steuerlicher Anreize;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fordert, dass öffentliche Mittel nicht als Subventionen, sondern vielmehr als ein Katalysator für die Mobilisierung privater Investitionen verwendet werden, und dass mehr private Mittel für Unternehmen bereitgestellt werden;</w:t>
            </w:r>
            <w:r>
              <w:t xml:space="preserve"> </w:t>
            </w:r>
            <w:r>
              <w:rPr>
                <w:b/>
                <w:i/>
              </w:rPr>
              <w:t>betont in diesem Zusammenhang auch die Rolle steuerlicher Anreize;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fordert, dass öffentliche Mittel nicht als Subventionen, sondern vielmehr als ein Katalysator für die Mobilisierung privater Investitionen verwendet werden, und dass mehr private Mittel für Unternehmen bereitgestellt werden;</w:t>
            </w:r>
            <w:r>
              <w:t xml:space="preserve"> </w:t>
            </w:r>
            <w:r>
              <w:rPr>
                <w:b/>
                <w:i/>
              </w:rPr>
              <w:t>betont in diesem Zusammenhang auch die Rolle steuerlicher Anreize;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fordert, dass öffentliche Mittel nicht als Subventionen, sondern vielmehr als ein Katalysator für die Mobilisierung privater Investitionen verwendet werden, und dass mehr private Mittel für Unternehmen bereitgestellt werden; betont in diesem Zusammenhang auch die Rolle steuerlicher Anreize;</w:t>
            </w:r>
          </w:p>
        </w:tc>
        <w:tc>
          <w:tcPr>
            <w:tcW w:w="4876" w:type="dxa"/>
            <w:tcBorders>
              <w:top w:val="nil"/>
              <w:left w:val="nil"/>
              <w:bottom w:val="nil"/>
              <w:right w:val="nil"/>
            </w:tcBorders>
          </w:tcPr>
          <w:p>
            <w:pPr>
              <w:pStyle w:val="Normal6a"/>
            </w:pPr>
            <w:r>
              <w:t>13.</w:t>
            </w:r>
            <w:r>
              <w:tab/>
            </w:r>
            <w:r>
              <w:t xml:space="preserve">fordert, dass öffentliche Mittel nicht als Subventionen, sondern vielmehr als ein Katalysator für die Mobilisierung privater Investitionen verwendet werden, und dass mehr private Mittel für Unternehmen </w:t>
            </w:r>
            <w:r>
              <w:rPr>
                <w:b/>
                <w:i/>
              </w:rPr>
              <w:t>und Kleinstunternehmen</w:t>
            </w:r>
            <w:r>
              <w:t xml:space="preserve"> bereitgestellt werden; betont in diesem Zusammenhang auch die Rolle steuerlicher Anreize</w:t>
            </w:r>
            <w:r>
              <w:rPr>
                <w:b/>
                <w:i/>
              </w:rPr>
              <w:t> und fordert die Kommission auf, die strukturellen Schwachstellen und die Notwendigkeit einer inklusiven und fairen Wettbewerbsfähigkeit in Bezug auf alle Unternehmensgrößen anzuerkennen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fordert, dass öffentliche Mittel nicht als Subventionen, sondern vielmehr als ein Katalysator für die Mobilisierung privater Investitionen verwendet werden, und dass mehr private Mittel für Unternehmen bereitgestellt werden; betont in diesem Zusammenhang auch die Rolle steuerlicher Anreize;</w:t>
            </w:r>
          </w:p>
        </w:tc>
        <w:tc>
          <w:tcPr>
            <w:tcW w:w="4876" w:type="dxa"/>
            <w:tcBorders>
              <w:top w:val="nil"/>
              <w:left w:val="nil"/>
              <w:bottom w:val="nil"/>
              <w:right w:val="nil"/>
            </w:tcBorders>
          </w:tcPr>
          <w:p>
            <w:pPr>
              <w:pStyle w:val="Normal6a"/>
            </w:pPr>
            <w:r>
              <w:t>13.</w:t>
            </w:r>
            <w:r>
              <w:tab/>
            </w:r>
            <w:r>
              <w:t xml:space="preserve">fordert, dass öffentliche Mittel nicht als Subventionen, sondern vielmehr als ein Katalysator für die Mobilisierung privater Investitionen verwendet werden, und dass mehr private Mittel für Unternehmen bereitgestellt werden; betont in diesem Zusammenhang auch die Rolle steuerlicher Anreize; </w:t>
            </w:r>
            <w:r>
              <w:rPr>
                <w:b/>
                <w:i/>
              </w:rPr>
              <w:t>ist der Ansicht, dass der Großteil der Investitionen aus dem Privatsektor stammen sollte;</w:t>
            </w:r>
            <w:r>
              <w:t xml:space="preserve"> </w:t>
            </w:r>
            <w:r>
              <w:rPr>
                <w:b/>
                <w:i/>
              </w:rPr>
              <w:t>betont, dass dies stabile und attraktive Steuer- und Regulierungsrahmen für professionelle Anleger und Kleinanleger erfordert;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fordert, dass öffentliche Mittel nicht als Subventionen, sondern vielmehr als ein Katalysator für die Mobilisierung privater Investitionen verwendet werden, und dass mehr private Mittel für Unternehmen bereitgestellt werden; betont </w:t>
            </w:r>
            <w:r>
              <w:rPr>
                <w:b/>
                <w:i/>
              </w:rPr>
              <w:t>in diesem Zusammenhang auch</w:t>
            </w:r>
            <w:r>
              <w:t xml:space="preserve"> die Rolle </w:t>
            </w:r>
            <w:r>
              <w:rPr>
                <w:b/>
                <w:i/>
              </w:rPr>
              <w:t>steuerlicher Anreize</w:t>
            </w:r>
            <w:r>
              <w:t>;</w:t>
            </w:r>
          </w:p>
        </w:tc>
        <w:tc>
          <w:tcPr>
            <w:tcW w:w="4876" w:type="dxa"/>
            <w:tcBorders>
              <w:top w:val="nil"/>
              <w:left w:val="nil"/>
              <w:bottom w:val="nil"/>
              <w:right w:val="nil"/>
            </w:tcBorders>
          </w:tcPr>
          <w:p>
            <w:pPr>
              <w:pStyle w:val="Normal6a"/>
            </w:pPr>
            <w:r>
              <w:t>13.</w:t>
            </w:r>
            <w:r>
              <w:tab/>
            </w:r>
            <w:r>
              <w:t xml:space="preserve">fordert, dass öffentliche Mittel nicht als Subventionen, sondern vielmehr als ein Katalysator für die Mobilisierung privater Investitionen verwendet werden, und dass mehr private Mittel für Unternehmen bereitgestellt werden; betont die Rolle </w:t>
            </w:r>
            <w:r>
              <w:rPr>
                <w:b/>
                <w:i/>
              </w:rPr>
              <w:t>von Garantieinstrumenten bei der Mobilisierung begrenzter öffentlicher Mittel zur Förderung von Investitionen des Privatsektors, wodurch das Risiko für private Investoren verringert und eine stärkere Beteiligung an der Finanzierung von KMU gefördert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fordert, dass öffentliche Mittel nicht als Subventionen, sondern vielmehr als ein Katalysator für die Mobilisierung privater Investitionen verwendet werden, und dass mehr private Mittel für Unternehmen bereitgestellt werden; betont in diesem Zusammenhang </w:t>
            </w:r>
            <w:r>
              <w:rPr>
                <w:b/>
                <w:i/>
              </w:rPr>
              <w:t>auch die Rolle steuerlicher Anreize</w:t>
            </w:r>
            <w:r>
              <w:t>;</w:t>
            </w:r>
          </w:p>
        </w:tc>
        <w:tc>
          <w:tcPr>
            <w:tcW w:w="4876" w:type="dxa"/>
            <w:tcBorders>
              <w:top w:val="nil"/>
              <w:left w:val="nil"/>
              <w:bottom w:val="nil"/>
              <w:right w:val="nil"/>
            </w:tcBorders>
          </w:tcPr>
          <w:p>
            <w:pPr>
              <w:pStyle w:val="Normal6a"/>
            </w:pPr>
            <w:r>
              <w:t>13.</w:t>
            </w:r>
            <w:r>
              <w:tab/>
            </w:r>
            <w:r>
              <w:t>fordert, dass öffentliche Mittel nicht als Subventionen, sondern vielmehr als ein Katalysator für die Mobilisierung privater Investitionen verwendet werden, und dass mehr private Mittel für Unternehmen bereitgestellt werden; betont</w:t>
            </w:r>
            <w:r>
              <w:rPr>
                <w:b/>
                <w:i/>
              </w:rPr>
              <w:t>, wie wichtig es ist, öffentliche Instrumente wie Garantien, Beteiligungsinvestitionen und Mischfinanzierungen zu mobilisieren, um die Mobilisierung von privatem Kapital zu maximieren;</w:t>
            </w:r>
            <w:r>
              <w:t xml:space="preserve"> </w:t>
            </w:r>
            <w:r>
              <w:rPr>
                <w:b/>
                <w:i/>
              </w:rPr>
              <w:t>betont, dass</w:t>
            </w:r>
            <w:r>
              <w:t xml:space="preserve"> in diesem Zusammenhang </w:t>
            </w:r>
            <w:r>
              <w:rPr>
                <w:b/>
                <w:i/>
              </w:rPr>
              <w:t>steuerlichen Anreizen eine Schlüsselrolle zukommt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fordert, dass öffentliche Mittel nicht als Subventionen, sondern vielmehr als ein Katalysator für die Mobilisierung privater Investitionen verwendet werden, und dass mehr private Mittel für Unternehmen bereitgestellt werden; betont in diesem Zusammenhang auch die Rolle steuerlicher Anreize;</w:t>
            </w:r>
          </w:p>
        </w:tc>
        <w:tc>
          <w:tcPr>
            <w:tcW w:w="4876" w:type="dxa"/>
            <w:tcBorders>
              <w:top w:val="nil"/>
              <w:left w:val="nil"/>
              <w:bottom w:val="nil"/>
              <w:right w:val="nil"/>
            </w:tcBorders>
          </w:tcPr>
          <w:p>
            <w:pPr>
              <w:pStyle w:val="Normal6a"/>
            </w:pPr>
            <w:r>
              <w:t>13.</w:t>
            </w:r>
            <w:r>
              <w:tab/>
            </w:r>
            <w:r>
              <w:t xml:space="preserve">fordert, dass öffentliche Mittel nicht als Subventionen, sondern vielmehr als ein Katalysator für die Mobilisierung privater Investitionen verwendet werden, und dass mehr private Mittel für Unternehmen bereitgestellt werden; betont in diesem Zusammenhang auch die </w:t>
            </w:r>
            <w:r>
              <w:rPr>
                <w:b/>
                <w:i/>
              </w:rPr>
              <w:t>positive</w:t>
            </w:r>
            <w:r>
              <w:t xml:space="preserve"> Rolle steuerlicher Anreize;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fordert, dass öffentliche Mittel </w:t>
            </w:r>
            <w:r>
              <w:rPr>
                <w:b/>
                <w:i/>
              </w:rPr>
              <w:t>nicht als Subventionen, sondern vielmehr als ein</w:t>
            </w:r>
            <w:r>
              <w:t xml:space="preserve"> Katalysator für die Mobilisierung privater Investitionen verwendet werden, und dass mehr private Mittel für Unternehmen bereitgestellt werden; </w:t>
            </w:r>
            <w:r>
              <w:rPr>
                <w:b/>
                <w:i/>
              </w:rPr>
              <w:t>betont in diesem Zusammenhang auch die Rolle steuerlicher Anreize;</w:t>
            </w:r>
          </w:p>
        </w:tc>
        <w:tc>
          <w:tcPr>
            <w:tcW w:w="4876" w:type="dxa"/>
            <w:tcBorders>
              <w:top w:val="nil"/>
              <w:left w:val="nil"/>
              <w:bottom w:val="nil"/>
              <w:right w:val="nil"/>
            </w:tcBorders>
          </w:tcPr>
          <w:p>
            <w:pPr>
              <w:pStyle w:val="Normal6a"/>
            </w:pPr>
            <w:r>
              <w:t>13.</w:t>
            </w:r>
            <w:r>
              <w:tab/>
            </w:r>
            <w:r>
              <w:t xml:space="preserve">fordert, dass öffentliche Mittel </w:t>
            </w:r>
            <w:r>
              <w:rPr>
                <w:b/>
                <w:i/>
              </w:rPr>
              <w:t>als</w:t>
            </w:r>
            <w:r>
              <w:t xml:space="preserve"> Katalysator für die Mobilisierung privater Investitionen verwendet werden, und dass mehr private Mittel für Unternehmen bereitgestellt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 xml:space="preserve"> </w:t>
            </w:r>
            <w:r>
              <w:rPr>
                <w:b/>
                <w:i/>
              </w:rPr>
              <w:t>fordert die Kommission nachdrücklich auf, die Einrichtung eines ständigen Mechanismus zur Liquiditätsunterstützung für KMU nach dem Vorbild wirksamer befristeter Maßnahmen wie rückzahlbarer Vorschüsse zu prüfen, mit denen während der jüngsten Krisen bedeutende Ergebnisse erreicht werden konnten, indem die im traditionellen Bankwesen bestehenden Hindernisse umgangen wurden;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Jorge Martín Frías, 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 Unterabsatz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fordert die Kommission auf, die Landwirtschaft und die Automobilindustrie in die vorrangigen Sektoren einzubeziehen, die in der Strategie für Start-up-Unternehmen und expandierende Jungunternehmen festgelegt wurden;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hebt hervor, dass im Zusammenhang mit der Digitalisierung öffentlicher Behörden der Zugang zu öffentlichen Beschaffungsverfahren für Start-up-Unternehmen und expandierende Jungunternehmen geschützt und unterstützt werden muss, um die Schaffung eines dynamischen und wettbewerbsfähigen europäischen Digitalsektors zu fördern;</w:t>
            </w:r>
            <w:r>
              <w:t xml:space="preserve"> </w:t>
            </w:r>
            <w:r>
              <w:rPr>
                <w:b/>
                <w:i/>
              </w:rPr>
              <w:t>fordert in diesem Zusammenhang, dass mindestens 10 % der öffentlichen Aufträge der Digitalunion an Start-up-Unternehmen und expandierende Jungunternehmen vergeben werden;</w:t>
            </w:r>
            <w:r>
              <w:t xml:space="preserve"> </w:t>
            </w:r>
            <w:r>
              <w:rPr>
                <w:b/>
                <w:i/>
              </w:rPr>
              <w:t>fordert vor dem Hintergrund der Bemühungen um eine strategische Autonomie Europas, die Bemühungen um technologische Souveränität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weist darauf hin, dass der öffentliche Sektor eine wirksame Katalysatorrolle bei der Mobilisierung von privatem Kapital spielen kann, insbesondere in Sektoren mit hoher Informationsasymmetrie oder in Regionen mit aufstrebenden Finanzmärkten;</w:t>
            </w:r>
            <w:r>
              <w:t xml:space="preserve"> </w:t>
            </w:r>
            <w:r>
              <w:rPr>
                <w:b/>
                <w:i/>
              </w:rPr>
              <w:t>fordert, dass öffentliche Instrumente gemäß den Kriterien der Effizienz, Wettbewerbsneutralität und Wirkungsorientierung konzipiert werden, um die Hebelwirkung auf private Investitionen zu maximieren;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betont, dass das Potenzial der EIB-Gruppe voll ausgeschöpft werden muss, um private Investitionen zu mobilisieren und die Investitionslücke Europas in allen vorrangigen Bereichen – von der Dekarbonisierung bis hin zur Verteidigung – zu schließen;</w:t>
            </w:r>
            <w:r>
              <w:t xml:space="preserve"> </w:t>
            </w:r>
            <w:r>
              <w:rPr>
                <w:b/>
                <w:i/>
              </w:rPr>
              <w:t>fordert die EIB auf, mehr Mittel für KMU-Projekte in den Bereichen Innovation, Start-up-Unternehmen und expandierende Jungunternehmen bereitzustellen;</w:t>
            </w:r>
            <w:r>
              <w:t xml:space="preserve"> </w:t>
            </w:r>
            <w:r>
              <w:rPr>
                <w:b/>
                <w:i/>
              </w:rPr>
              <w:t>bedauert, dass keine entsprechenden konkreten Vorschläge vorliegen;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betont, wie wichtig es ist, den Einsatz revolvierender Finanzierungsinstrumente, die aus dem Europäischen Fonds für regionale Entwicklung kofinanziert werden, als nachhaltiges und effizientes Mittel zur Schließung anhaltender Finanzierungslücken für KMU auszubauen, insbesondere in Regionen mit begrenzter Kreditverfügbarkeit;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fordert die Kommission und die Mitgliedstaaten auf, Steuervermeidung, Steuerhinterziehung und schädliche Steuerpraktiken wirksam zu bekämpfen, indem sie unter anderem eine internationale Mindeststeuer für Unternehmen von 25 % einführen;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Pascal Canfin, Stéphanie Yon-Courtin,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fordert die Kommission auf, bei der anstehenden Überprüfung des langfristigen EU-Haushalts ein beträchtliches Budget für die Risikominderung privater Investitionen institutioneller Investoren in innovative Technologien vorzusehen;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weist darauf hin, dass die Kreditkosten in der EU sehr unterschiedlich sind, wodurch KMU in einigen Mitgliedstaaten benachteiligt sind;</w:t>
            </w:r>
            <w:r>
              <w:t xml:space="preserve"> </w:t>
            </w:r>
            <w:r>
              <w:rPr>
                <w:b/>
                <w:i/>
              </w:rPr>
              <w:t>fordert die Kommission auf, die bestehenden Optionen zur Lösung dieses Problems zu prüfen;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weist darauf hin, dass die strukturelle Verzerrung zugunsten der Fremdfinanzierung innovationsbasiertes Wachstum benachteiligt und die finanzielle Widerstandsfähigkeit der Unternehmen einschränkt;</w:t>
            </w:r>
            <w:r>
              <w:t xml:space="preserve"> </w:t>
            </w:r>
            <w:r>
              <w:rPr>
                <w:b/>
                <w:i/>
              </w:rPr>
              <w:t>hält es für notwendig, die Debatte über einen Steuerabzug für Eigenkapital wieder aufzunehmen, um ein besseres steuerliches Gleichgewicht zwischen Fremd- und Eigenkapital herzustellen;</w:t>
            </w:r>
            <w:r>
              <w:t xml:space="preserve"> </w:t>
            </w:r>
            <w:r>
              <w:rPr>
                <w:b/>
                <w:i/>
              </w:rPr>
              <w:t>betont, dass die Eigenkapitalkosten deutlich höher sind als die Fremdkapitalkosten und dass das derzeitige Steuersystem diese Verzerrung verstärkt;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bedauert die übermäßigen Risikopositionen von Banken gegenüber Staaten, die sich nachteilig auf Kreditnehmer, einschließlich KMU, auswirken;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Schließung der Finanzierungslücke von KMU, expandierenden Jungunternehmen und Start-up-Unternehmen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fordert die Kommission auf, Flexibilität bei der Umsetzung der Basel-III-Anforderungen einzuführen, um sicherzustellen, dass KMU und expandierenden Jungunternehmen mehr Kredite zur Verfügung gestellt werden;</w:t>
            </w:r>
            <w:r>
              <w:t xml:space="preserve"> </w:t>
            </w:r>
            <w:r>
              <w:rPr>
                <w:b/>
                <w:i/>
              </w:rPr>
              <w:t>stellt fest, dass eine angemessene Flexibilität Finanzierungskapazitäten freisetzen und die Wettbewerbsfähigkeit gegenüber anderen Ländern und Gebieten in dieser Hinsicht steigern könnte;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Anouk Van Brug,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fordert die Kommission auf, Flexibilität bei der Umsetzung der Basel-III-Anforderungen einzuführen, um sicherzustellen, dass KMU und expandierenden Jungunternehmen mehr Kredite zur Verfügung gestellt werden;</w:t>
            </w:r>
            <w:r>
              <w:t xml:space="preserve"> </w:t>
            </w:r>
            <w:r>
              <w:rPr>
                <w:b/>
                <w:i/>
              </w:rPr>
              <w:t>stellt fest, dass eine angemessene Flexibilität Finanzierungskapazitäten freisetzen und die Wettbewerbsfähigkeit gegenüber anderen Ländern und Gebieten in dieser Hinsicht steigern könnte;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fordert die Kommission auf, Flexibilität bei der Umsetzung der Basel-III-Anforderungen einzuführen, um sicherzustellen, dass KMU und expandierenden Jungunternehmen mehr Kredite zur Verfügung gestellt werden;</w:t>
            </w:r>
            <w:r>
              <w:t xml:space="preserve"> </w:t>
            </w:r>
            <w:r>
              <w:rPr>
                <w:b/>
                <w:i/>
              </w:rPr>
              <w:t>stellt fest, dass eine angemessene Flexibilität Finanzierungskapazitäten freisetzen und die Wettbewerbsfähigkeit gegenüber anderen Ländern und Gebieten in dieser Hinsicht steigern könnte;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fordert die Kommission auf, Flexibilität bei der Umsetzung der Basel-III-Anforderungen einzuführen, um sicherzustellen, dass KMU und expandierenden Jungunternehmen mehr Kredite zur Verfügung gestellt werden;</w:t>
            </w:r>
            <w:r>
              <w:t xml:space="preserve"> </w:t>
            </w:r>
            <w:r>
              <w:rPr>
                <w:b/>
                <w:i/>
              </w:rPr>
              <w:t>stellt fest, dass eine angemessene Flexibilität Finanzierungskapazitäten freisetzen und die Wettbewerbsfähigkeit gegenüber anderen Ländern und Gebieten in dieser Hinsicht steigern könnte;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fordert die Kommission auf, Flexibilität bei der Umsetzung der Basel-III-Anforderungen einzuführen, um sicherzustellen, dass KMU und expandierenden Jungunternehmen mehr Kredite zur Verfügung gestellt werden;</w:t>
            </w:r>
            <w:r>
              <w:t xml:space="preserve"> </w:t>
            </w:r>
            <w:r>
              <w:rPr>
                <w:b/>
                <w:i/>
              </w:rPr>
              <w:t>stellt fest, dass eine angemessene Flexibilität Finanzierungskapazitäten freisetzen und die Wettbewerbsfähigkeit gegenüber anderen Ländern und Gebieten in dieser Hinsicht steigern könnte;</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fordert die Kommission auf, Flexibilität bei der Umsetzung der Basel-III-Anforderungen einzuführen, um sicherzustellen, dass KMU und expandierenden Jungunternehmen mehr Kredite zur Verfügung gestellt werden; stellt fest, dass eine angemessene Flexibilität Finanzierungskapazitäten freisetzen und die Wettbewerbsfähigkeit gegenüber anderen Ländern und Gebieten in dieser Hinsicht steigern könnte;</w:t>
            </w:r>
          </w:p>
        </w:tc>
        <w:tc>
          <w:tcPr>
            <w:tcW w:w="4876" w:type="dxa"/>
            <w:tcBorders>
              <w:top w:val="nil"/>
              <w:left w:val="nil"/>
              <w:bottom w:val="nil"/>
              <w:right w:val="nil"/>
            </w:tcBorders>
          </w:tcPr>
          <w:p>
            <w:pPr>
              <w:pStyle w:val="Normal6a"/>
            </w:pPr>
            <w:r>
              <w:t>14.</w:t>
            </w:r>
            <w:r>
              <w:tab/>
            </w:r>
            <w:r>
              <w:t xml:space="preserve">fordert die Kommission auf, Flexibilität bei der Umsetzung der Basel-III-Anforderungen einzuführen, um sicherzustellen, dass KMU und expandierenden Jungunternehmen mehr Kredite zur Verfügung gestellt werden; stellt fest, dass eine angemessene Flexibilität Finanzierungskapazitäten freisetzen und die Wettbewerbsfähigkeit gegenüber anderen Ländern und Gebieten in dieser Hinsicht steigern könnte; </w:t>
            </w:r>
            <w:r>
              <w:rPr>
                <w:b/>
                <w:i/>
              </w:rPr>
              <w:t>hebt hervor, dass die Bestimmungen zur Umsetzung von Basel III bestimmte Elemente wie die ungünstige Behandlung von Unternehmen ohne Rating umfassen, wodurch die Finanzierungskosten für kleine und mittlere Unternehmen wesentlich zunehmen könnten;</w:t>
            </w:r>
            <w:r>
              <w:t xml:space="preserve"> </w:t>
            </w:r>
            <w:r>
              <w:rPr>
                <w:b/>
                <w:i/>
              </w:rPr>
              <w:t>weist darauf hin, dass die Zeit, die im Rahmen der Übergangsregelung für Unternehmen ohne Rating gewonnen wurde, genutzt werden muss, um dauerhaftere Lösungen zu finden;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fordert die Kommission auf, Flexibilität bei der Umsetzung der Basel-III-Anforderungen einzuführen, um sicherzustellen, dass KMU und expandierenden Jungunternehmen mehr Kredite zur Verfügung gestellt werden; stellt fest, dass eine angemessene Flexibilität Finanzierungskapazitäten freisetzen und die Wettbewerbsfähigkeit gegenüber anderen Ländern und Gebieten in dieser Hinsicht steigern könnte;</w:t>
            </w:r>
          </w:p>
        </w:tc>
        <w:tc>
          <w:tcPr>
            <w:tcW w:w="4876" w:type="dxa"/>
            <w:tcBorders>
              <w:top w:val="nil"/>
              <w:left w:val="nil"/>
              <w:bottom w:val="nil"/>
              <w:right w:val="nil"/>
            </w:tcBorders>
          </w:tcPr>
          <w:p>
            <w:pPr>
              <w:pStyle w:val="Normal6a"/>
            </w:pPr>
            <w:r>
              <w:t>14.</w:t>
            </w:r>
            <w:r>
              <w:tab/>
            </w:r>
            <w:r>
              <w:t xml:space="preserve">fordert die Kommission auf, Flexibilität bei der Umsetzung der Basel-III-Anforderungen einzuführen, um sicherzustellen, dass KMU und expandierenden Jungunternehmen mehr Kredite zur Verfügung gestellt werden; stellt fest, dass eine angemessene Flexibilität Finanzierungskapazitäten freisetzen und die Wettbewerbsfähigkeit gegenüber anderen Ländern und Gebieten in dieser Hinsicht steigern könnte; </w:t>
            </w:r>
            <w:r>
              <w:rPr>
                <w:b/>
                <w:i/>
              </w:rPr>
              <w:t>fordert zu diesem Zweck die Schaffung innovativer Finanzierungsmodelle, die auf Kleinstunternehmen zugeschnitten sind, etwa Kreditmechanismen auf der Grundlage der POS-Transaktionshistorie (Point of Sales) und der Geschäftstätigkeit, um für Unternehmen ohne traditionelle Kreditprofile oder Sicherheiten den Zugang zu Krediten zu verbessern;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fordert die Kommission auf, Flexibilität bei der</w:t>
            </w:r>
            <w:r>
              <w:t xml:space="preserve"> Umsetzung </w:t>
            </w:r>
            <w:r>
              <w:rPr>
                <w:b/>
                <w:i/>
              </w:rPr>
              <w:t>der Basel-III-Anforderungen einzuführen, um sicherzustellen, dass KMU und expandierenden Jungunternehmen mehr Kredite zur Verfügung gestellt werden;</w:t>
            </w:r>
            <w:r>
              <w:t xml:space="preserve"> </w:t>
            </w:r>
            <w:r>
              <w:rPr>
                <w:b/>
                <w:i/>
              </w:rPr>
              <w:t>stellt fest, dass eine angemessene Flexibilität Finanzierungskapazitäten freisetzen und die</w:t>
            </w:r>
            <w:r>
              <w:t xml:space="preserve"> Wettbewerbsfähigkeit </w:t>
            </w:r>
            <w:r>
              <w:rPr>
                <w:b/>
                <w:i/>
              </w:rPr>
              <w:t>gegenüber anderen Ländern und Gebieten in dieser Hinsicht steigern könnte</w:t>
            </w:r>
            <w:r>
              <w:t>;</w:t>
            </w:r>
          </w:p>
        </w:tc>
        <w:tc>
          <w:tcPr>
            <w:tcW w:w="4876" w:type="dxa"/>
            <w:tcBorders>
              <w:top w:val="nil"/>
              <w:left w:val="nil"/>
              <w:bottom w:val="nil"/>
              <w:right w:val="nil"/>
            </w:tcBorders>
          </w:tcPr>
          <w:p>
            <w:pPr>
              <w:pStyle w:val="Normal6a"/>
            </w:pPr>
            <w:r>
              <w:t>14.</w:t>
            </w:r>
            <w:r>
              <w:tab/>
            </w:r>
            <w:r>
              <w:rPr>
                <w:b/>
                <w:i/>
              </w:rPr>
              <w:t>erinnert an die</w:t>
            </w:r>
            <w:r>
              <w:t xml:space="preserve"> Umsetzung </w:t>
            </w:r>
            <w:r>
              <w:rPr>
                <w:b/>
                <w:i/>
              </w:rPr>
              <w:t>des Basel-III-Rahmens durch die einschlägigen EU-Rechtsvorschriften;</w:t>
            </w:r>
            <w:r>
              <w:t xml:space="preserve"> </w:t>
            </w:r>
            <w:r>
              <w:rPr>
                <w:b/>
                <w:i/>
              </w:rPr>
              <w:t>unterstreicht die entscheidende Rolle, die dies bei der weiteren Stärkung der Widerstandsfähigkeit der Banken in der EU und in Bezug auf einen Beitrag zu Finanzstabilität spielen wird;</w:t>
            </w:r>
            <w:r>
              <w:t xml:space="preserve"> </w:t>
            </w:r>
            <w:r>
              <w:rPr>
                <w:b/>
                <w:i/>
              </w:rPr>
              <w:t>betont, wie wichtig es ist, die globale</w:t>
            </w:r>
            <w:r>
              <w:t xml:space="preserve"> Wettbewerbsfähigkeit </w:t>
            </w:r>
            <w:r>
              <w:rPr>
                <w:b/>
                <w:i/>
              </w:rPr>
              <w:t>der Banken in der EU sicherzustellen und für gleiche Wettbewerbsbedingungen auf internationaler Ebene zu sorgen, damit die europäischen Banken auch weiterhin in der Lage sind, die europäischen KMU zu finanzieren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fordert die Kommission </w:t>
            </w:r>
            <w:r>
              <w:rPr>
                <w:b/>
                <w:i/>
              </w:rPr>
              <w:t>auf, Flexibilität bei der</w:t>
            </w:r>
            <w:r>
              <w:t xml:space="preserve"> Umsetzung der </w:t>
            </w:r>
            <w:r>
              <w:rPr>
                <w:b/>
                <w:i/>
              </w:rPr>
              <w:t>Basel-III-Anforderungen einzuführen, um</w:t>
            </w:r>
            <w:r>
              <w:t xml:space="preserve"> sicherzustellen</w:t>
            </w:r>
            <w:r>
              <w:rPr>
                <w:b/>
                <w:i/>
              </w:rPr>
              <w:t>, dass KMU und expandierenden Jungunternehmen mehr Kredite zur Verfügung gestellt werden;</w:t>
            </w:r>
            <w:r>
              <w:t xml:space="preserve"> </w:t>
            </w:r>
            <w:r>
              <w:rPr>
                <w:b/>
                <w:i/>
              </w:rPr>
              <w:t>stellt fest, dass eine angemessene Flexibilität Finanzierungskapazitäten freisetzen</w:t>
            </w:r>
            <w:r>
              <w:t xml:space="preserve"> und die Wettbewerbsfähigkeit </w:t>
            </w:r>
            <w:r>
              <w:rPr>
                <w:b/>
                <w:i/>
              </w:rPr>
              <w:t>gegenüber anderen Ländern und Gebieten in dieser Hinsicht steigern könnte</w:t>
            </w:r>
            <w:r>
              <w:t>;</w:t>
            </w:r>
          </w:p>
        </w:tc>
        <w:tc>
          <w:tcPr>
            <w:tcW w:w="4876" w:type="dxa"/>
            <w:tcBorders>
              <w:top w:val="nil"/>
              <w:left w:val="nil"/>
              <w:bottom w:val="nil"/>
              <w:right w:val="nil"/>
            </w:tcBorders>
          </w:tcPr>
          <w:p>
            <w:pPr>
              <w:pStyle w:val="Normal6a"/>
            </w:pPr>
            <w:r>
              <w:t>14.</w:t>
            </w:r>
            <w:r>
              <w:tab/>
            </w:r>
            <w:r>
              <w:t xml:space="preserve">fordert die Kommission </w:t>
            </w:r>
            <w:r>
              <w:rPr>
                <w:b/>
                <w:i/>
              </w:rPr>
              <w:t>und die Mitgliedstaaten der EU auf, die vollständige und fristgerechte</w:t>
            </w:r>
            <w:r>
              <w:t xml:space="preserve"> Umsetzung der </w:t>
            </w:r>
            <w:r>
              <w:rPr>
                <w:b/>
                <w:i/>
              </w:rPr>
              <w:t>Basel-III-Standards, wie sie von den gesetzgebenden Organen angenommen wurden,</w:t>
            </w:r>
            <w:r>
              <w:t xml:space="preserve"> sicherzustellen </w:t>
            </w:r>
            <w:r>
              <w:rPr>
                <w:b/>
                <w:i/>
              </w:rPr>
              <w:t>und jeglichen Versuchen, bestehende Vorschriften zu schwächen oder einen internationalen Wettlauf nach unten einzuleiten, entgegenzutreten;</w:t>
            </w:r>
            <w:r>
              <w:t xml:space="preserve"> </w:t>
            </w:r>
            <w:r>
              <w:rPr>
                <w:b/>
                <w:i/>
              </w:rPr>
              <w:t>weist darauf hin, dass gut kapitalisierte und gut beaufsichtigte Banken für eine stabile und nachhaltige Finanzlandschaft von entscheidender Bedeutung sind, wodurch die europäischen Verbraucher</w:t>
            </w:r>
            <w:r>
              <w:t xml:space="preserve"> und die Wettbewerbsfähigkeit </w:t>
            </w:r>
            <w:r>
              <w:rPr>
                <w:b/>
                <w:i/>
              </w:rPr>
              <w:t>geschützt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räumt ein, dass Bankkredite nach wie vor die wichtigste externe Finanzierungsquelle für KMU in der Union sind;</w:t>
            </w:r>
            <w:r>
              <w:t xml:space="preserve"> </w:t>
            </w:r>
            <w:r>
              <w:rPr>
                <w:b/>
                <w:i/>
              </w:rPr>
              <w:t>unterstreicht diesbezüglich die entscheidende Bedeutung traditioneller Modelle im Bankenwesen, darunter kleine Regionalbanken, Sparkassen, Genossenschaftsbanken und öffentliche Institute;</w:t>
            </w:r>
            <w:r>
              <w:t xml:space="preserve"> </w:t>
            </w:r>
            <w:r>
              <w:rPr>
                <w:b/>
                <w:i/>
              </w:rPr>
              <w:t>betont, dass Banken mit fundiertem Fachwissen auf regionaler und lokaler Ebene KMU häufig die wirksamste Unterstützung durch langjährige Beziehungen bieten;</w:t>
            </w:r>
            <w:r>
              <w:t xml:space="preserve"> </w:t>
            </w:r>
            <w:r>
              <w:rPr>
                <w:b/>
                <w:i/>
              </w:rPr>
              <w:t>stellt fest, dass solche kleinen und lokalen Banken im Vergleich zu größeren Instituten mit besonderen Herausforderungen konfrontiert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weist darauf hin, dass Nichtbanken-Finanzierungsquellen für KMU wie Risikokapitalfonds und privates Fremdkapital eine attraktive alternative Finanzierungsquelle sind;</w:t>
            </w:r>
            <w:r>
              <w:t xml:space="preserve"> </w:t>
            </w:r>
            <w:r>
              <w:rPr>
                <w:b/>
                <w:i/>
              </w:rPr>
              <w:t>fordert die Kommission auf, Regulierungsmaßnahmen zur Verhältnismäßigkeit in diesem Bereich zu prüfen, die die Entwicklung spezialisierter Akteure erleichtern, die an die Finanzierung von KMU angepasst sind;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fordert die Kommission auf, ein europaweites Kreditvergabesystem für KMU und innovative Start-up-Unternehmen einzurichten;</w:t>
            </w:r>
            <w:r>
              <w:t xml:space="preserve"> </w:t>
            </w:r>
            <w:r>
              <w:rPr>
                <w:b/>
                <w:i/>
              </w:rPr>
              <w:t>schlägt vor, dieses System in das derzeitige zentrale europäische Zugangsportal (ESAP) aufzunehmen, über das KMU ihre einschlägigen finanziellen und nichtfinanziellen Daten potenziellen Investoren per Upload zur Verfügung stellen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empfiehlt, öffentliche Garantiesysteme auf nationaler Ebene und EU-Ebene sowie maßgeschneiderte Darlehensinstrumente zu stärken, um den Zugang zu Krediten für tragfähige KMU zu verbessern, insbesondere in Fällen, in denen die Finanzierungsoptionen durch restriktive Risikoprofile oder begrenzte nationale Ressourcen eingeschränkt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fordert die Kommission und die Mitgliedstaaten auf, dafür zu sorgen, dass jegliche Unternehmensfinanzierung nur gewährt wird, wenn Umweltstandards und Arbeitnehmerrechte geachtet und gestärkt werden, unter anderem durch die Stärkung des Rechts auf Tarifverhandlungen und des Rechts auf Beteiligung;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fordert die Kommission auf, die Notierung von expandierenden Jungunternehmen an europäischen Börsen zu erleichtern, unter anderem durch die Harmonisierung von Berichtsstandards, Notierungsanforderungen und Offenlegungsvorschriften für Notierungen am Small-Cap-Markt und im Entry Standard;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stellt fest, dass sich zahlreiche regulatorische Anforderungen an Banken negativ auf die Kreditvergabe an KMU auswirken können;</w:t>
            </w:r>
            <w:r>
              <w:t xml:space="preserve"> </w:t>
            </w:r>
            <w:r>
              <w:rPr>
                <w:b/>
                <w:i/>
              </w:rPr>
              <w:t>betont, wie wichtig es ist, doppelte Meldepflichten und multiple Meldekanäle zu vermeiden, die insbesondere für kleinere Banken unnötigen Verwaltungsaufwand verursachen;</w:t>
            </w:r>
            <w:r>
              <w:t xml:space="preserve"> </w:t>
            </w:r>
            <w:r>
              <w:rPr>
                <w:b/>
                <w:i/>
              </w:rPr>
              <w:t>fordert die Kommission auf, mit Unterstützung der Europäischen Bankenaufsichtsbehörde und des einheitlichen Aufsichtsmechanismus die Auswirkungen der derzeitigen Regulierungsvorschriften auf die Kreditvergabe an KMU zu bewerten;</w:t>
            </w:r>
            <w:r>
              <w:t xml:space="preserve"> </w:t>
            </w:r>
            <w:r>
              <w:rPr>
                <w:b/>
                <w:i/>
              </w:rPr>
              <w:t>betont, dass bei der Bankenregulierung der Grundsatz der Verhältnismäßigkeit angewandt werden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ist der Ansicht, dass die Einhaltung der Basel-III-Aufsichtsanforderungen von wesentlicher Bedeutung ist, um die Finanzstabilität und das Vertrauen in das europäische Bankensystem sicherzustellen;</w:t>
            </w:r>
            <w:r>
              <w:t xml:space="preserve"> </w:t>
            </w:r>
            <w:r>
              <w:rPr>
                <w:b/>
                <w:i/>
              </w:rPr>
              <w:t>betont, dass der Schwerpunkt der Herausforderung nicht auf der Schwächung von Standards liegen sollte, sondern darauf, den Zugang zu Bankfinanzierungen durch ein robustes Ökosystem für Nichtbanken- und Marktfinanzierungen zu ergänzen, das KMU entsprechend ihrem Risikoprofil angemessene Alternativen bietet;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fordert die Kommission auf, den Regulierungsrahmen für Verbriefungen flexibler zu gestalten, damit Kreditinstitute Unternehmen weitere Finanzmittel zur Verfügung stellen und ihr Wachstum fördern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fordert die Kommission auf, den Regulierungsrahmen für Verbriefungen flexibler zu gestalten, damit Kreditinstitute Unternehmen weitere Finanzmittel zur Verfügung stellen und ihr Wachstum fördern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fordert die Kommission auf, den Regulierungsrahmen für Verbriefungen flexibler zu gestalten, damit Kreditinstitute Unternehmen weitere Finanzmittel zur Verfügung stellen und ihr Wachstum fördern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fordert die Kommission auf, den Regulierungsrahmen für Verbriefungen flexibler zu gestalten, damit Kreditinstitute Unternehmen weitere Finanzmittel zur Verfügung stellen und ihr Wachstum fördern können;</w:t>
            </w:r>
          </w:p>
        </w:tc>
        <w:tc>
          <w:tcPr>
            <w:tcW w:w="4876" w:type="dxa"/>
            <w:tcBorders>
              <w:top w:val="nil"/>
              <w:left w:val="nil"/>
              <w:bottom w:val="nil"/>
              <w:right w:val="nil"/>
            </w:tcBorders>
          </w:tcPr>
          <w:p>
            <w:pPr>
              <w:pStyle w:val="Normal6a"/>
            </w:pPr>
            <w:r>
              <w:t>15.</w:t>
            </w:r>
            <w:r>
              <w:tab/>
            </w:r>
            <w:r>
              <w:t xml:space="preserve">fordert die Kommission auf, den Regulierungsrahmen für Verbriefungen flexibler zu gestalten, damit Kreditinstitute Unternehmen weitere Finanzmittel zur Verfügung stellen und ihr Wachstum fördern können; </w:t>
            </w:r>
            <w:r>
              <w:rPr>
                <w:b/>
                <w:i/>
              </w:rPr>
              <w:t>ist der Ansicht, dass der europäische Regulierungsrahmen für Verbriefungen in den letzten Jahren zu restriktiv war, wodurch das Potenzial dieses Instruments als Kanal für die Unternehmensfinanzierung unnötig eingeschränkt wurde;</w:t>
            </w:r>
            <w:r>
              <w:t xml:space="preserve"> </w:t>
            </w:r>
            <w:r>
              <w:rPr>
                <w:b/>
                <w:i/>
              </w:rPr>
              <w:t>fordert die Kommission auf, die geltende Regelung grundlegend zu überprüfen, um eine größere regulatorische Flexibilität einzuführen, ohne die Transparenz und die Kreditqualität zu beeinträchtigen;</w:t>
            </w:r>
            <w:r>
              <w:t xml:space="preserve"> </w:t>
            </w:r>
            <w:r>
              <w:rPr>
                <w:b/>
                <w:i/>
              </w:rPr>
              <w:t>betont, dass gut regulierte, einfache und standardisierte Verbriefungen Kreditvergabekapazität im Bankensystem freisetzen und KMU und expandierenden Jungunternehmen den Zugang zu Finanzmitteln erleichtern können, da sie eine wirksame Ergänzung der direkten Marktfinanzierung darstellen;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fordert die Kommission auf, </w:t>
            </w:r>
            <w:r>
              <w:rPr>
                <w:b/>
                <w:i/>
              </w:rPr>
              <w:t>den Regulierungsrahmen</w:t>
            </w:r>
            <w:r>
              <w:t xml:space="preserve"> für Verbriefungen </w:t>
            </w:r>
            <w:r>
              <w:rPr>
                <w:b/>
                <w:i/>
              </w:rPr>
              <w:t>flexibler zu gestalten, damit Kreditinstitute Unternehmen weitere Finanzmittel zur Verfügung stellen und ihr Wachstum fördern können</w:t>
            </w:r>
            <w:r>
              <w:t>;</w:t>
            </w:r>
          </w:p>
        </w:tc>
        <w:tc>
          <w:tcPr>
            <w:tcW w:w="4876" w:type="dxa"/>
            <w:tcBorders>
              <w:top w:val="nil"/>
              <w:left w:val="nil"/>
              <w:bottom w:val="nil"/>
              <w:right w:val="nil"/>
            </w:tcBorders>
          </w:tcPr>
          <w:p>
            <w:pPr>
              <w:pStyle w:val="Normal6a"/>
            </w:pPr>
            <w:r>
              <w:t>15.</w:t>
            </w:r>
            <w:r>
              <w:tab/>
            </w:r>
            <w:r>
              <w:t xml:space="preserve">fordert die Kommission auf, </w:t>
            </w:r>
            <w:r>
              <w:rPr>
                <w:b/>
                <w:i/>
              </w:rPr>
              <w:t>dafür zu sorgen, dass eine Überprüfung des Regelungsrahmens</w:t>
            </w:r>
            <w:r>
              <w:t xml:space="preserve"> für Verbriefungen </w:t>
            </w:r>
            <w:r>
              <w:rPr>
                <w:b/>
                <w:i/>
              </w:rPr>
              <w:t>nicht zulasten von Erwägungen zur Finanzstabilität geht;</w:t>
            </w:r>
            <w:r>
              <w:t xml:space="preserve"> </w:t>
            </w:r>
            <w:r>
              <w:rPr>
                <w:b/>
                <w:i/>
              </w:rPr>
              <w:t>ist der Ansicht, dass jede Überprüfung in ihrem Umfang begrenzt sein und keine Deregulierung darstellen sollte, in deren Rahmen zentrale Aufsichtsanforderungen und andere Schutzmaßnahmen, die nach der globalen Finanzkrise eingeführt wurden, vollständig untergraben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fordert die Kommission auf, den Regulierungsrahmen für Verbriefungen flexibler zu gestalten, damit Kreditinstitute Unternehmen weitere Finanzmittel zur Verfügung stellen und ihr Wachstum fördern können;</w:t>
            </w:r>
          </w:p>
        </w:tc>
        <w:tc>
          <w:tcPr>
            <w:tcW w:w="4876" w:type="dxa"/>
            <w:tcBorders>
              <w:top w:val="nil"/>
              <w:left w:val="nil"/>
              <w:bottom w:val="nil"/>
              <w:right w:val="nil"/>
            </w:tcBorders>
          </w:tcPr>
          <w:p>
            <w:pPr>
              <w:pStyle w:val="Normal6a"/>
            </w:pPr>
            <w:r>
              <w:t>15.</w:t>
            </w:r>
            <w:r>
              <w:tab/>
            </w:r>
            <w:r>
              <w:t xml:space="preserve">fordert die Kommission auf, den Regulierungsrahmen für Verbriefungen flexibler zu gestalten, damit Kreditinstitute Unternehmen weitere Finanzmittel zur Verfügung stellen und ihr Wachstum fördern können; </w:t>
            </w:r>
            <w:r>
              <w:rPr>
                <w:b/>
                <w:i/>
              </w:rPr>
              <w:t>begrüßt die anstehende Überprüfung des Rahmens für Verbriefungen und fordert die Kommission auf, die Regelungen weniger aufwendig und risikosensitiver zu gestalten;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fordert die Kommission auf, den Regulierungsrahmen für</w:t>
            </w:r>
            <w:r>
              <w:t xml:space="preserve"> Verbriefungen </w:t>
            </w:r>
            <w:r>
              <w:rPr>
                <w:b/>
                <w:i/>
              </w:rPr>
              <w:t>flexibler zu gestalten, damit Kreditinstitute</w:t>
            </w:r>
            <w:r>
              <w:t xml:space="preserve"> Unternehmen </w:t>
            </w:r>
            <w:r>
              <w:rPr>
                <w:b/>
                <w:i/>
              </w:rPr>
              <w:t>weitere Finanzmittel zur Verfügung stellen und</w:t>
            </w:r>
            <w:r>
              <w:t xml:space="preserve"> ihr Wachstum fördern </w:t>
            </w:r>
            <w:r>
              <w:rPr>
                <w:b/>
                <w:i/>
              </w:rPr>
              <w:t>können</w:t>
            </w:r>
            <w:r>
              <w:t>;</w:t>
            </w:r>
          </w:p>
        </w:tc>
        <w:tc>
          <w:tcPr>
            <w:tcW w:w="4876" w:type="dxa"/>
            <w:tcBorders>
              <w:top w:val="nil"/>
              <w:left w:val="nil"/>
              <w:bottom w:val="nil"/>
              <w:right w:val="nil"/>
            </w:tcBorders>
          </w:tcPr>
          <w:p>
            <w:pPr>
              <w:pStyle w:val="Normal6a"/>
            </w:pPr>
            <w:r>
              <w:t>15.</w:t>
            </w:r>
            <w:r>
              <w:tab/>
            </w:r>
            <w:r>
              <w:rPr>
                <w:b/>
                <w:i/>
              </w:rPr>
              <w:t>betont, dass</w:t>
            </w:r>
            <w:r>
              <w:t xml:space="preserve"> Verbriefungen </w:t>
            </w:r>
            <w:r>
              <w:rPr>
                <w:b/>
                <w:i/>
              </w:rPr>
              <w:t>eine wichtige Rolle dabei spielen können, die Finanzierung von Investitionen zu erleichtern und dabei alternative Finanzierungsquellen für europäische</w:t>
            </w:r>
            <w:r>
              <w:t xml:space="preserve"> Unternehmen </w:t>
            </w:r>
            <w:r>
              <w:rPr>
                <w:b/>
                <w:i/>
              </w:rPr>
              <w:t>zu schaffen, darunter auch für KMU, um</w:t>
            </w:r>
            <w:r>
              <w:t xml:space="preserve"> ihr Wachstum </w:t>
            </w:r>
            <w:r>
              <w:rPr>
                <w:b/>
                <w:i/>
              </w:rPr>
              <w:t>zu</w:t>
            </w:r>
            <w:r>
              <w:t xml:space="preserve"> fördern</w:t>
            </w:r>
            <w:r>
              <w:rPr>
                <w:b/>
                <w:i/>
              </w:rPr>
              <w:t>, die Wettbewerbsfähigkeit Europas zu steigern und tiefe und dynamische europäische Kapitalmärkte zu schaffen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stellt fest, dass im Draghi-Bericht die Unterentwicklung der vorfinanzierten öffentlichen, betrieblichen und privaten Rentensysteme in den EU-Mitgliedstaaten als wesentlicher Faktor genannt wird, der die Entwicklung der Kapitalmärkte einschränkt;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erwartet, dass der anstehende Vorschlag der Kommission zur Verbriefungen den für Verbriefungen geltenden Regelungsrahmen vereinfachen wird, damit die Vorteile, die Verbriefungen bieten können, in vollem Umfang genutzt werden können;</w:t>
            </w:r>
            <w:r>
              <w:t xml:space="preserve"> </w:t>
            </w:r>
            <w:r>
              <w:rPr>
                <w:b/>
                <w:i/>
              </w:rPr>
              <w:t>stellt fest, dass die Mehrheit der Interessenträger in der Branche den derzeitigen Aufsichtsrahmen als übermäßig sanktionierend wahrnimmt, was zu einer Überkapitalisierung führt;</w:t>
            </w:r>
            <w:r>
              <w:t xml:space="preserve"> </w:t>
            </w:r>
            <w:r>
              <w:rPr>
                <w:b/>
                <w:i/>
              </w:rPr>
              <w:t>fordert einen stärker risikobasierten Ansatz, bei dem das Verbriefungsvolumen erhöht wird und gleichzeitig die Finanzstabilität gewahrt bleibt und die Robustheit der Tests in Bezug auf die Übertragung eines signifikanten Kreditrisikos (SRT) zunimmt, wie von der Europäischen Bankenaufsichtsbehörde empfohlen;</w:t>
            </w:r>
            <w:r>
              <w:t xml:space="preserve"> </w:t>
            </w:r>
            <w:r>
              <w:rPr>
                <w:b/>
                <w:i/>
              </w:rPr>
              <w:t>vertritt die Auffassung, dass mit dem Vorschlag der Kommission die Liquiditätsbehandlung von Verbriefungen im Rahmen der Liquiditätsdeckungsquote verbessert werden sollte, was im Einklang mit den Empfehlungen der Europäischen Aufsichtsbehörden und den Baseler Standards vollzogen werden kann;</w:t>
            </w:r>
            <w:r>
              <w:t xml:space="preserve"> </w:t>
            </w:r>
            <w:r>
              <w:rPr>
                <w:b/>
                <w:i/>
              </w:rPr>
              <w:t>weist darauf hin, dass mit dem neuen Rahmen für Verbriefungen der Verwaltungsaufwand im Rahmen der Transparenz- und Sorgfaltspflichten verringert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betont, dass fragmentierte Marktinfrastrukturen ein großes Hindernis für grenzüberschreitende Kapitalströme und Investitionen, darunter Finanzmittel für KMU und expandierende Jungunternehmen, darstellen;</w:t>
            </w:r>
            <w:r>
              <w:t xml:space="preserve"> </w:t>
            </w:r>
            <w:r>
              <w:rPr>
                <w:b/>
                <w:i/>
              </w:rPr>
              <w:t>fordert die Kommission auf, im Rahmen der Spar- und Investitionsunion Maßnahmen zur Unterstützung der Konsolidierung von Handels- und Nachhandels-Infrastrukturen in Europa vorzuschlagen;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unterstützt die Kommission bei der Ausarbeitung eines Konzepts für ein EU-Anlagesparkonto, das i) ein vereinfachtes Steuererklärungsverfahren, ii) begleitende steuerliche Anreize und iii) keine Beschränkungen in Bezug auf Investitionsgeografie, Sektor, Einlagenobergrenzen oder Mindesthaltezeiten umfassen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betont, dass die EU bestrebt sein sollte, das Geschäftsumfeld für europäische Unternehmer zu erleichtern, indem unnötige regulatorische Hindernisse beseitigt werden und ein Expansionsökosystem geschaffen wird, das in erster Linie auf privaten Investitionen beruht, bei denen private Initiativen der Wachstumsmotor sind;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betont, dass die Entwicklung des europäischen Verbriefungsmarkts dazu beitragen könnte, dass sich die Wirtschaft der Union dem dringenden Bedarf entsprechend weiterentwickelt – weg von der Situation, dass sie sich bei der Finanzierung in erster Linie auf die Bilanzen der Banken stützt, hin zu einer Wirtschaft, in der das Potenzial der Kapitalmärkte voll ausgeschöpft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fordert die Kommission auf, die Vollendung der voll funktionsfähigen Kapitalmarktunion zu beschleunigen, um den grenzüberschreitenden Zugang von KMU und expandierenden Jungunternehmen zu Finanzmitteln zu verbessern, die Abhängigkeit von Kapital von außerhalb der EU zu verringern und die Wettbewerbsfähigkeit und strategische Autonomie der Wirtschaft der EU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fordert die rasche Umsetzung des Fonds „Scaleup Europe“ und des Europäischen Innovationsinvestitionspakts, wie in der Start-up- und Scale-up-Strategie der EU dargelegt;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betont, dass die Vollendung der Kapitalmarktunion mit der Vollendung der Bankenunion einhergeht;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fordert die Kommission auf, im zweiten Quartal 2025 eine ambitionierte und ganzheitliche Überarbeitung des Verbriefungsrahmens zu veröffentlichen, bei der insbesondere die Überprüfung spezifischer Aufsichtsanforderungen, Sorgfaltspflichten, Berichtspflichten in Bezug auf bestimmte Arten von Vermögenswerten sowie der Kohärenz einfacher transparenter und standardisierter Kriterien und des Aufsichtsverfahrens im Mittelpunkt steht, um sicherzustellen, dass Verbriefungen bei der Finanzierung des künftigen Wachstums in Europa eine entscheidende Rolle spielen können, wobei die nach 2008 eingeführten grundlegenden Schutzvorkehrungen unverändert bleiben, nämlich</w:t>
            </w:r>
            <w:r>
              <w:t xml:space="preserve"> </w:t>
            </w:r>
            <w:r>
              <w:rPr>
                <w:b/>
                <w:i/>
              </w:rPr>
              <w:t>das Verbot der Wiederverbriefung, das Verbot von Verbriefungen ohne Risikoselbstbehalt und die strenge Aufsicht über Ratingagenturen;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erkennt die zentrale Rolle der Privatwirtschaft für das Wirtschaftswachstum und den Wohlstand der Europäischen Union an;</w:t>
            </w:r>
            <w:r>
              <w:t xml:space="preserve"> </w:t>
            </w:r>
            <w:r>
              <w:rPr>
                <w:b/>
                <w:i/>
              </w:rPr>
              <w:t>betont, dass jeglicher Fortschritt bei der Integration der Kapitalmärkte auf den Grundsätzen der wirtschaftlichen Freiheit, des Wettbewerbs und der Rechtssicherheit beruhen muss;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betont die Notwendigkeit eines klaren Fahrplans mit Terminvorgaben für die Vollendung der Kapitalmarktunion, einschließlich der Harmonisierung des Insolvenzrechts, der Vereinfachung der Notierungsvorschriften für KMU und verbesserter Rahmen für den Anlegerschutz;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stellt fest, dass die Bereitstellung von Risikokapital als Teil des Geschäftsmodells traditioneller Banken unter Wahrung der Finanzstabilität der Banken gefördert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betont, dass es wichtig ist, einen einfachen, sicheren und grenzüberschreitenden Zugang zu Finanzprodukten für Kleinanleger sicherzustellen und so die Beteiligung der Bürgerinnen und Bürger an den Kapitalmärkten und eine effizientere Verteilung der europäischen Ersparnisse zu fördern;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15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15d.</w:t>
            </w:r>
            <w:r>
              <w:tab/>
            </w:r>
            <w:r>
              <w:rPr>
                <w:b/>
                <w:i/>
              </w:rPr>
              <w:t>fordert die Kommission nachdrücklich auf, der globalen Wettbewerbsfähigkeit der EU-Finanzmärkte in ihren Regulierungsvorschlägen Vorrang einzuräumen und sicherzustellen, dass der europäische Regulierungsrahmen kein Hindernis im Vergleich zu anderen Rechtsgebieten darstellt, die für internationales Kapital attraktiv sind;</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Schließung der Finanzierungslücke für expandierende Jungunternehmen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Schließung der Finanzierungslücke für expandierende Jungunternehmen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4a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fordert die Kommission und die Mitgliedstaaten auf, die Hindernisse zu bewerten, mit denen Start-up-Unternehmen und expandierende Jungunternehmen beim Zugang zu Finanzmitteln konfrontiert sind, und die Verfahren zur Beantragung einer Finanzierung so zu gestalten, dass ein einfacherer Zugang zu Finanzmitteln ermöglicht wird;</w:t>
            </w:r>
            <w:r>
              <w:t xml:space="preserve"> </w:t>
            </w:r>
            <w:r>
              <w:rPr>
                <w:b/>
                <w:i/>
              </w:rPr>
              <w:t>fordert, dass vor allem auf eine beschleunigte Harmonisierung der Kapitalmärkte in der gesamten Union hingearbeitet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4b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fordert die Kommission nachdrücklich auf, die Finanzierungsmechanismen für Start-up-Unternehmen und expandierende Jungunternehmen zu verbessern, einschließlich des öffentlichen Auftragswesens und der Bereitstellung von Zuschüssen, Darlehen, Garantien und Crowdfunding, und dabei darauf zu achten, dass private Investitionen nicht verdrängt werden und die Finanzstabilität gewahrt wird;</w:t>
            </w:r>
            <w:r>
              <w:t xml:space="preserve"> </w:t>
            </w:r>
            <w:r>
              <w:rPr>
                <w:b/>
                <w:i/>
              </w:rPr>
              <w:t>fordert die Kommission nachdrücklich auf, die vorhandenen Mittel umzulenken, um sie wirksamer auf europäische Start-up-Unternehmen und expandierende Jungunternehmen auszurichten;</w:t>
            </w:r>
            <w:r>
              <w:t xml:space="preserve"> </w:t>
            </w:r>
            <w:r>
              <w:rPr>
                <w:b/>
                <w:i/>
              </w:rPr>
              <w:t>betont, dass ein freiwilliges europaweites Kreditvermittlungssystem für Start-up-Unternehmen und expandierende Jungunternehmen, denen Bankkredite verweigert werden, entwickelt werden muss;</w:t>
            </w:r>
            <w:r>
              <w:t xml:space="preserve"> </w:t>
            </w:r>
            <w:r>
              <w:rPr>
                <w:b/>
                <w:i/>
              </w:rPr>
              <w:t>betont, dass Initiativen wie VentureEU ausgeweitet werden müssen, um langfristig mehr private Investitionen in Start-up-Unternehmen und expandierende Jungunternehmen anzuziehen;</w:t>
            </w:r>
            <w:r>
              <w:t xml:space="preserve"> </w:t>
            </w:r>
            <w:r>
              <w:rPr>
                <w:b/>
                <w:i/>
              </w:rPr>
              <w:t>fordert die Kommission nachdrücklich auf, die Mitgliedstaaten darin zu bestärken, Anreize für Anschubinvestitionen durch Business Angels und andere Investoren zu schaffen;</w:t>
            </w:r>
            <w:r>
              <w:t xml:space="preserve"> </w:t>
            </w:r>
            <w:r>
              <w:rPr>
                <w:b/>
                <w:i/>
              </w:rPr>
              <w:t>fordert die Kommission auf, einschlägige bewährte Verfahren in der gesamten EU zu prüfen und Empfehlungen zur Förderung eines gemeinsamen Rahmens abzugeben;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4c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fordert staatliche Stellen und private Investoren auf, in verschiedenen Wachstumsphasen gezieltere Zuschüsse und zinsgünstige Darlehen für Start-up-Unternehmen und expandierende Jungunternehmen bereitzustellen und gleichzeitig wettbewerbsfähige Kapitalallokationsmechanismen aufrechtzuerhalten, die Finanzstabilität zu wahren und mit größter Sorgfalt darauf zu achten, dass private Investitionen nicht verdrängt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bedauert, dass viele europäische Unternehmen letztlich Risikokapitalgeber mit Sitz außerhalb der EU einsetzen und sich auf Märkten außerhalb der EU niederlassen, um zu expandieren;</w:t>
            </w:r>
            <w:r>
              <w:t xml:space="preserve"> </w:t>
            </w:r>
            <w:r>
              <w:rPr>
                <w:b/>
                <w:i/>
              </w:rPr>
              <w:t>ist besorgt über die wachsende Zahl von KMU-Versagen in der EU</w:t>
            </w:r>
            <w:r>
              <w:rPr>
                <w:b/>
                <w:i/>
                <w:vertAlign w:val="superscript"/>
              </w:rPr>
              <w:t>4</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Amt für Veröffentlichungen der Europäischen Union,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bedauert, dass viele europäische Unternehmen letztlich Risikokapitalgeber mit Sitz außerhalb der EU einsetzen und sich auf Märkten außerhalb der EU niederlassen, um zu expandieren;</w:t>
            </w:r>
            <w:r>
              <w:t xml:space="preserve"> </w:t>
            </w:r>
            <w:r>
              <w:rPr>
                <w:b/>
                <w:i/>
              </w:rPr>
              <w:t>ist besorgt über die wachsende Zahl von KMU-Versagen in der EU</w:t>
            </w:r>
            <w:r>
              <w:rPr>
                <w:b/>
                <w:i/>
                <w:vertAlign w:val="superscript"/>
              </w:rPr>
              <w:t>4</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Amt für Veröffentlichungen der Europäischen Union,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bedauert, dass viele europäische Unternehmen letztlich Risikokapitalgeber mit Sitz außerhalb der EU einsetzen und sich auf Märkten außerhalb der EU niederlassen, um zu expandieren; ist besorgt über die wachsende Zahl von KMU-Versagen in der EU</w:t>
            </w:r>
            <w:r>
              <w:rPr>
                <w:b/>
                <w:i/>
                <w:vertAlign w:val="superscript"/>
              </w:rPr>
              <w:t>4</w:t>
            </w:r>
            <w:r>
              <w:t>;</w:t>
            </w:r>
          </w:p>
        </w:tc>
        <w:tc>
          <w:tcPr>
            <w:tcW w:w="4876" w:type="dxa"/>
            <w:tcBorders>
              <w:top w:val="nil"/>
              <w:left w:val="nil"/>
              <w:bottom w:val="nil"/>
              <w:right w:val="nil"/>
            </w:tcBorders>
          </w:tcPr>
          <w:p>
            <w:pPr>
              <w:pStyle w:val="Normal6a"/>
            </w:pPr>
            <w:r>
              <w:t>16.</w:t>
            </w:r>
            <w:r>
              <w:tab/>
            </w:r>
            <w:r>
              <w:t xml:space="preserve">bedauert, dass viele europäische Unternehmen letztlich Risikokapitalgeber mit Sitz außerhalb der EU einsetzen und sich auf Märkten außerhalb der EU niederlassen, um zu expandieren; </w:t>
            </w:r>
            <w:r>
              <w:rPr>
                <w:b/>
                <w:i/>
              </w:rPr>
              <w:t>weist darauf hin, dass dies in erster Linie auf den Mangel an Finanzmitteln auf unserem Markt zurückzuführen ist;</w:t>
            </w:r>
            <w:r>
              <w:t xml:space="preserve"> ist besorgt über die wachsende Zahl von KMU-Versagen in der EU</w:t>
            </w:r>
            <w:r>
              <w:rPr>
                <w:b/>
                <w:i/>
              </w:rPr>
              <w:t>[1]</w:t>
            </w:r>
            <w:r>
              <w:t xml:space="preserve">; </w:t>
            </w:r>
            <w:r>
              <w:rPr>
                <w:b/>
                <w:i/>
              </w:rPr>
              <w:t>[1] Katsinis, A., Lagüera-González, J., Di Bella, L., Odenthal, L., Hell, M., Lozar, B., „Annual Report on European SMEs 2023/2024“, Amt für Veröffentlichungen der Europäischen Union, 2024.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Amt für Veröffentlichungen der Europäischen Union,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bedauert</w:t>
            </w:r>
            <w:r>
              <w:t>, dass viele europäische Unternehmen letztlich Risikokapitalgeber mit Sitz außerhalb der EU einsetzen und sich auf Märkten außerhalb der EU niederlassen, um zu expandieren; ist besorgt über die wachsende Zahl von KMU-Versagen in der EU</w:t>
            </w:r>
            <w:r>
              <w:rPr>
                <w:vertAlign w:val="superscript"/>
              </w:rPr>
              <w:t>4</w:t>
            </w:r>
            <w:r>
              <w:t>;</w:t>
            </w:r>
          </w:p>
        </w:tc>
        <w:tc>
          <w:tcPr>
            <w:tcW w:w="4876" w:type="dxa"/>
            <w:tcBorders>
              <w:top w:val="nil"/>
              <w:left w:val="nil"/>
              <w:bottom w:val="nil"/>
              <w:right w:val="nil"/>
            </w:tcBorders>
          </w:tcPr>
          <w:p>
            <w:pPr>
              <w:pStyle w:val="Normal6a"/>
            </w:pPr>
            <w:r>
              <w:t>16.</w:t>
            </w:r>
            <w:r>
              <w:tab/>
            </w:r>
            <w:r>
              <w:rPr>
                <w:b/>
                <w:i/>
              </w:rPr>
              <w:t>stellt fest</w:t>
            </w:r>
            <w:r>
              <w:t>, dass viele europäische Unternehmen letztlich Risikokapitalgeber mit Sitz außerhalb der EU einsetzen und sich auf Märkten außerhalb der EU niederlassen, um zu expandieren; ist besorgt über die wachsende Zahl von KMU-Versagen in der EU</w:t>
            </w:r>
            <w:r>
              <w:rPr>
                <w:vertAlign w:val="superscript"/>
              </w:rPr>
              <w:t>4</w:t>
            </w:r>
            <w:r>
              <w:t xml:space="preserve">; </w:t>
            </w:r>
            <w:r>
              <w:rPr>
                <w:b/>
                <w:i/>
              </w:rPr>
              <w:t>betont, dass die Priorität darin bestehen muss, die Ursachen von Sitzverlagerungen zu verstehen und zu bekämpfen, indem ein wettbewerbsfähigerer und attraktiverer Binnenmarkt gefördert wird, Unternehmern mit Sitz in der EU das notwendige Umfeld für Wachstum und Expansion in der Union geboten wird und ein regulatorisches Umfeld sichergestellt wird, das nicht übermäßig belastend oder restriktiv ist;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Amt für Veröffentlichungen der Europäischen Union, 2024.</w:t>
            </w:r>
          </w:p>
        </w:tc>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Amt für Veröffentlichungen der Europäischen Union,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bedauert, dass viele europäische Unternehmen letztlich </w:t>
            </w:r>
            <w:r>
              <w:rPr>
                <w:b/>
                <w:i/>
              </w:rPr>
              <w:t>Risikokapitalgeber mit Sitz außerhalb der EU einsetzen und sich auf Märkten außerhalb der EU niederlassen, um zu expandieren</w:t>
            </w:r>
            <w:r>
              <w:t xml:space="preserve">; ist besorgt über die </w:t>
            </w:r>
            <w:r>
              <w:rPr>
                <w:b/>
                <w:i/>
              </w:rPr>
              <w:t>wachsende</w:t>
            </w:r>
            <w:r>
              <w:t xml:space="preserve"> Zahl von KMU-Versagen in der EU</w:t>
            </w:r>
            <w:r>
              <w:rPr>
                <w:b/>
                <w:i/>
                <w:vertAlign w:val="superscript"/>
              </w:rPr>
              <w:t>4</w:t>
            </w:r>
            <w:r>
              <w:t>;</w:t>
            </w:r>
          </w:p>
        </w:tc>
        <w:tc>
          <w:tcPr>
            <w:tcW w:w="4876" w:type="dxa"/>
            <w:tcBorders>
              <w:top w:val="nil"/>
              <w:left w:val="nil"/>
              <w:bottom w:val="nil"/>
              <w:right w:val="nil"/>
            </w:tcBorders>
          </w:tcPr>
          <w:p>
            <w:pPr>
              <w:pStyle w:val="Normal6a"/>
            </w:pPr>
            <w:r>
              <w:t>16.</w:t>
            </w:r>
            <w:r>
              <w:tab/>
            </w:r>
            <w:r>
              <w:t xml:space="preserve">bedauert, dass viele europäische Unternehmen </w:t>
            </w:r>
            <w:r>
              <w:rPr>
                <w:b/>
                <w:i/>
              </w:rPr>
              <w:t>mit hohem Potenzial</w:t>
            </w:r>
            <w:r>
              <w:t xml:space="preserve"> letztlich </w:t>
            </w:r>
            <w:r>
              <w:rPr>
                <w:b/>
                <w:i/>
              </w:rPr>
              <w:t>ihre Geschäftstätigkeit in Drittländer verlagern, und zwar nicht aufgrund des mangelnden Interesses an einer Expansion in Europa, sondern aufgrund des Fehlens eines angemessenen wettbewerbsorientierten, regulatorischen und finanziellen Umfelds;</w:t>
            </w:r>
            <w:r>
              <w:t xml:space="preserve"> </w:t>
            </w:r>
            <w:r>
              <w:rPr>
                <w:b/>
                <w:i/>
              </w:rPr>
              <w:t>betont, dass diese Situation ein strukturelles Versagen im europäischen Wachstumsökosystem widerspiegelt</w:t>
            </w:r>
            <w:r>
              <w:t xml:space="preserve">; ist besorgt über die </w:t>
            </w:r>
            <w:r>
              <w:rPr>
                <w:b/>
                <w:i/>
              </w:rPr>
              <w:t>zunehmende</w:t>
            </w:r>
            <w:r>
              <w:t xml:space="preserve"> Zahl von KMU-Versagen in der EU</w:t>
            </w:r>
            <w:r>
              <w:rPr>
                <w:vertAlign w:val="superscript"/>
              </w:rPr>
              <w:t>4</w:t>
            </w:r>
            <w:r>
              <w:t xml:space="preserve"> </w:t>
            </w:r>
            <w:r>
              <w:rPr>
                <w:b/>
                <w:i/>
              </w:rPr>
              <w:t>und hält es für vorrangig, die zugrunde liegenden Ursachen wie den langfristigen Kapitalmangel, die Steuerlast im Falle einer Expansion und einen unverhältnismäßigen Verwaltungsaufwand anzugehen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Amt für Veröffentlichungen der Europäischen Union,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bedauert, dass viele europäische Unternehmen letztlich Risikokapitalgeber mit Sitz außerhalb der EU einsetzen und sich auf Märkten außerhalb der EU niederlassen, um zu expandieren; ist besorgt über die wachsende Zahl von KMU-Versagen in der EU</w:t>
            </w:r>
            <w:r>
              <w:rPr>
                <w:vertAlign w:val="superscript"/>
              </w:rPr>
              <w:t>4</w:t>
            </w:r>
            <w:r>
              <w:t>;</w:t>
            </w:r>
          </w:p>
        </w:tc>
        <w:tc>
          <w:tcPr>
            <w:tcW w:w="4876" w:type="dxa"/>
            <w:tcBorders>
              <w:top w:val="nil"/>
              <w:left w:val="nil"/>
              <w:bottom w:val="nil"/>
              <w:right w:val="nil"/>
            </w:tcBorders>
          </w:tcPr>
          <w:p>
            <w:pPr>
              <w:pStyle w:val="Normal6a"/>
            </w:pPr>
            <w:r>
              <w:t>16.</w:t>
            </w:r>
            <w:r>
              <w:tab/>
            </w:r>
            <w:r>
              <w:t>bedauert, dass viele europäische Unternehmen letztlich Risikokapitalgeber mit Sitz außerhalb der EU einsetzen und sich auf Märkten außerhalb der EU niederlassen, um zu expandieren; ist besorgt über die wachsende Zahl von KMU-Versagen in der EU</w:t>
            </w:r>
            <w:r>
              <w:rPr>
                <w:vertAlign w:val="superscript"/>
              </w:rPr>
              <w:t>4</w:t>
            </w:r>
            <w:r>
              <w:t xml:space="preserve">; </w:t>
            </w:r>
            <w:r>
              <w:rPr>
                <w:b/>
                <w:i/>
              </w:rPr>
              <w:t>betont, dass ein umfassenderes und stärker entwickeltes Risikokapital-Ökosystem in der EU erforderlich ist, um innovative Start-up-Unternehmen und expandierende Jungunternehmen zu finanzieren;</w:t>
            </w:r>
            <w:r>
              <w:t xml:space="preserve"> </w:t>
            </w:r>
            <w:r>
              <w:rPr>
                <w:b/>
                <w:i/>
              </w:rPr>
              <w:t>stellt fest, dass die auf Banken gestützte Struktur in der EU aufgrund der Risikobereitschaft der Bankmodelle nicht gut geeignet ist, innovative Start-up-Unternehmen und expandierende Jungunternehmen zu finanzieren;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Amt für Veröffentlichungen der Europäischen Union, 2024.</w:t>
            </w:r>
          </w:p>
        </w:tc>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Amt für Veröffentlichungen der Europäischen Union,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bedauert, dass viele europäische Unternehmen letztlich Risikokapitalgeber mit Sitz außerhalb der EU einsetzen und sich auf Märkten außerhalb der EU niederlassen, um zu expandieren; ist besorgt über die wachsende Zahl von KMU-Versagen in der EU</w:t>
            </w:r>
            <w:r>
              <w:rPr>
                <w:vertAlign w:val="superscript"/>
              </w:rPr>
              <w:t>4</w:t>
            </w:r>
            <w:r>
              <w:t>;</w:t>
            </w:r>
          </w:p>
        </w:tc>
        <w:tc>
          <w:tcPr>
            <w:tcW w:w="4876" w:type="dxa"/>
            <w:tcBorders>
              <w:top w:val="nil"/>
              <w:left w:val="nil"/>
              <w:bottom w:val="nil"/>
              <w:right w:val="nil"/>
            </w:tcBorders>
          </w:tcPr>
          <w:p>
            <w:pPr>
              <w:pStyle w:val="Normal6a"/>
            </w:pPr>
            <w:r>
              <w:t>16.</w:t>
            </w:r>
            <w:r>
              <w:tab/>
            </w:r>
            <w:r>
              <w:t>bedauert, dass viele europäische Unternehmen letztlich Risikokapitalgeber mit Sitz außerhalb der EU einsetzen und sich auf Märkten außerhalb der EU niederlassen, um zu expandieren; ist besorgt über die wachsende Zahl von KMU-Versagen in der EU</w:t>
            </w:r>
            <w:r>
              <w:rPr>
                <w:vertAlign w:val="superscript"/>
              </w:rPr>
              <w:t>4</w:t>
            </w:r>
            <w:r>
              <w:t xml:space="preserve">; </w:t>
            </w:r>
            <w:r>
              <w:rPr>
                <w:b/>
                <w:i/>
              </w:rPr>
              <w:t>betont, dass die Schaffung wirklich europäischer Risikokapital-, Wachstums- und Buyout-Fonds auch mit den im Rahmen des MFR und von InvestEU verfügbaren Instrumenten sowie mit Mitteln der EIB-Gruppe und nationaler Förderbanken und -institutionen unterstützt werden muss;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Amt für Veröffentlichungen der Europäischen Union, 2024.</w:t>
            </w:r>
          </w:p>
        </w:tc>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Amt für Veröffentlichungen der Europäischen Union,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bedauert, dass viele europäische Unternehmen letztlich Risikokapitalgeber mit Sitz außerhalb der EU einsetzen und sich auf Märkten außerhalb der EU niederlassen, um zu expandieren; ist besorgt über die wachsende Zahl von KMU-Versagen in der EU</w:t>
            </w:r>
            <w:r>
              <w:rPr>
                <w:vertAlign w:val="superscript"/>
              </w:rPr>
              <w:t>4</w:t>
            </w:r>
            <w:r>
              <w:t>;</w:t>
            </w:r>
          </w:p>
        </w:tc>
        <w:tc>
          <w:tcPr>
            <w:tcW w:w="4876" w:type="dxa"/>
            <w:tcBorders>
              <w:top w:val="nil"/>
              <w:left w:val="nil"/>
              <w:bottom w:val="nil"/>
              <w:right w:val="nil"/>
            </w:tcBorders>
          </w:tcPr>
          <w:p>
            <w:pPr>
              <w:pStyle w:val="Normal6a"/>
            </w:pPr>
            <w:r>
              <w:t>16.</w:t>
            </w:r>
            <w:r>
              <w:tab/>
            </w:r>
            <w:r>
              <w:t xml:space="preserve">bedauert, dass viele europäische Unternehmen letztlich Risikokapitalgeber mit Sitz außerhalb der EU einsetzen und sich auf Märkten außerhalb der EU niederlassen, um zu expandieren; </w:t>
            </w:r>
            <w:r>
              <w:rPr>
                <w:b/>
                <w:i/>
              </w:rPr>
              <w:t>weist darauf hin, dass sich auch darin ein schlechtes Regulierungsumfeld für kleine und innovative Unternehmen zeigt;</w:t>
            </w:r>
            <w:r>
              <w:t xml:space="preserve"> ist besorgt über die wachsende Zahl von KMU-Versagen in der EU</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Amt für Veröffentlichungen der Europäischen Union, 2024.</w:t>
            </w:r>
          </w:p>
        </w:tc>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Amt für Veröffentlichungen der Europäischen Union,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bedauert, dass viele europäische Unternehmen </w:t>
            </w:r>
            <w:r>
              <w:rPr>
                <w:b/>
                <w:i/>
              </w:rPr>
              <w:t>letztlich Risikokapitalgeber mit Sitz außerhalb der EU einsetzen und sich auf Märkten</w:t>
            </w:r>
            <w:r>
              <w:t xml:space="preserve"> außerhalb der EU </w:t>
            </w:r>
            <w:r>
              <w:rPr>
                <w:b/>
                <w:i/>
              </w:rPr>
              <w:t>niederlassen, um zu expandieren</w:t>
            </w:r>
            <w:r>
              <w:t xml:space="preserve">; ist besorgt über die </w:t>
            </w:r>
            <w:r>
              <w:rPr>
                <w:b/>
                <w:i/>
              </w:rPr>
              <w:t>wachsende</w:t>
            </w:r>
            <w:r>
              <w:t xml:space="preserve"> Zahl von </w:t>
            </w:r>
            <w:r>
              <w:rPr>
                <w:b/>
                <w:i/>
              </w:rPr>
              <w:t>KMU-Versagen in der EU</w:t>
            </w:r>
            <w:r>
              <w:rPr>
                <w:b/>
                <w:i/>
                <w:vertAlign w:val="superscript"/>
              </w:rPr>
              <w:t>4</w:t>
            </w:r>
            <w:r>
              <w:t>;</w:t>
            </w:r>
          </w:p>
        </w:tc>
        <w:tc>
          <w:tcPr>
            <w:tcW w:w="4876" w:type="dxa"/>
            <w:tcBorders>
              <w:top w:val="nil"/>
              <w:left w:val="nil"/>
              <w:bottom w:val="nil"/>
              <w:right w:val="nil"/>
            </w:tcBorders>
          </w:tcPr>
          <w:p>
            <w:pPr>
              <w:pStyle w:val="Normal6a"/>
            </w:pPr>
            <w:r>
              <w:t>16.</w:t>
            </w:r>
            <w:r>
              <w:tab/>
            </w:r>
            <w:r>
              <w:t xml:space="preserve">bedauert, dass </w:t>
            </w:r>
            <w:r>
              <w:rPr>
                <w:b/>
                <w:i/>
              </w:rPr>
              <w:t>sich</w:t>
            </w:r>
            <w:r>
              <w:t xml:space="preserve"> viele europäische Unternehmen </w:t>
            </w:r>
            <w:r>
              <w:rPr>
                <w:b/>
                <w:i/>
              </w:rPr>
              <w:t>auf Risikokapital und Finanzierungen in der Wachstumsphase von Investoren aus Drittstaaten stützen, was sie häufig dazu veranlasst, eine erste Notierung, eine Hauptniederlassung oder eine kommerzielle Präsenz</w:t>
            </w:r>
            <w:r>
              <w:t xml:space="preserve"> außerhalb der EU </w:t>
            </w:r>
            <w:r>
              <w:rPr>
                <w:b/>
                <w:i/>
              </w:rPr>
              <w:t>einzurichten</w:t>
            </w:r>
            <w:r>
              <w:t xml:space="preserve">; ist besorgt über die </w:t>
            </w:r>
            <w:r>
              <w:rPr>
                <w:b/>
                <w:i/>
              </w:rPr>
              <w:t>anhaltende Finanzierungslücke bei der Expansion innovativer Unternehmen und die steigende</w:t>
            </w:r>
            <w:r>
              <w:t xml:space="preserve"> Zahl von </w:t>
            </w:r>
            <w:r>
              <w:rPr>
                <w:b/>
                <w:i/>
              </w:rPr>
              <w:t>Schließungen von KMU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Amt für Veröffentlichungen der Europäischen Union,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bedauert, dass viele europäische Unternehmen letztlich Risikokapitalgeber mit Sitz außerhalb der EU einsetzen und sich auf Märkten außerhalb der EU niederlassen, um zu expandieren; </w:t>
            </w:r>
            <w:r>
              <w:rPr>
                <w:b/>
                <w:i/>
              </w:rPr>
              <w:t>ist besorgt über die wachsende Zahl von KMU-Versagen in der EU</w:t>
            </w:r>
            <w:r>
              <w:rPr>
                <w:b/>
                <w:i/>
                <w:vertAlign w:val="superscript"/>
              </w:rPr>
              <w:t>4</w:t>
            </w:r>
            <w:r>
              <w:rPr>
                <w:b/>
                <w:i/>
              </w:rPr>
              <w:t>;</w:t>
            </w:r>
          </w:p>
        </w:tc>
        <w:tc>
          <w:tcPr>
            <w:tcW w:w="4876" w:type="dxa"/>
            <w:tcBorders>
              <w:top w:val="nil"/>
              <w:left w:val="nil"/>
              <w:bottom w:val="nil"/>
              <w:right w:val="nil"/>
            </w:tcBorders>
          </w:tcPr>
          <w:p>
            <w:pPr>
              <w:pStyle w:val="Normal6a"/>
            </w:pPr>
            <w:r>
              <w:t>16.</w:t>
            </w:r>
            <w:r>
              <w:tab/>
            </w:r>
            <w:r>
              <w:t>bedauert, dass viele europäische Unternehmen letztlich Risikokapitalgeber mit Sitz außerhalb der EU einsetzen und sich auf Märkten außerhalb der EU niederlassen, um zu expandieren;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Amt für Veröffentlichungen der Europäischen Union,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Billy Kelleher, 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bedauert, dass viele europäische Unternehmen letztlich Risikokapitalgeber mit Sitz außerhalb der EU einsetzen und sich auf Märkten außerhalb der EU niederlassen, um zu expandieren; ist besorgt über die wachsende Zahl von KMU-Versagen in der EU</w:t>
            </w:r>
            <w:r>
              <w:rPr>
                <w:vertAlign w:val="superscript"/>
              </w:rPr>
              <w:t>4</w:t>
            </w:r>
            <w:r>
              <w:t>;</w:t>
            </w:r>
          </w:p>
        </w:tc>
        <w:tc>
          <w:tcPr>
            <w:tcW w:w="4876" w:type="dxa"/>
            <w:tcBorders>
              <w:top w:val="nil"/>
              <w:left w:val="nil"/>
              <w:bottom w:val="nil"/>
              <w:right w:val="nil"/>
            </w:tcBorders>
          </w:tcPr>
          <w:p>
            <w:pPr>
              <w:pStyle w:val="Normal6a"/>
            </w:pPr>
            <w:r>
              <w:t>16.</w:t>
            </w:r>
            <w:r>
              <w:tab/>
            </w:r>
            <w:r>
              <w:t>bedauert, dass viele europäische Unternehmen letztlich Risikokapitalgeber mit Sitz außerhalb der EU einsetzen und sich auf Märkten außerhalb der EU niederlassen, um zu expandieren</w:t>
            </w:r>
            <w:r>
              <w:rPr>
                <w:b/>
                <w:i/>
              </w:rPr>
              <w:t>, da es in der EU an Finanzierung für die Expansion mangelt</w:t>
            </w:r>
            <w:r>
              <w:t>; ist besorgt über die wachsende Zahl von KMU-Versagen in der EU</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Amt für Veröffentlichungen der Europäischen Union, 2024.</w:t>
            </w:r>
          </w:p>
        </w:tc>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Amt für Veröffentlichungen der Europäischen Union,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weist darauf hin, dass der Europäische Innovationsrat (EIC) ein einzigartiges Finanzierungsprogramm der Union ist, das Start-up-Unternehmen mit technologieintensiven Innovationen eine zentrale Anlaufstelle für Finanzierungen bieten soll, damit sie ihre Innovationen von einer anfänglichen Idee zu einem marktfähigen Produkt weiterentwickeln können und ihre Unternehmen expandieren können;</w:t>
            </w:r>
            <w:r>
              <w:t xml:space="preserve"> </w:t>
            </w:r>
            <w:r>
              <w:rPr>
                <w:b/>
                <w:i/>
              </w:rPr>
              <w:t>nimmt mit Interesse die Bemühungen zur Kenntnis, „InvestEU“ und die Initiative „European Tech Champions“ zu ergänzen, um die Finanzierungslücke für technologieintensive expandierende Unternehmen zu schließen, indem über die derzeitige Interventionslogik hinaus im Rahmen des EIC-Accelerators direkte Beteiligungsinvestitionen in den strategischen Sektoren getätigt werden;</w:t>
            </w:r>
            <w:r>
              <w:t xml:space="preserve"> </w:t>
            </w:r>
            <w:r>
              <w:rPr>
                <w:b/>
                <w:i/>
              </w:rPr>
              <w:t>weist erneut darauf hin, dass Transparenz, Integrität und die Vermeidung von Interessenkonflikten, die mit der der entsprechenden Interventionslogik einhergehen, in hohem Maße erforderlich sind;</w:t>
            </w:r>
            <w:r>
              <w:t xml:space="preserve"> </w:t>
            </w:r>
            <w:r>
              <w:rPr>
                <w:b/>
                <w:i/>
              </w:rPr>
              <w:t>weist auf die Besorgnis darüber hin, dass die Investition öffentlicher Steuergelder bei möglicherweise niedrigeren Sorgfaltspflicht-Standards oder höherer Risikotoleranz private Investitionen verdrängt und dadurch die langfristigen Aussichten von Start-up-Unternehmen und expandierenden Jungunternehmen in der Union untergraben werden könnten;</w:t>
            </w:r>
            <w:r>
              <w:t xml:space="preserve"> </w:t>
            </w:r>
            <w:r>
              <w:rPr>
                <w:b/>
                <w:i/>
              </w:rPr>
              <w:t>fordert die Kommission daher auf, die Steuerung und Gestaltung des Fonds „Scaleup Europe“ so einzurichten, dass eine hohe öffentliche Rechenschaftspflicht, die Einhaltung hoher ethischer Standards und die Ausrichtung am allgemeinen europäischen Interesse sichergestellt und gleichzeitig private Investitionen mobilisiert werden;</w:t>
            </w:r>
            <w:r>
              <w:t xml:space="preserve"> </w:t>
            </w:r>
            <w:r>
              <w:rPr>
                <w:b/>
                <w:i/>
              </w:rPr>
              <w:t>ist der Ansicht, dass die Entwicklung einer Reihe von Instrumenten, mit denen direkte Kapitalbeteiligungen in strategischen Sektoren auf EU-Ebene getätigt werden sollen, langfristig für die technologische Souveränität und strategische Autonomie Europas von entscheidender Bedeutung sein könnte und einen Wandel der Denkweise und eine Weiterentwicklung der Kompetenzen innerhalb der EU-Organe erfordern wird, um schrittweise die Denkweise und die Haltung wohlwollender und strategischer Investoren anzunehmen;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hebt die Herausforderungen hervor, mit denen europäische Start-up-Unternehmen und expandierende Jungunternehmen im Hinblick auf den Zugang zu Finanzmitteln konfrontiert sind, einschließlich der Schwierigkeiten bei der raschen Expansion von Unternehmen in ganz Europa;</w:t>
            </w:r>
            <w:r>
              <w:t xml:space="preserve"> </w:t>
            </w:r>
            <w:r>
              <w:rPr>
                <w:b/>
                <w:i/>
              </w:rPr>
              <w:t>erkennt den Bedarf eines Investitionsökosystems an, das ihren Bedürfnissen gerecht wird und gleichzeitig die Finanzstabilität wahrt;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betont, dass ein europäischer Markt für direkte Sekundärtransaktionen, der den Handel mit Aktien von Start-up-Unternehmen in der Spätphase und der Phase vor dem Börsengang ermöglichen würde, das Finanzierungsökosystem der Union verbessern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hebt die erheblichen Auswirkungen von Zahlungsverzug auf den Cashflow von KMU, Start-up-Unternehmen und expandierenden Jungunternehmen hervor;</w:t>
            </w:r>
            <w:r>
              <w:t xml:space="preserve"> </w:t>
            </w:r>
            <w:r>
              <w:rPr>
                <w:b/>
                <w:i/>
              </w:rPr>
              <w:t>stellt fest, dass digitale Lösungen genutzt werden können, um die Transparenz der Rechnungen zu erhöhen und die Rechnungszahlungen zu beschleunigen;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betont, dass der Kapitalbedarf von Unternehmen, einschließlich des Kapitalbedarfs von Start-up-Unternehmen und expandierenden Jungunternehmen, in Marktwirtschaften hauptsächlich durch private Verschuldung und über Kapitalmärkte finanziert wird;</w:t>
            </w:r>
            <w:r>
              <w:t xml:space="preserve"> </w:t>
            </w:r>
            <w:r>
              <w:rPr>
                <w:b/>
                <w:i/>
              </w:rPr>
              <w:t>fordert nachdrücklich die Vollendung der Kapitalmarktunion, um privates Kapital zu mobilisieren und den grenzüberschreitenden Verkehr dieses Kapitals innerhalb der Union zu verbessern;</w:t>
            </w:r>
            <w:r>
              <w:t xml:space="preserve"> </w:t>
            </w:r>
            <w:r>
              <w:rPr>
                <w:b/>
                <w:i/>
              </w:rPr>
              <w:t>fordert einen umfassenden Ansatz zur Beseitigung der regionalen Unterschiede und Hindernisse, die den Zugang zu Finanzmitteln innerhalb des europäischen Ökosystems für Start-up-Unternehmen und expandierende Jungunternehmen behindern, der den unterschiedlichen Finanzlandschaften in den Mitgliedstaaten und Regionen Rechnung trägt;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fordert die Kommission auf, die Beteiligung innovativer Start-up-Unternehmen und expandierender Jungunternehmen an EU-Finanzierungsprogrammen zu unterstützen und zu erleichtern und für einen besseren Zugang zu Antragsverfahren für EU-Finanzierungsprogramme und -ausschreibungen zu sorgen;</w:t>
            </w:r>
            <w:r>
              <w:t xml:space="preserve"> </w:t>
            </w:r>
            <w:r>
              <w:rPr>
                <w:b/>
                <w:i/>
              </w:rPr>
              <w:t>erkennt an, dass Start-up-Unternehmen im derzeitigen Finanzumfeld Schwierigkeiten beim Zugang zu gezielter Finanzierung durch Finanzhilfen, Garantien und Darlehen haben;</w:t>
            </w:r>
            <w:r>
              <w:t xml:space="preserve"> </w:t>
            </w:r>
            <w:r>
              <w:rPr>
                <w:b/>
                <w:i/>
              </w:rPr>
              <w:t>betont, dass die bestehende EU-Finanzierungsstruktur so ausgerichtet werden muss, dass besser auf die Bedürfnisse von Start-up-Unternehmen eingegangen wird, um sicherzustellen, dass die entsprechende finanzielle Unterstützung nicht mit übermäßigem Verwaltungsaufwand verbunden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16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fordert die Mitgliedstaaten und die Kommission auf, Investitionen in die digitale Infrastruktur in städtischen und ländlichen Gebieten Vorrang einzuräumen und dabei einen zukunftsorientierten Ansatz zu verfolgen, der das Wachstum und die Nachhaltigkeit von Start-up-Unternehmen und expandierenden Jungunternehmen unterstützt und gleichzeitig Europas digitale Führungsrolle stärkt;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ist sich bewusst, dass die Mobilisierung europäischer institutioneller Anleger, insbesondere von Versicherungsgesellschaften und Pensionsfonds, von entscheidender Bedeutung ist, um die Expansionslücke zu schließen;</w:t>
            </w:r>
            <w:r>
              <w:t xml:space="preserve"> </w:t>
            </w:r>
            <w:r>
              <w:rPr>
                <w:b/>
                <w:i/>
              </w:rPr>
              <w:t>stellt fest, dass der Anteil der Risikokapitalfonds in Europa erhöht werden muss, um mehr Mittel für expandierende Jungunternehmen bereitzustellen;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ist sich bewusst, dass die Mobilisierung europäischer institutioneller Anleger, insbesondere von Versicherungsgesellschaften und Pensionsfonds, von entscheidender Bedeutung ist, um die Expansionslücke zu schließen;</w:t>
            </w:r>
            <w:r>
              <w:t xml:space="preserve"> </w:t>
            </w:r>
            <w:r>
              <w:rPr>
                <w:b/>
                <w:i/>
              </w:rPr>
              <w:t>stellt fest, dass der Anteil der Risikokapitalfonds in Europa erhöht werden muss, um mehr Mittel für expandierende Jungunternehmen bereitzustellen;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ist sich bewusst, dass die Mobilisierung europäischer institutioneller Anleger, insbesondere von Versicherungsgesellschaften und Pensionsfonds, </w:t>
            </w:r>
            <w:r>
              <w:rPr>
                <w:b/>
                <w:i/>
              </w:rPr>
              <w:t>von entscheidender Bedeutung ist</w:t>
            </w:r>
            <w:r>
              <w:t xml:space="preserve">, </w:t>
            </w:r>
            <w:r>
              <w:rPr>
                <w:b/>
                <w:i/>
              </w:rPr>
              <w:t>um</w:t>
            </w:r>
            <w:r>
              <w:t xml:space="preserve"> die Expansionslücke zu schließen; stellt fest, dass der Anteil der Risikokapitalfonds in Europa erhöht werden muss, um mehr Mittel für expandierende Jungunternehmen bereitzustellen;</w:t>
            </w:r>
          </w:p>
        </w:tc>
        <w:tc>
          <w:tcPr>
            <w:tcW w:w="4876" w:type="dxa"/>
            <w:tcBorders>
              <w:top w:val="nil"/>
              <w:left w:val="nil"/>
              <w:bottom w:val="nil"/>
              <w:right w:val="nil"/>
            </w:tcBorders>
          </w:tcPr>
          <w:p>
            <w:pPr>
              <w:pStyle w:val="Normal6a"/>
            </w:pPr>
            <w:r>
              <w:t>17.</w:t>
            </w:r>
            <w:r>
              <w:tab/>
            </w:r>
            <w:r>
              <w:t xml:space="preserve">ist sich bewusst, dass die Mobilisierung europäischer institutioneller Anleger, insbesondere von Versicherungsgesellschaften und Pensionsfonds, </w:t>
            </w:r>
            <w:r>
              <w:rPr>
                <w:b/>
                <w:i/>
              </w:rPr>
              <w:t>dazu beitragen könnte</w:t>
            </w:r>
            <w:r>
              <w:t>, die Expansionslücke zu schließen</w:t>
            </w:r>
            <w:r>
              <w:rPr>
                <w:b/>
                <w:i/>
              </w:rPr>
              <w:t>;</w:t>
            </w:r>
            <w:r>
              <w:t xml:space="preserve"> </w:t>
            </w:r>
            <w:r>
              <w:rPr>
                <w:b/>
                <w:i/>
              </w:rPr>
              <w:t>betont, dass es institutionellen Anlegern, einschließlich Pensionsfonds, freistehen sollte, im besten Interesse ihrer Rentner und Interessenträger zu investieren, und dass die Verpflichtung zur Investition in weniger rentable europäische Projekte und Unternehmen nicht nachhaltig ist</w:t>
            </w:r>
            <w:r>
              <w:t xml:space="preserve">; stellt fest, dass der Anteil der Risikokapitalfonds in Europa erhöht werden muss, um mehr Mittel für expandierende Jungunternehmen bereitzustellen; </w:t>
            </w:r>
            <w:r>
              <w:rPr>
                <w:b/>
                <w:i/>
              </w:rPr>
              <w:t>fordert die Kommission auf, Mitgliedstaaten mit unterentwickelten Rentensystemen zu ermutigen, zusätzliche Rentensektoren (zweite Säule) zu entwickeln, die zum Aufbau von Kapitalmärkten beitragen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ist sich bewusst, dass die Mobilisierung europäischer institutioneller Anleger, insbesondere von Versicherungsgesellschaften und Pensionsfonds, von entscheidender Bedeutung ist, um die Expansionslücke zu schließen; stellt fest, dass der Anteil der Risikokapitalfonds in Europa erhöht werden muss, um mehr Mittel für expandierende Jungunternehmen bereitzustellen;</w:t>
            </w:r>
          </w:p>
        </w:tc>
        <w:tc>
          <w:tcPr>
            <w:tcW w:w="4876" w:type="dxa"/>
            <w:tcBorders>
              <w:top w:val="nil"/>
              <w:left w:val="nil"/>
              <w:bottom w:val="nil"/>
              <w:right w:val="nil"/>
            </w:tcBorders>
          </w:tcPr>
          <w:p>
            <w:pPr>
              <w:pStyle w:val="Normal6a"/>
            </w:pPr>
            <w:r>
              <w:t>17.</w:t>
            </w:r>
            <w:r>
              <w:tab/>
            </w:r>
            <w:r>
              <w:t xml:space="preserve">ist sich bewusst, dass die Mobilisierung europäischer institutioneller Anleger, insbesondere von Versicherungsgesellschaften und Pensionsfonds, von entscheidender Bedeutung ist, um die Expansionslücke zu schließen; stellt fest, dass der Anteil der Risikokapitalfonds in Europa erhöht werden muss, um mehr Mittel für expandierende Jungunternehmen bereitzustellen; </w:t>
            </w:r>
            <w:r>
              <w:rPr>
                <w:b/>
                <w:i/>
              </w:rPr>
              <w:t>fordert die Kommission und die Mitgliedstaaten nachdrücklich auf, zu diesem Zweck die operative Rolle der nationalen Entwicklungsbanken auszuweiten, damit diese als direkte Kreditgeberinnen für Kleinst- und Kleinunternehmen und nicht nur als Finanzintermediäre fungieren können, um die fortbestehende Investitionslücke und die anhaltenden Expansionsbeschränkungen in der lokalen Wirtschaft anzugehen;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ist sich bewusst, dass die </w:t>
            </w:r>
            <w:r>
              <w:rPr>
                <w:b/>
                <w:i/>
              </w:rPr>
              <w:t>Mobilisierung</w:t>
            </w:r>
            <w:r>
              <w:t xml:space="preserve"> europäischer institutioneller Anleger, insbesondere von </w:t>
            </w:r>
            <w:r>
              <w:rPr>
                <w:b/>
                <w:i/>
              </w:rPr>
              <w:t>Versicherungsgesellschaften und Pensionsfonds</w:t>
            </w:r>
            <w:r>
              <w:t xml:space="preserve">, von entscheidender Bedeutung ist, </w:t>
            </w:r>
            <w:r>
              <w:rPr>
                <w:b/>
                <w:i/>
              </w:rPr>
              <w:t>um</w:t>
            </w:r>
            <w:r>
              <w:t xml:space="preserve"> die Expansionslücke zu schließen; </w:t>
            </w:r>
            <w:r>
              <w:rPr>
                <w:b/>
                <w:i/>
              </w:rPr>
              <w:t>stellt fest, dass der Anteil der Risikokapitalfonds in Europa erhöht werden muss, um mehr Mittel für expandierende Jungunternehmen bereitzustellen</w:t>
            </w:r>
            <w:r>
              <w:t>;</w:t>
            </w:r>
          </w:p>
        </w:tc>
        <w:tc>
          <w:tcPr>
            <w:tcW w:w="4876" w:type="dxa"/>
            <w:tcBorders>
              <w:top w:val="nil"/>
              <w:left w:val="nil"/>
              <w:bottom w:val="nil"/>
              <w:right w:val="nil"/>
            </w:tcBorders>
          </w:tcPr>
          <w:p>
            <w:pPr>
              <w:pStyle w:val="Normal6a"/>
            </w:pPr>
            <w:r>
              <w:t>17.</w:t>
            </w:r>
            <w:r>
              <w:tab/>
            </w:r>
            <w:r>
              <w:t xml:space="preserve">ist sich bewusst, dass die </w:t>
            </w:r>
            <w:r>
              <w:rPr>
                <w:b/>
                <w:i/>
              </w:rPr>
              <w:t>Befähigung und Förderung</w:t>
            </w:r>
            <w:r>
              <w:t xml:space="preserve"> europäischer institutioneller Anleger, insbesondere von </w:t>
            </w:r>
            <w:r>
              <w:rPr>
                <w:b/>
                <w:i/>
              </w:rPr>
              <w:t>Versicherungsunternehmen und betrieblichen Pensionsfondsrentenfonds</w:t>
            </w:r>
            <w:r>
              <w:t xml:space="preserve">, </w:t>
            </w:r>
            <w:r>
              <w:rPr>
                <w:b/>
                <w:i/>
              </w:rPr>
              <w:t>bei der Investition in Aktien</w:t>
            </w:r>
            <w:r>
              <w:t xml:space="preserve"> von entscheidender Bedeutung </w:t>
            </w:r>
            <w:r>
              <w:rPr>
                <w:b/>
                <w:i/>
              </w:rPr>
              <w:t>dabei</w:t>
            </w:r>
            <w:r>
              <w:t xml:space="preserve"> ist, die Expansionslücke zu schließen; </w:t>
            </w:r>
            <w:r>
              <w:rPr>
                <w:b/>
                <w:i/>
              </w:rPr>
              <w:t>erkennt die Vorteile höherer Zuweisungen an Aktien und Investmentfonds durch Versicherer und betriebliche Pensionsfonds an, sofern diese finanziell solide sind;</w:t>
            </w:r>
            <w:r>
              <w:t xml:space="preserve"> </w:t>
            </w:r>
            <w:r>
              <w:rPr>
                <w:b/>
                <w:i/>
              </w:rPr>
              <w:t>betont, dass es erforderlich ist, ein günstiges Umfeld für Risikokapitalfinanzierung und sichere ausländische Direktinvestitionen in der EU zu fördern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ist sich bewusst, dass die Mobilisierung europäischer institutioneller Anleger, insbesondere von Versicherungsgesellschaften und Pensionsfonds, von entscheidender Bedeutung ist, um die Expansionslücke zu schließen; stellt fest, dass der Anteil der Risikokapitalfonds in Europa erhöht werden muss, um mehr Mittel für expandierende Jungunternehmen bereitzustellen;</w:t>
            </w:r>
          </w:p>
        </w:tc>
        <w:tc>
          <w:tcPr>
            <w:tcW w:w="4876" w:type="dxa"/>
            <w:tcBorders>
              <w:top w:val="nil"/>
              <w:left w:val="nil"/>
              <w:bottom w:val="nil"/>
              <w:right w:val="nil"/>
            </w:tcBorders>
          </w:tcPr>
          <w:p>
            <w:pPr>
              <w:pStyle w:val="Normal6a"/>
            </w:pPr>
            <w:r>
              <w:t>17.</w:t>
            </w:r>
            <w:r>
              <w:tab/>
            </w:r>
            <w:r>
              <w:t>ist sich bewusst, dass die Mobilisierung europäischer institutioneller Anleger</w:t>
            </w:r>
            <w:r>
              <w:rPr>
                <w:b/>
                <w:i/>
              </w:rPr>
              <w:t>, die als Intermediäre zwischen Kleinanlegern und Beteiligungsnehmer fungieren können</w:t>
            </w:r>
            <w:r>
              <w:t xml:space="preserve">, insbesondere von Versicherungsgesellschaften und Pensionsfonds, von entscheidender Bedeutung ist, um die Expansionslücke zu schließen; stellt fest, dass der Anteil der Risikokapitalfonds in Europa erhöht werden muss, um mehr Mittel für expandierende Jungunternehmen bereitzustellen; </w:t>
            </w:r>
            <w:r>
              <w:rPr>
                <w:b/>
                <w:i/>
              </w:rPr>
              <w:t>fordert die Kommission auf, ein Regulierungsumfeld zu schaffen, mit dem Beteiligungsinvestitionen institutioneller Anleger gefördert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Billy Kelleher, 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ist sich bewusst, dass die Mobilisierung europäischer institutioneller Anleger, insbesondere von Versicherungsgesellschaften und Pensionsfonds, von entscheidender Bedeutung ist, um die Expansionslücke zu schließen; </w:t>
            </w:r>
            <w:r>
              <w:rPr>
                <w:b/>
                <w:i/>
              </w:rPr>
              <w:t>stellt fest, dass der Anteil der Risikokapitalfonds in Europa erhöht werden muss</w:t>
            </w:r>
            <w:r>
              <w:t xml:space="preserve">, </w:t>
            </w:r>
            <w:r>
              <w:rPr>
                <w:b/>
                <w:i/>
              </w:rPr>
              <w:t>um</w:t>
            </w:r>
            <w:r>
              <w:t xml:space="preserve"> mehr Mittel für expandierende Jungunternehmen bereitzustellen;</w:t>
            </w:r>
          </w:p>
        </w:tc>
        <w:tc>
          <w:tcPr>
            <w:tcW w:w="4876" w:type="dxa"/>
            <w:tcBorders>
              <w:top w:val="nil"/>
              <w:left w:val="nil"/>
              <w:bottom w:val="nil"/>
              <w:right w:val="nil"/>
            </w:tcBorders>
          </w:tcPr>
          <w:p>
            <w:pPr>
              <w:pStyle w:val="Normal6a"/>
            </w:pPr>
            <w:r>
              <w:t>17.</w:t>
            </w:r>
            <w:r>
              <w:tab/>
            </w:r>
            <w:r>
              <w:t>ist sich bewusst, dass die Mobilisierung europäischer institutioneller Anleger, insbesondere von Versicherungsgesellschaften</w:t>
            </w:r>
            <w:r>
              <w:rPr>
                <w:b/>
                <w:i/>
              </w:rPr>
              <w:t>, Banken</w:t>
            </w:r>
            <w:r>
              <w:t xml:space="preserve"> und Pensionsfonds, von entscheidender Bedeutung ist, um die Expansionslücke zu schließen; </w:t>
            </w:r>
            <w:r>
              <w:rPr>
                <w:b/>
                <w:i/>
              </w:rPr>
              <w:t>weist auf das Potenzial von Risikokapital-, Wachstums- und Private-Equity-Fonds dabei hin</w:t>
            </w:r>
            <w:r>
              <w:t xml:space="preserve">, mehr Mittel für </w:t>
            </w:r>
            <w:r>
              <w:rPr>
                <w:b/>
                <w:i/>
              </w:rPr>
              <w:t>KMU und</w:t>
            </w:r>
            <w:r>
              <w:t xml:space="preserve"> expandierende Jungunternehmen bereitzustellen</w:t>
            </w:r>
            <w:r>
              <w:rPr>
                <w:b/>
                <w:i/>
              </w:rPr>
              <w:t>, und fordert die Kommission nachdrücklich auf, im Rahmen ihrer Spar- und Investitionsunion Maßnahmen zur Verbesserung des Investitionsumfelds für grenzüberschreitende Risikokapitalfonds in Erwägung zu ziehen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betont, dass staatliche Beihilfen nicht nur das reibungslose Funktionieren des Binnenmarkts gewährleisten, sondern auch ein strategisches Instrument zur Förderung des nachhaltigen Wachstums des europäischen Produktionsgefüges sein können;</w:t>
            </w:r>
            <w:r>
              <w:t xml:space="preserve"> </w:t>
            </w:r>
            <w:r>
              <w:rPr>
                <w:b/>
                <w:i/>
              </w:rPr>
              <w:t>fordert die Kommission daher auf, das Potenzial staatlicher Beihilfen für die Schaffung von Bedingungen, die der Entwicklung und Widerstandsfähigkeit von kleinen und mittleren Unternehmen und expandierenden Jungunternehmen förderlich sind, sorgfältig zu prüfen, insbesondere in innovativen und strategischen Sektoren wie Energie und Technologie sowie in benachteiligten und weniger entwickelten Regionen der Union;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fordert die Kommission auf, die Entwicklung spezieller Wachstumsmärkte für KMU und expandierende Jungunternehmen zu unterstützen, um den Zugang innovativer Unternehmen zu Aktienmärkten zu verbessern und Investoren den Ausstieg zu erleichtern;</w:t>
            </w:r>
            <w:r>
              <w:t xml:space="preserve"> </w:t>
            </w:r>
            <w:r>
              <w:rPr>
                <w:b/>
                <w:i/>
              </w:rPr>
              <w:t>unterstützt die Schaffung eines EU-weiten Rahmens für Börsen für KMU und expandierende Jungunternehmen mit vereinfachten Notierungsanforderungen und einem verbesserten Anlegerschutz;</w:t>
            </w:r>
            <w:r>
              <w:t xml:space="preserve"> </w:t>
            </w:r>
            <w:r>
              <w:rPr>
                <w:b/>
                <w:i/>
              </w:rPr>
              <w:t>fordert die Kommission nachdrücklich auf, einen marktbreiten EU-Aktienfonds einzurichten, um institutionelle Investitionen in Aktienmärkte, einschließlich Start-up-Unternehmen, zu lenken;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fordert die Kommission und die Europäische Wertpapier- und Marktaufsichtsbehörde auf, dafür zu sorgen, dass die delegierten Rechtsakte und Durchführungsrechtsakte des Pakets zur Börsennotierung so einfach wie möglich sind und dass der Aufwand so gering wie möglich gehalten wird;</w:t>
            </w:r>
            <w:r>
              <w:t xml:space="preserve"> </w:t>
            </w:r>
            <w:r>
              <w:rPr>
                <w:b/>
                <w:i/>
              </w:rPr>
              <w:t>weist darauf hin, dass das Paket zur Börsennotierung im April 2024 angenommen wurde, um die Notierung kleinerer Unternehmen zu erleichtern;</w:t>
            </w:r>
            <w:r>
              <w:t xml:space="preserve"> </w:t>
            </w:r>
            <w:r>
              <w:rPr>
                <w:b/>
                <w:i/>
              </w:rPr>
              <w:t>ist besorgt über die Einschränkungen zum Schutz neuer Aktionäre, die nach nationalem Ermessen angenommen werden können und durch die Hindernisse für die Integration der Kapitalmärkte entstehen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betont, dass Eigenkapital das wichtigste Finanzierungsinstrument für innovative und wachstumsstarke Unternehmen ist, insbesondere in der Anfangs- und der Expansionsphase;</w:t>
            </w:r>
            <w:r>
              <w:t xml:space="preserve"> </w:t>
            </w:r>
            <w:r>
              <w:rPr>
                <w:b/>
                <w:i/>
              </w:rPr>
              <w:t>weist darauf hin, dass die begrenzte Verfügbarkeit von Risikokapital in vielen Mitgliedstaaten und die Fragmentierung der europäischen Kapitalmärkte die Wettbewerbsfähigkeit des Unternehmensgefüges der EU einschränken;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betont, dass ein Börsengang eine wichtige Ausstiegsstrategie für Unternehmer darstellt;</w:t>
            </w:r>
            <w:r>
              <w:t xml:space="preserve"> </w:t>
            </w:r>
            <w:r>
              <w:rPr>
                <w:b/>
                <w:i/>
              </w:rPr>
              <w:t>ist der Ansicht, dass ein dynamischer Markt für Erstemissionen ein Eckpfeiler für ein gut funktionierendes Finanzierungsumfeld ist, das jungen und innovativen Unternehmen zugutekommt;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weist darauf hin, dass der Zugang zu Kapitalmärkten, einschließlich sowohl Fremd- als auch Eigenkapitalmärkten, erhebliche Kosten für KMU mit sich bringt;</w:t>
            </w:r>
            <w:r>
              <w:t xml:space="preserve"> </w:t>
            </w:r>
            <w:r>
              <w:rPr>
                <w:b/>
                <w:i/>
              </w:rPr>
              <w:t>betont, dass der EU-Rahmen für die Notierung flexibel und verhältnismäßig sein muss;</w:t>
            </w:r>
            <w:r>
              <w:t xml:space="preserve"> </w:t>
            </w:r>
            <w:r>
              <w:rPr>
                <w:b/>
                <w:i/>
              </w:rPr>
              <w:t>begrüßt die Annahme des Rechtsakts über die Börsennotierung und fordert seine zügige Umsetzung;</w:t>
            </w:r>
            <w:r>
              <w:t xml:space="preserve"> </w:t>
            </w:r>
            <w:r>
              <w:rPr>
                <w:b/>
                <w:i/>
              </w:rPr>
              <w:t>betont, dass sich Unternehmen nur dann für eine Notierung entscheiden werden, wenn Offenlegungs-, Haftungs- und Verwaltungsaufwand angemessen und handhabbar sind;</w:t>
            </w:r>
            <w:r>
              <w:t xml:space="preserve"> </w:t>
            </w:r>
            <w:r>
              <w:rPr>
                <w:b/>
                <w:i/>
              </w:rPr>
              <w:t>weist darauf hin, dass dies auch für die Anforderungen an börsennotierte Unternehmen hinsichtlich Folgemaßnahmen gilt;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betont, dass die Ausstiegsmechanismen für Investoren (Börsengänge, grenzüberschreitende Übernahmen usw.) durch einen einheitlicheren und zugänglicheren europäischen Rahmen für Börsennotierungen und Fusionen verbessert werden müssen, um mehr Risikokapital anzuziehen und Investitionen in innovative Unternehmen zu fördern;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stellt fest, dass die Neufassung der Richtlinie über Märkte für Finanzinstrumente (MiFID II) eine spezielle Kategorie von KMU-Wachstumsmärkten vorsieht, die den besonderen Bedürfnissen kleinerer Unternehmen Rechnung tragen sollen;</w:t>
            </w:r>
            <w:r>
              <w:t xml:space="preserve"> </w:t>
            </w:r>
            <w:r>
              <w:rPr>
                <w:b/>
                <w:i/>
              </w:rPr>
              <w:t>fordert die Kommission auf, dieses Instrument weiterzuentwickeln, indem sie ein flexibleres Regulierungssystem bereitstellt, das den Bedürfnissen von kleinen Unternehmen und Midcap-Unternehmen entspricht;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17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fordert eine rasche und ambitionierte Überprüfung der Verordnung über Europäische Risikokapitalfonds (EuVECA);</w:t>
            </w:r>
            <w:r>
              <w:t xml:space="preserve"> </w:t>
            </w:r>
            <w:r>
              <w:rPr>
                <w:b/>
                <w:i/>
              </w:rPr>
              <w:t>betont, dass eine solche Überprüfung auch eine Ausweitung des Erfassungsbereichs von anlagefähigem Vermögen und Strategien umfassen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fordert die Kommission auf, Ko-Investitionsplattformen zu stärken, um private Investitionen zu mobilisieren;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fordert die Kommission auf, Ko-Investitionsplattformen zu stärken, um private Investitionen zu mobilisieren;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Pascal Canfin, Stéphanie Yon-Courtin,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fordert die Kommission auf, Ko-Investitionsplattformen zu stärken, um private Investitionen zu mobilisieren;</w:t>
            </w:r>
          </w:p>
        </w:tc>
        <w:tc>
          <w:tcPr>
            <w:tcW w:w="4876" w:type="dxa"/>
            <w:tcBorders>
              <w:top w:val="nil"/>
              <w:left w:val="nil"/>
              <w:bottom w:val="nil"/>
              <w:right w:val="nil"/>
            </w:tcBorders>
          </w:tcPr>
          <w:p>
            <w:pPr>
              <w:pStyle w:val="Normal6a"/>
            </w:pPr>
            <w:r>
              <w:t>18.</w:t>
            </w:r>
            <w:r>
              <w:tab/>
            </w:r>
            <w:r>
              <w:t xml:space="preserve">fordert die Kommission auf, Ko-Investitionsplattformen zu stärken, um private Investitionen zu mobilisieren; </w:t>
            </w:r>
            <w:r>
              <w:rPr>
                <w:b/>
                <w:i/>
              </w:rPr>
              <w:t>fordert, dass die Mittel für die in der Mitteilung der Kommission über die Spar- und Investitionsunion angekündigte künftige European Tech Champions Initiative 2.0 aufgestockt werden, um verstärkt für finanzielle Unterstützung von Start-up-Unternehmen durch die EU und deren Börsennotierung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fordert die Kommission auf, Ko-Investitionsplattformen zu stärken, um private Investitionen zu mobilisieren;</w:t>
            </w:r>
          </w:p>
        </w:tc>
        <w:tc>
          <w:tcPr>
            <w:tcW w:w="4876" w:type="dxa"/>
            <w:tcBorders>
              <w:top w:val="nil"/>
              <w:left w:val="nil"/>
              <w:bottom w:val="nil"/>
              <w:right w:val="nil"/>
            </w:tcBorders>
          </w:tcPr>
          <w:p>
            <w:pPr>
              <w:pStyle w:val="Normal6a"/>
            </w:pPr>
            <w:r>
              <w:t>18.</w:t>
            </w:r>
            <w:r>
              <w:tab/>
            </w:r>
            <w:r>
              <w:t xml:space="preserve">fordert die Kommission auf, Ko-Investitionsplattformen zu stärken, um private Investitionen zu mobilisieren; </w:t>
            </w:r>
            <w:r>
              <w:rPr>
                <w:b/>
                <w:i/>
              </w:rPr>
              <w:t>unterstützt Bemühungen zur Stärkung regional verankerter Ko-Investitionsplattformen und von Business-Angel-Netzen als Mittel zur Verbesserung des Zugangs von wachstumsstarken und innovationsorientierten KMU zu Eigenkapital, um dazu beizutragen, fortbestehende Finanzierungslücken in der Frühphase zu schließen;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betont, dass die Unterstützung von KMU ein zentrales Ziel der EIB-Gruppe ist;</w:t>
            </w:r>
            <w:r>
              <w:t xml:space="preserve"> </w:t>
            </w:r>
            <w:r>
              <w:rPr>
                <w:b/>
                <w:i/>
              </w:rPr>
              <w:t>betont in diesem Zusammenhang, dass ein flexiblerer Rahmen für die Risikobewertung angenommen werden muss, um auch kleinere Projekte und Unternehmen besser zu unterstützen, die für die Stärkung der Wettbewerbsfähigkeit und die Förderung einer inklusiven wirtschaftlichen Entwicklung in allen Mitgliedstaaten von wesentlicher Bedeutung sind; betont, dass ein besserer Zugang zu Krediten, die Schaffung bedarfsgerechter Finanzierungsinstrumente und gezielte Investitionen in KMU weitreichende positive Auswirkungen haben können, das sie zur wirtschaftlichen Widerstandsfähigkeit der Union beitragen;</w:t>
            </w:r>
            <w:r>
              <w:t xml:space="preserve"> </w:t>
            </w:r>
            <w:r>
              <w:rPr>
                <w:b/>
                <w:i/>
              </w:rPr>
              <w:t>fordert die EIB auf, mehr Mittel für private Investitionen bereitzustellen;</w:t>
            </w:r>
            <w:r>
              <w:t xml:space="preserve"> </w:t>
            </w:r>
            <w:r>
              <w:rPr>
                <w:b/>
                <w:i/>
              </w:rPr>
              <w:t>fordert die EIB-Gruppe auf, den Anteil ihrer jährlichen Finanzmittel, der für Investitionen des Privatsektors bereitgestellt wird, erheblich zu erhöhen und deren entscheidende Rolle bei der Förderung des Wirtschaftswachstums, der Schaffung von Arbeitsplätzen und des technologischen Fortschritts in der Europäischen Union anzuerkennen;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stimmt der Mitteilung über die Spar- und Investitionsunion in Bezug auf die Bedeutung der öffentlichen finanziellen Unterstützung auf EU-Ebene für die Finanzierung von Wachstumsunternehmen zu;</w:t>
            </w:r>
            <w:r>
              <w:t xml:space="preserve"> </w:t>
            </w:r>
            <w:r>
              <w:rPr>
                <w:b/>
                <w:i/>
              </w:rPr>
              <w:t>fordert in diesem Zusammenhang eine Neuausrichtung der EU-Mittel mit weniger Programmen und mehr Flexibilität, um im Laufe der Zeit Mittel von einer Priorität auf andere umzuschichten;</w:t>
            </w:r>
            <w:r>
              <w:t xml:space="preserve"> </w:t>
            </w:r>
            <w:r>
              <w:rPr>
                <w:b/>
                <w:i/>
              </w:rPr>
              <w:t>empfiehlt spezielle Finanzierungsprogramme für expandierende Jungunternehmen im Technologiebereich;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fordert die Kommission nachdrücklich auf, die EbAV-II-Richtlinie zu überarbeiten, um insbesondere Versicherungs- und Pensionsfonds zu mobilisieren und ihren Investitionsanteil an Risikokapitalfonds in Europa zu erhöhen und so mehr Mittel für Start-up-Unternehmen und expandierende Jungunternehmen bereitzustellen;</w:t>
            </w:r>
            <w:r>
              <w:t xml:space="preserve"> </w:t>
            </w:r>
            <w:r>
              <w:rPr>
                <w:b/>
                <w:i/>
              </w:rPr>
              <w:t>stellt fest, dass die Einbeziehung institutioneller Anleger von entscheidender Bedeutung dabei ist, die Expansions- und Investitionslücke in Europa zu verringern;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begrüßt, dass die Europäische Investitionsbank bald die Plattform „TechEU“ eröffnen wird und hebt deren Potenzial dabei hervor, kritische Finanzierungslücken anzugehen, mit denen Start-up-Unternehmen im Technologiesektor konfrontiert sind;</w:t>
            </w:r>
            <w:r>
              <w:t xml:space="preserve"> </w:t>
            </w:r>
            <w:r>
              <w:rPr>
                <w:b/>
                <w:i/>
              </w:rPr>
              <w:t>fordert die EIB-Gruppe auf, dafür zu sorgen, dass die Plattform „TechEU“ in allen Mitgliedstaaten weithin zugänglich ist, auch durch vereinfachte Verfahren, um sicherzustellen, dass sie Talent, Investitionen und Kapital in allen EU-Mitgliedstaaten anzieht;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betont, dass es wichtig ist, die Ersparnisse der Bürgerinnen und Bürger in produktive Investitionsinstrumente zu lenken, die KMU und expandierenden Jungunternehmen zugutekommen können;</w:t>
            </w:r>
            <w:r>
              <w:t xml:space="preserve"> </w:t>
            </w:r>
            <w:r>
              <w:rPr>
                <w:b/>
                <w:i/>
              </w:rPr>
              <w:t>fordert die Kommission auf, einfache und sichere Anlagekanäle für Kleinanleger zu fördern und regulatorische Nachteile zu beseitigen;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betont, dass es wichtig ist, die Ersparnisse der Bürgerinnen und Bürger in produktive Investitionsinstrumente zu lenken, die KMU und expandierenden Jungunternehmen zugutekommen können;</w:t>
            </w:r>
            <w:r>
              <w:t xml:space="preserve"> </w:t>
            </w:r>
            <w:r>
              <w:rPr>
                <w:b/>
                <w:i/>
              </w:rPr>
              <w:t>fordert die Kommission auf, einfache und sichere Anlagekanäle für Kleinanleger zu fördern und regulatorische Nachteile zu beseitigen;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betont, dass es wichtig ist, die Ersparnisse der Bürgerinnen und Bürger in produktive Investitionsinstrumente zu lenken, die KMU und expandierenden Jungunternehmen zugutekommen können; </w:t>
            </w:r>
            <w:r>
              <w:rPr>
                <w:b/>
                <w:i/>
              </w:rPr>
              <w:t>fordert die Kommission auf, einfache und sichere Anlagekanäle</w:t>
            </w:r>
            <w:r>
              <w:t xml:space="preserve"> für Kleinanleger </w:t>
            </w:r>
            <w:r>
              <w:rPr>
                <w:b/>
                <w:i/>
              </w:rPr>
              <w:t>zu fördern und regulatorische Nachteile zu beseitigen</w:t>
            </w:r>
            <w:r>
              <w:t>;</w:t>
            </w:r>
          </w:p>
        </w:tc>
        <w:tc>
          <w:tcPr>
            <w:tcW w:w="4876" w:type="dxa"/>
            <w:tcBorders>
              <w:top w:val="nil"/>
              <w:left w:val="nil"/>
              <w:bottom w:val="nil"/>
              <w:right w:val="nil"/>
            </w:tcBorders>
          </w:tcPr>
          <w:p>
            <w:pPr>
              <w:pStyle w:val="Normal6a"/>
            </w:pPr>
            <w:r>
              <w:t>19.</w:t>
            </w:r>
            <w:r>
              <w:tab/>
            </w:r>
            <w:r>
              <w:t xml:space="preserve">betont, dass es wichtig ist, die Ersparnisse der Bürgerinnen und Bürger in produktive Investitionsinstrumente zu lenken, die KMU und expandierenden Jungunternehmen zugutekommen können; </w:t>
            </w:r>
            <w:r>
              <w:rPr>
                <w:b/>
                <w:i/>
              </w:rPr>
              <w:t>weist darauf hin, dass Direktinvestitionen in KMU und expandierende Jungunternehmen</w:t>
            </w:r>
            <w:r>
              <w:t xml:space="preserve"> für Kleinanleger </w:t>
            </w:r>
            <w:r>
              <w:rPr>
                <w:b/>
                <w:i/>
              </w:rPr>
              <w:t>oft aus Gründen im Zusammenhang mit dem Zugang und der Diversifizierung schwierig sind und dass Vermittler wie Versicherungsunternehmen und Pensionsfonds hier eine wichtige Rolle spielen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betont, dass es wichtig ist, die Ersparnisse der Bürgerinnen und Bürger in produktive Investitionsinstrumente zu lenken, die KMU und expandierenden Jungunternehmen zugutekommen können; fordert die Kommission auf, einfache und sichere Anlagekanäle für Kleinanleger zu fördern und </w:t>
            </w:r>
            <w:r>
              <w:rPr>
                <w:b/>
                <w:i/>
              </w:rPr>
              <w:t>regulatorische Nachteile zu beseitigen</w:t>
            </w:r>
            <w:r>
              <w:t>;</w:t>
            </w:r>
          </w:p>
        </w:tc>
        <w:tc>
          <w:tcPr>
            <w:tcW w:w="4876" w:type="dxa"/>
            <w:tcBorders>
              <w:top w:val="nil"/>
              <w:left w:val="nil"/>
              <w:bottom w:val="nil"/>
              <w:right w:val="nil"/>
            </w:tcBorders>
          </w:tcPr>
          <w:p>
            <w:pPr>
              <w:pStyle w:val="Normal6a"/>
            </w:pPr>
            <w:r>
              <w:t>19.</w:t>
            </w:r>
            <w:r>
              <w:tab/>
            </w:r>
            <w:r>
              <w:t xml:space="preserve">betont, dass es wichtig ist, die Ersparnisse der Bürgerinnen und Bürger in produktive Investitionsinstrumente zu lenken, die KMU und expandierenden Jungunternehmen zugutekommen können; fordert die Kommission auf, einfache und sichere Anlagekanäle für Kleinanleger zu fördern und </w:t>
            </w:r>
            <w:r>
              <w:rPr>
                <w:b/>
                <w:i/>
              </w:rPr>
              <w:t>sicherzustellen, dass Kleinanleger bei Anlageentscheidungen angemessen geschützt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betont, dass es wichtig ist, die </w:t>
            </w:r>
            <w:r>
              <w:rPr>
                <w:b/>
                <w:i/>
              </w:rPr>
              <w:t>Ersparnisse der</w:t>
            </w:r>
            <w:r>
              <w:t xml:space="preserve"> Bürgerinnen und Bürger in produktive Investitionsinstrumente </w:t>
            </w:r>
            <w:r>
              <w:rPr>
                <w:b/>
                <w:i/>
              </w:rPr>
              <w:t>zu</w:t>
            </w:r>
            <w:r>
              <w:t xml:space="preserve"> lenken, die KMU und expandierenden Jungunternehmen zugutekommen können; fordert die Kommission auf, einfache und sichere </w:t>
            </w:r>
            <w:r>
              <w:rPr>
                <w:b/>
                <w:i/>
              </w:rPr>
              <w:t>Anlagekanäle</w:t>
            </w:r>
            <w:r>
              <w:t xml:space="preserve"> für Kleinanleger zu fördern und regulatorische Nachteile zu beseitigen;</w:t>
            </w:r>
          </w:p>
        </w:tc>
        <w:tc>
          <w:tcPr>
            <w:tcW w:w="4876" w:type="dxa"/>
            <w:tcBorders>
              <w:top w:val="nil"/>
              <w:left w:val="nil"/>
              <w:bottom w:val="nil"/>
              <w:right w:val="nil"/>
            </w:tcBorders>
          </w:tcPr>
          <w:p>
            <w:pPr>
              <w:pStyle w:val="Normal6a"/>
            </w:pPr>
            <w:r>
              <w:t>19.</w:t>
            </w:r>
            <w:r>
              <w:tab/>
            </w:r>
            <w:r>
              <w:t xml:space="preserve">betont, dass es wichtig ist, die </w:t>
            </w:r>
            <w:r>
              <w:rPr>
                <w:b/>
                <w:i/>
              </w:rPr>
              <w:t>richtigen Voraussetzungen zu schaffen, damit die</w:t>
            </w:r>
            <w:r>
              <w:t xml:space="preserve"> Bürgerinnen und Bürger </w:t>
            </w:r>
            <w:r>
              <w:rPr>
                <w:b/>
                <w:i/>
              </w:rPr>
              <w:t>ihre Ersparnisse</w:t>
            </w:r>
            <w:r>
              <w:t xml:space="preserve"> in produktive Investitionsinstrumente lenken, die KMU und expandierenden Jungunternehmen zugutekommen können; fordert die Kommission auf, einfache und sichere </w:t>
            </w:r>
            <w:r>
              <w:rPr>
                <w:b/>
                <w:i/>
              </w:rPr>
              <w:t>Anlageprodukte</w:t>
            </w:r>
            <w:r>
              <w:t xml:space="preserve"> für Kleinanleger zu fördern und regulatorische Nachteile zu beseitigen;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betont, dass es wichtig ist, die </w:t>
            </w:r>
            <w:r>
              <w:rPr>
                <w:b/>
                <w:i/>
              </w:rPr>
              <w:t>Ersparnisse der Bürgerinnen und Bürger in produktive Investitionsinstrumente zu lenken, die</w:t>
            </w:r>
            <w:r>
              <w:t xml:space="preserve"> KMU und expandierenden Jungunternehmen zugutekommen </w:t>
            </w:r>
            <w:r>
              <w:rPr>
                <w:b/>
                <w:i/>
              </w:rPr>
              <w:t>können</w:t>
            </w:r>
            <w:r>
              <w:t>; fordert die Kommission auf, einfache und sichere Anlagekanäle für Kleinanleger zu fördern und regulatorische Nachteile zu beseitigen;</w:t>
            </w:r>
          </w:p>
        </w:tc>
        <w:tc>
          <w:tcPr>
            <w:tcW w:w="4876" w:type="dxa"/>
            <w:tcBorders>
              <w:top w:val="nil"/>
              <w:left w:val="nil"/>
              <w:bottom w:val="nil"/>
              <w:right w:val="nil"/>
            </w:tcBorders>
          </w:tcPr>
          <w:p>
            <w:pPr>
              <w:pStyle w:val="Normal6a"/>
            </w:pPr>
            <w:r>
              <w:t>19.</w:t>
            </w:r>
            <w:r>
              <w:tab/>
            </w:r>
            <w:r>
              <w:t xml:space="preserve">betont, dass es wichtig ist, die </w:t>
            </w:r>
            <w:r>
              <w:rPr>
                <w:b/>
                <w:i/>
              </w:rPr>
              <w:t>Beteiligung von Kleinanlegern an Kapitalmärkten zu erhöhen, was</w:t>
            </w:r>
            <w:r>
              <w:t xml:space="preserve"> KMU und expandierenden Jungunternehmen zugutekommen </w:t>
            </w:r>
            <w:r>
              <w:rPr>
                <w:b/>
                <w:i/>
              </w:rPr>
              <w:t>kann</w:t>
            </w:r>
            <w:r>
              <w:t>; fordert die Kommission auf, einfache und sichere Anlagekanäle für Kleinanleger zu fördern und regulatorische Nachteile zu beseitigen;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fordert die Kommission und die Europäischen Aufsichtsbehörden auf, den Regulierungs- und Aufsichtsrahmen für den Finanzsektor zu überprüfen, um den Zugang von KMU und expandierenden Jungunternehmen zu Bankkrediten zu verbessern und für ein besseres Gleichgewicht zwischen Finanzstabilität und Unterstützung der Realwirtschaft zu sorgen;</w:t>
            </w:r>
            <w:r>
              <w:t xml:space="preserve"> </w:t>
            </w:r>
            <w:r>
              <w:rPr>
                <w:b/>
                <w:i/>
              </w:rPr>
              <w:t>betont die entscheidende Rolle lokaler und regionaler Banken und Genossenschaftsbanken, die tief im lokalen Produktionsgefüge verwurzelt sind, wenn es darum geht, die Solidität der KMU zu bewerten und ihren besonderen Bedürfnissen gerecht zu werden;</w:t>
            </w:r>
            <w:r>
              <w:t xml:space="preserve"> </w:t>
            </w:r>
            <w:r>
              <w:rPr>
                <w:b/>
                <w:i/>
              </w:rPr>
              <w:t>fordert, dass diese Akteure im Rahmen europäischer Rechtsvorschriften gefördert und nicht bestraft werden, indem ein inklusiveres und stärker entwicklungsorientiertes Finanzsystem gefördert wird;</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Billy Kelleher, 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hebt die Annahme der Verordnung zur Einrichtung eines zentralen europäischen Zugangsportals (ESAP) hervor, mit der eine EU-weite, leicht durchsuchbare Datenbank mit finanziellen und nichtfinanziellen Meldedaten geschaffen wird und die ab 2027 einsatzbereit ist;</w:t>
            </w:r>
            <w:r>
              <w:t xml:space="preserve"> </w:t>
            </w:r>
            <w:r>
              <w:rPr>
                <w:b/>
                <w:i/>
              </w:rPr>
              <w:t>stellt fest, dass die ESAP-Verordnung es KMU ermöglicht, ihre finanziellen und nichtfinanziellen Informationen freiwillig an diese zentrale Datenbank zu übermitteln, um ihre Sichtbarkeit für potenzielle Investoren zu erhöhen;</w:t>
            </w:r>
            <w:r>
              <w:t xml:space="preserve"> </w:t>
            </w:r>
            <w:r>
              <w:rPr>
                <w:b/>
                <w:i/>
              </w:rPr>
              <w:t>ermutigt KMU und expandierende Jungunternehmen, von dieser freiwilligen Übermittlung Gebrauch zu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begrüßt die in der EU-Start-up- und Scale-up-Strategie vom 28. Mai dargelegte Absicht der Kommission, einen Rahmen für die Bewertung des geistigen Eigentums für durch geistiges Eigentum gestützte Finanzierung zu entwickeln;</w:t>
            </w:r>
            <w:r>
              <w:t xml:space="preserve"> </w:t>
            </w:r>
            <w:r>
              <w:rPr>
                <w:b/>
                <w:i/>
              </w:rPr>
              <w:t>fordert die Kommission auf, dies durch die Schaffung eines europaweiten Garantieinstruments für durch geistiges Eigentum gestützte Darlehen von KMU zu ergänzen;</w:t>
            </w:r>
            <w:r>
              <w:t xml:space="preserve"> </w:t>
            </w:r>
            <w:r>
              <w:rPr>
                <w:b/>
                <w:i/>
              </w:rPr>
              <w:t>ist der Ansicht, dass ein solches Garantieinstrument im Rahmen des künftigen 28. Rechtssystems in Erwägung gezogen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erkennt das Potenzial von Crowdfunding-Plattformen und neuen technologischen Instrumenten wie intelligenten Verträgen und dezentraler Finanzierung an, um den Zugang von KMU zu nicht über Finanzintermediäre bereitgestellten Finanzierungen auszuweiten;</w:t>
            </w:r>
            <w:r>
              <w:t xml:space="preserve"> </w:t>
            </w:r>
            <w:r>
              <w:rPr>
                <w:b/>
                <w:i/>
              </w:rPr>
              <w:t>fordert die Kommission auf, ihren Regelungsrahmen mit einem Ansatz zu überarbeiten, der auf Innovation und einem angemessenen Risiko beruht;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fordert, dass die Entwicklung von Risikokapitalmärkten und Märkten für privates Beteiligungskapital in der EU beschleunigt wird, indem die Verfügbarkeit von Finanzmitteln für Risikokapitalinvestitionen erhöht wird und größere Risikokapitalfonds für späte Phasen, öffentliche Programme für Risikokapital- und Business-Angel-Investitionen sowie aktive Märkte für Börsengänge von Unternehmen, die durch Risikokapital unterstützt werden, entwickelt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fordert die Kommission und die Mitgliedstaaten nachdrücklich auf, der Entwicklung europaweiter Investitionsplattformen und grenzübergreifender Finanzierungsinstrumente Vorrang einzuräumen, die auf KMU und expandierende Jungunternehmen zugeschnitten sind, insbesondere solche, die in innovationsorientierten und grünen Branchen tätig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stellt fest, dass selbst nationale Finanzierungsschwellen, die auch für kleinere Genossenschaftsbanken gelten, eine Finanzierungsbeschränkung für expandierende Jungunternehmen darstellen können;</w:t>
            </w:r>
            <w:r>
              <w:t xml:space="preserve"> </w:t>
            </w:r>
            <w:r>
              <w:rPr>
                <w:b/>
                <w:i/>
              </w:rPr>
              <w:t>diese Beschränkungen oder Schwellenwerte sollten überprüft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Billy Kelleher, 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19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hebt die von der Präsidentin der Kommission in ihren politischen Leitlinien für die nächste Europäische Kommission 2024-2029</w:t>
            </w:r>
            <w:r>
              <w:rPr>
                <w:b/>
                <w:i/>
                <w:vertAlign w:val="superscript"/>
              </w:rPr>
              <w:t>1a</w:t>
            </w:r>
            <w:r>
              <w:t xml:space="preserve"> </w:t>
            </w:r>
            <w:r>
              <w:rPr>
                <w:b/>
                <w:i/>
              </w:rPr>
              <w:t>eingegangene und in dem Mandatsschreiben an Kommissionmitglied Albuquerque</w:t>
            </w:r>
            <w:r>
              <w:rPr>
                <w:b/>
                <w:i/>
                <w:vertAlign w:val="superscript"/>
              </w:rPr>
              <w:t>1b</w:t>
            </w:r>
            <w:r>
              <w:t xml:space="preserve"> </w:t>
            </w:r>
            <w:r>
              <w:rPr>
                <w:b/>
                <w:i/>
              </w:rPr>
              <w:t>bekräftigte Zusage hervor, an risikoabsorbierenden Maßnahmen zu arbeiten, um private Finanzierung von Geschäftsbanken und Investoren sowie aus Risikokapital zu mobilisieren und so die Finanzierungsmöglichkeiten für neue oder schnell wachsende innovative Unternehmen zu erweitern;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Rede der gewählten Präsidentin von der Leyen: „Europa hat die Wahl:</w:t>
            </w:r>
            <w:r>
              <w:t xml:space="preserve"> </w:t>
            </w:r>
            <w:r>
              <w:rPr>
                <w:b/>
                <w:i/>
              </w:rPr>
              <w:t>Politische Leitlinien für die nächste Europäische Kommission 2024-2029” vom 18. Juli 2024 in Straßburg, https://commission.europa.eu/document/download/e6cd4328-673c-4e7a-8683-f63ffb2cf648_de?filename=Political%20Guidelines%202024-2029_DE.pdf.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https://commission.europa.eu/document/download/ac06a896-2645-4857-9958-467d2ce6f221_en?filename=Mission%20letter%20-%20ALBUQUERQUE.pdf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betont, dass ein stärker integriertes Innovationsökosystem mit Netzwerken von Hochschulen, Start-up-Unternehmen, Großunternehmen und Risikokapitalgebern, gestützt auf den Zugang zu Testeinrichtungen und Technologieinfrastrukturen, entscheidend dazu beiträgt, Unternehmen bei der Expansion zu unterstützen;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betont, dass ein stärker integriertes Innovationsökosystem mit Netzwerken von Hochschulen, Start-up-Unternehmen, Großunternehmen und Risikokapitalgebern, gestützt auf den Zugang zu Testeinrichtungen und Technologieinfrastrukturen, entscheidend dazu beiträgt, Unternehmen bei der Expansion zu unterstützen;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betont, dass ein stärker integriertes Innovationsökosystem mit Netzwerken von Hochschulen, Start-up-Unternehmen, Großunternehmen und Risikokapitalgebern, gestützt auf den Zugang zu Testeinrichtungen und Technologieinfrastrukturen, entscheidend dazu beiträgt, Unternehmen bei der Expansion zu unterstützen;</w:t>
            </w:r>
          </w:p>
        </w:tc>
        <w:tc>
          <w:tcPr>
            <w:tcW w:w="4876" w:type="dxa"/>
            <w:tcBorders>
              <w:top w:val="nil"/>
              <w:left w:val="nil"/>
              <w:bottom w:val="nil"/>
              <w:right w:val="nil"/>
            </w:tcBorders>
          </w:tcPr>
          <w:p>
            <w:pPr>
              <w:pStyle w:val="Normal6a"/>
            </w:pPr>
            <w:r>
              <w:t>20.</w:t>
            </w:r>
            <w:r>
              <w:tab/>
            </w:r>
            <w:r>
              <w:t xml:space="preserve">betont, dass ein stärker integriertes Innovationsökosystem mit Netzwerken von Hochschulen, Start-up-Unternehmen, Großunternehmen und Risikokapitalgebern, gestützt auf den Zugang zu Testeinrichtungen und Technologieinfrastrukturen, entscheidend dazu beiträgt, Unternehmen bei der Expansion zu unterstützen; </w:t>
            </w:r>
            <w:r>
              <w:rPr>
                <w:b/>
                <w:i/>
              </w:rPr>
              <w:t>betont auch den Mehrwert von Unternehmensgemeinschaften, die den Austausch von Erfahrungen, Peer-Learning und die Verbreitung bewährter Verfahren fördern;</w:t>
            </w:r>
            <w:r>
              <w:t xml:space="preserve"> </w:t>
            </w:r>
            <w:r>
              <w:rPr>
                <w:b/>
                <w:i/>
              </w:rPr>
              <w:t>hebt die Rolle hervor, die Unternehmerforen, private Beschleuniger und Mentorennetzwerke bei der Unterstützung des Wachstums neuer Unternehmensprojekte spielen können;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betont, dass ein stärker integriertes Innovationsökosystem mit Netzwerken von Hochschulen, Start-up-Unternehmen, Großunternehmen und Risikokapitalgebern, gestützt auf den Zugang zu Testeinrichtungen und Technologieinfrastrukturen, entscheidend dazu beiträgt, Unternehmen bei der Expansion zu unterstützen;</w:t>
            </w:r>
          </w:p>
        </w:tc>
        <w:tc>
          <w:tcPr>
            <w:tcW w:w="4876" w:type="dxa"/>
            <w:tcBorders>
              <w:top w:val="nil"/>
              <w:left w:val="nil"/>
              <w:bottom w:val="nil"/>
              <w:right w:val="nil"/>
            </w:tcBorders>
          </w:tcPr>
          <w:p>
            <w:pPr>
              <w:pStyle w:val="Normal6a"/>
            </w:pPr>
            <w:r>
              <w:t>20.</w:t>
            </w:r>
            <w:r>
              <w:tab/>
            </w:r>
            <w:r>
              <w:t xml:space="preserve">betont, dass ein stärker integriertes Innovationsökosystem mit Netzwerken von Hochschulen, Start-up-Unternehmen, Großunternehmen und Risikokapitalgebern, gestützt auf den Zugang zu Testeinrichtungen und Technologieinfrastrukturen, entscheidend dazu beiträgt, Unternehmen bei der Expansion zu unterstützen; </w:t>
            </w:r>
            <w:r>
              <w:rPr>
                <w:b/>
                <w:i/>
              </w:rPr>
              <w:t>fordert die Kommission und die Mitgliedstaaten auf, auf Initiativen wie dem Netzwerk vertrauenswürdiger Investoren aufzubauen, mit dem privates Kapital in großem Maßstab mobilisiert werden soll, um die Innovationsziele Europas zu unterstützen;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fordert die Kommission auf, eine Studie und eine Folgenabschätzung über neue Möglichkeiten zur Bereitstellung von Beteiligungsfinanzierungen für diejenigen KMU durchzuführen, die davon dank ihrer Größe und ihrer Wachstumsaussichten profitieren können;</w:t>
            </w:r>
            <w:r>
              <w:t xml:space="preserve"> </w:t>
            </w:r>
            <w:r>
              <w:rPr>
                <w:b/>
                <w:i/>
              </w:rPr>
              <w:t>in der genannten Studie sollten verschiedene Optionen untersucht werden, wie beispielsweise die Einrichtung eines öffentlich-privaten europaweiten Fonds für Börsengänge (IPO) oder die Ausweitung der Mezzanine-Finanzierung;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Anouk Van Brug,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fordert die Mitgliedstaaten auf, die Beteiligung an Rentensystemen der zweiten Säule auszuweiten und einen Teil dieser langfristigen Vermögenswerte in Risiko- und Wachstumskapitalfonds zu lenken, wodurch eine stabile und konstante inländische Anlegerbasis für die Skalierung von Unternehmen geschaffen wird, was auch durch eine automatische Teilnahme erreicht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20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stellt fest, dass die von der Kommission geplante Initiative zum 28. Rechtssystem das Potenzial hat, die Arbeit privater Investoren zu vereinfachen und mehr Kapital für innovative Start-up-Unternehmen und KMU in Europa anzuziehen;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Stärkung eines wettbewerbsfähigen Ökosystems in der EU</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Zwischenüberschrift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Stärkung eines wettbewerbsfähigen Ökosystems in der EU</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ist der Ansicht, dass ein wettbewerbsfähiges Ökosystem in der EU aus starken nationalen Märkten bestehen muss und dass Unterschiede auf einzelstaatlicher Ebene eine wichtige Rolle spielen, wenn es darum geht, einen gesunden Wettbewerb zwischen den Mitgliedstaaten zu fördern und Anreize für sie zu schaffen, ihre Volkswirtschaften dynamisch und attraktiv zu halten;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ist der Ansicht, dass ein wettbewerbsfähiges Ökosystem in der EU aus starken nationalen Märkten bestehen muss und dass Unterschiede auf einzelstaatlicher Ebene eine wichtige Rolle spielen, wenn es darum geht, einen gesunden Wettbewerb zwischen den Mitgliedstaaten zu fördern und Anreize für sie zu schaffen, ihre Volkswirtschaften dynamisch und attraktiv zu halten;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ist der Ansicht, dass ein wettbewerbsfähiges Ökosystem in der EU aus starken nationalen Märkten bestehen muss und dass Unterschiede auf einzelstaatlicher Ebene eine wichtige Rolle spielen, wenn es darum geht, einen gesunden Wettbewerb zwischen den Mitgliedstaaten zu fördern und Anreize für sie zu schaffen, ihre Volkswirtschaften dynamisch und attraktiv zu halten;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ist der Ansicht, dass ein wettbewerbsfähiges Ökosystem in der EU aus starken nationalen Märkten bestehen muss und dass Unterschiede auf einzelstaatlicher Ebene eine wichtige Rolle spielen, wenn es darum geht, einen gesunden Wettbewerb zwischen den Mitgliedstaaten zu fördern und Anreize für sie zu schaffen, ihre Volkswirtschaften dynamisch und attraktiv zu halten;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ist der Ansicht, dass ein wettbewerbsfähiges Ökosystem in der EU aus starken nationalen Märkten bestehen muss und dass Unterschiede auf einzelstaatlicher Ebene eine </w:t>
            </w:r>
            <w:r>
              <w:rPr>
                <w:b/>
                <w:i/>
              </w:rPr>
              <w:t>wichtige</w:t>
            </w:r>
            <w:r>
              <w:t xml:space="preserve"> Rolle spielen, wenn es darum geht, einen gesunden Wettbewerb zwischen den Mitgliedstaaten zu fördern und Anreize für sie zu schaffen, ihre Volkswirtschaften dynamisch und attraktiv zu halten;</w:t>
            </w:r>
          </w:p>
        </w:tc>
        <w:tc>
          <w:tcPr>
            <w:tcW w:w="4876" w:type="dxa"/>
            <w:tcBorders>
              <w:top w:val="nil"/>
              <w:left w:val="nil"/>
              <w:bottom w:val="nil"/>
              <w:right w:val="nil"/>
            </w:tcBorders>
          </w:tcPr>
          <w:p>
            <w:pPr>
              <w:pStyle w:val="Normal6a"/>
            </w:pPr>
            <w:r>
              <w:t>21.</w:t>
            </w:r>
            <w:r>
              <w:tab/>
            </w:r>
            <w:r>
              <w:t xml:space="preserve">ist der Ansicht, dass ein wettbewerbsfähiges Ökosystem in der EU aus starken nationalen Märkten bestehen muss und dass Unterschiede auf einzelstaatlicher Ebene eine Rolle spielen, wenn es darum geht, einen gesunden Wettbewerb zwischen den Mitgliedstaaten </w:t>
            </w:r>
            <w:r>
              <w:rPr>
                <w:b/>
                <w:i/>
              </w:rPr>
              <w:t>auf EU-Ebene</w:t>
            </w:r>
            <w:r>
              <w:t xml:space="preserve"> zu fördern und </w:t>
            </w:r>
            <w:r>
              <w:rPr>
                <w:b/>
                <w:i/>
              </w:rPr>
              <w:t>so</w:t>
            </w:r>
            <w:r>
              <w:t xml:space="preserve"> Anreize für sie zu schaffen, ihre Volkswirtschaften dynamisch und attraktiv zu halten; </w:t>
            </w:r>
            <w:r>
              <w:rPr>
                <w:b/>
                <w:i/>
              </w:rPr>
              <w:t>betont jedoch, dass der EU-Kapitalmarkt derzeit nach wie vor sehr fragmentiert entlang der nationalen Grenzen ist, was zu Ineffizienzen führt und die Marktteilnehmer daran hindert, die Vorteile des Binnenmarkts und den Skaleneffekt eines stärker integrierten Marktes voll auszuschöpfen;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ist der Ansicht, dass ein wettbewerbsfähiges Ökosystem in der EU aus starken nationalen Märkten bestehen muss und dass Unterschiede auf einzelstaatlicher Ebene eine wichtige Rolle spielen, wenn es darum geht, einen gesunden Wettbewerb zwischen den Mitgliedstaaten zu fördern und Anreize für sie zu schaffen, ihre Volkswirtschaften dynamisch und attraktiv zu halten;</w:t>
            </w:r>
          </w:p>
        </w:tc>
        <w:tc>
          <w:tcPr>
            <w:tcW w:w="4876" w:type="dxa"/>
            <w:tcBorders>
              <w:top w:val="nil"/>
              <w:left w:val="nil"/>
              <w:bottom w:val="nil"/>
              <w:right w:val="nil"/>
            </w:tcBorders>
          </w:tcPr>
          <w:p>
            <w:pPr>
              <w:pStyle w:val="Normal6a"/>
            </w:pPr>
            <w:r>
              <w:t>21.</w:t>
            </w:r>
            <w:r>
              <w:tab/>
            </w:r>
            <w:r>
              <w:t xml:space="preserve">ist der Ansicht, dass ein wettbewerbsfähiges Ökosystem in der EU aus starken nationalen Märkten bestehen muss und dass Unterschiede auf einzelstaatlicher Ebene eine wichtige Rolle spielen, wenn es darum geht, einen gesunden Wettbewerb zwischen den Mitgliedstaaten zu fördern und Anreize für sie zu schaffen, ihre Volkswirtschaften dynamisch und attraktiv zu halten; </w:t>
            </w:r>
            <w:r>
              <w:rPr>
                <w:b/>
                <w:i/>
              </w:rPr>
              <w:t>fordert die Kommission auf, legislative oder nichtlegislative Lösungen zu entwickeln, und dabei auf bewährten Verfahren und den bereits gut entwickelten und gut funktionierenden Märkten in einigen Mitgliedstaaten aufzubauen;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ist der Ansicht, dass ein wettbewerbsfähiges Ökosystem in der EU </w:t>
            </w:r>
            <w:r>
              <w:rPr>
                <w:b/>
                <w:i/>
              </w:rPr>
              <w:t>aus starken nationalen Märkten bestehen muss und dass Unterschiede auf einzelstaatlicher Ebene eine wichtige Rolle spielen, wenn es darum geht, einen gesunden Wettbewerb zwischen den Mitgliedstaaten zu fördern und Anreize für sie zu schaffen, ihre Volkswirtschaften dynamisch und attraktiv zu halten</w:t>
            </w:r>
            <w:r>
              <w:t>;</w:t>
            </w:r>
          </w:p>
        </w:tc>
        <w:tc>
          <w:tcPr>
            <w:tcW w:w="4876" w:type="dxa"/>
            <w:tcBorders>
              <w:top w:val="nil"/>
              <w:left w:val="nil"/>
              <w:bottom w:val="nil"/>
              <w:right w:val="nil"/>
            </w:tcBorders>
          </w:tcPr>
          <w:p>
            <w:pPr>
              <w:pStyle w:val="Normal6a"/>
            </w:pPr>
            <w:r>
              <w:t>21.</w:t>
            </w:r>
            <w:r>
              <w:tab/>
            </w:r>
            <w:r>
              <w:t xml:space="preserve">ist der Ansicht, dass ein wettbewerbsfähiges Ökosystem in der EU </w:t>
            </w:r>
            <w:r>
              <w:rPr>
                <w:b/>
                <w:i/>
              </w:rPr>
              <w:t>sich auf starke nationale Märkte stützen sollte, betont jedoch, dass diese nicht zu Hindernissen für eine effiziente grenzüberschreitende Kapitalallokation oder zu einer Rechtfertigung für die Priorisierung der geografischen Herkunft von Kapital werden sollten;</w:t>
            </w:r>
            <w:r>
              <w:t xml:space="preserve"> </w:t>
            </w:r>
            <w:r>
              <w:rPr>
                <w:b/>
                <w:i/>
              </w:rPr>
              <w:t>beharrt darauf, dass sich der Zugang von KMU zu Finanzmitteln an Effizienz-, Skalierbarkeits- und Risikoprofilkriterien orientieren sollte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ist der Ansicht, dass ein wettbewerbsfähiges Ökosystem in der EU aus starken nationalen Märkten </w:t>
            </w:r>
            <w:r>
              <w:rPr>
                <w:b/>
                <w:i/>
              </w:rPr>
              <w:t>bestehen muss</w:t>
            </w:r>
            <w:r>
              <w:t xml:space="preserve"> und dass </w:t>
            </w:r>
            <w:r>
              <w:rPr>
                <w:b/>
                <w:i/>
              </w:rPr>
              <w:t>Unterschiede auf einzelstaatlicher Ebene eine wichtige Rolle spielen, wenn es darum geht, einen gesunden</w:t>
            </w:r>
            <w:r>
              <w:t xml:space="preserve"> Wettbewerb </w:t>
            </w:r>
            <w:r>
              <w:rPr>
                <w:b/>
                <w:i/>
              </w:rPr>
              <w:t>zwischen den Mitgliedstaaten zu fördern und</w:t>
            </w:r>
            <w:r>
              <w:t xml:space="preserve"> Anreize für </w:t>
            </w:r>
            <w:r>
              <w:rPr>
                <w:b/>
                <w:i/>
              </w:rPr>
              <w:t>sie zu schaffen, ihre</w:t>
            </w:r>
            <w:r>
              <w:t xml:space="preserve"> Volkswirtschaften dynamisch und attraktiv zu halten;</w:t>
            </w:r>
          </w:p>
        </w:tc>
        <w:tc>
          <w:tcPr>
            <w:tcW w:w="4876" w:type="dxa"/>
            <w:tcBorders>
              <w:top w:val="nil"/>
              <w:left w:val="nil"/>
              <w:bottom w:val="nil"/>
              <w:right w:val="nil"/>
            </w:tcBorders>
          </w:tcPr>
          <w:p>
            <w:pPr>
              <w:pStyle w:val="Normal6a"/>
            </w:pPr>
            <w:r>
              <w:t>21.</w:t>
            </w:r>
            <w:r>
              <w:tab/>
            </w:r>
            <w:r>
              <w:t xml:space="preserve">ist der Ansicht, dass ein wettbewerbsfähiges Ökosystem in der EU aus starken nationalen Märkten </w:t>
            </w:r>
            <w:r>
              <w:rPr>
                <w:b/>
                <w:i/>
              </w:rPr>
              <w:t>besteht</w:t>
            </w:r>
            <w:r>
              <w:t xml:space="preserve"> und dass </w:t>
            </w:r>
            <w:r>
              <w:rPr>
                <w:b/>
                <w:i/>
              </w:rPr>
              <w:t>ein gesunder</w:t>
            </w:r>
            <w:r>
              <w:t xml:space="preserve"> Wettbewerb Anreize für </w:t>
            </w:r>
            <w:r>
              <w:rPr>
                <w:b/>
                <w:i/>
              </w:rPr>
              <w:t>Unternehmen schafft, innovativ zu sein und die</w:t>
            </w:r>
            <w:r>
              <w:t xml:space="preserve"> Volkswirtschaften dynamisch und attraktiv zu 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ist der Ansicht, dass ein wettbewerbsfähiges Ökosystem </w:t>
            </w:r>
            <w:r>
              <w:rPr>
                <w:b/>
                <w:i/>
              </w:rPr>
              <w:t>in der EU aus starken nationalen Märkten bestehen muss und dass Unterschiede auf einzelstaatlicher Ebene eine wichtige Rolle spielen, wenn es darum geht</w:t>
            </w:r>
            <w:r>
              <w:t xml:space="preserve">, einen gesunden Wettbewerb zwischen den Mitgliedstaaten </w:t>
            </w:r>
            <w:r>
              <w:rPr>
                <w:b/>
                <w:i/>
              </w:rPr>
              <w:t>zu</w:t>
            </w:r>
            <w:r>
              <w:t xml:space="preserve"> fördern und Anreize für </w:t>
            </w:r>
            <w:r>
              <w:rPr>
                <w:b/>
                <w:i/>
              </w:rPr>
              <w:t>sie zu</w:t>
            </w:r>
            <w:r>
              <w:t xml:space="preserve"> schaffen</w:t>
            </w:r>
            <w:r>
              <w:rPr>
                <w:b/>
                <w:i/>
              </w:rPr>
              <w:t>, ihre Volkswirtschaften dynamisch und attraktiv zu halten</w:t>
            </w:r>
            <w:r>
              <w:t>;</w:t>
            </w:r>
          </w:p>
        </w:tc>
        <w:tc>
          <w:tcPr>
            <w:tcW w:w="4876" w:type="dxa"/>
            <w:tcBorders>
              <w:top w:val="nil"/>
              <w:left w:val="nil"/>
              <w:bottom w:val="nil"/>
              <w:right w:val="nil"/>
            </w:tcBorders>
          </w:tcPr>
          <w:p>
            <w:pPr>
              <w:pStyle w:val="Normal6a"/>
            </w:pPr>
            <w:r>
              <w:t>21.</w:t>
            </w:r>
            <w:r>
              <w:tab/>
            </w:r>
            <w:r>
              <w:t xml:space="preserve">ist der Ansicht, dass ein wettbewerbsfähiges </w:t>
            </w:r>
            <w:r>
              <w:rPr>
                <w:b/>
                <w:i/>
              </w:rPr>
              <w:t>europäisches</w:t>
            </w:r>
            <w:r>
              <w:t xml:space="preserve"> Ökosystem </w:t>
            </w:r>
            <w:r>
              <w:rPr>
                <w:b/>
                <w:i/>
              </w:rPr>
              <w:t>auf der Stärke der Dynamik aufbauen sollte;</w:t>
            </w:r>
            <w:r>
              <w:t xml:space="preserve"> </w:t>
            </w:r>
            <w:r>
              <w:rPr>
                <w:b/>
                <w:i/>
              </w:rPr>
              <w:t>betont, dass die regulatorische Vielfalt, sofern dabei ein Ausgleich mit Interoperabilität und gemeinsamen Standards besteht</w:t>
            </w:r>
            <w:r>
              <w:t xml:space="preserve">, einen gesunden Wettbewerb zwischen den Mitgliedstaaten fördern und Anreize für </w:t>
            </w:r>
            <w:r>
              <w:rPr>
                <w:b/>
                <w:i/>
              </w:rPr>
              <w:t>Innovation und Investitionen auf nationaler Ebene</w:t>
            </w:r>
            <w:r>
              <w:t xml:space="preserve"> schaffen </w:t>
            </w:r>
            <w:r>
              <w:rPr>
                <w:b/>
                <w:i/>
              </w:rPr>
              <w:t>kann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ist der Ansicht, dass ein wettbewerbsfähiges Ökosystem in der EU aus starken </w:t>
            </w:r>
            <w:r>
              <w:rPr>
                <w:b/>
                <w:i/>
              </w:rPr>
              <w:t>nationalen Märkten</w:t>
            </w:r>
            <w:r>
              <w:t xml:space="preserve"> bestehen muss und dass Unterschiede auf einzelstaatlicher Ebene eine wichtige Rolle spielen, wenn es darum geht, einen gesunden Wettbewerb zwischen den Mitgliedstaaten zu fördern und Anreize für sie zu schaffen, ihre Volkswirtschaften dynamisch und attraktiv zu halten;</w:t>
            </w:r>
          </w:p>
        </w:tc>
        <w:tc>
          <w:tcPr>
            <w:tcW w:w="4876" w:type="dxa"/>
            <w:tcBorders>
              <w:top w:val="nil"/>
              <w:left w:val="nil"/>
              <w:bottom w:val="nil"/>
              <w:right w:val="nil"/>
            </w:tcBorders>
          </w:tcPr>
          <w:p>
            <w:pPr>
              <w:pStyle w:val="Normal6a"/>
            </w:pPr>
            <w:r>
              <w:t>21.</w:t>
            </w:r>
            <w:r>
              <w:tab/>
            </w:r>
            <w:r>
              <w:t xml:space="preserve">ist der Ansicht, dass ein wettbewerbsfähiges Ökosystem in der EU aus </w:t>
            </w:r>
            <w:r>
              <w:rPr>
                <w:b/>
                <w:i/>
              </w:rPr>
              <w:t>einem</w:t>
            </w:r>
            <w:r>
              <w:t xml:space="preserve"> starken </w:t>
            </w:r>
            <w:r>
              <w:rPr>
                <w:b/>
                <w:i/>
              </w:rPr>
              <w:t>Binnenmarkt</w:t>
            </w:r>
            <w:r>
              <w:t xml:space="preserve"> bestehen muss und dass Unterschiede auf einzelstaatlicher Ebene eine wichtige Rolle spielen, wenn es darum geht, einen gesunden Wettbewerb zwischen den Mitgliedstaaten zu fördern und Anreize für sie zu schaffen, ihre Volkswirtschaften dynamisch und attraktiv zu 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begrüßt die Einrichtung des Europäischen Innovationsrats (EIC), mit dem innovative Start-up-Unternehmen und expandierende Jungunternehmen durch Finanzhilfen und Finanzierungsinstrumente unterstützt werden sollen;</w:t>
            </w:r>
            <w:r>
              <w:t xml:space="preserve"> </w:t>
            </w:r>
            <w:r>
              <w:rPr>
                <w:b/>
                <w:i/>
              </w:rPr>
              <w:t>fordert, dass beim EIC-Fonds der geografischen Ausgewogenheit besondere Aufmerksamkeit gewidmet wird;</w:t>
            </w:r>
            <w:r>
              <w:t xml:space="preserve"> </w:t>
            </w:r>
            <w:r>
              <w:rPr>
                <w:b/>
                <w:i/>
              </w:rPr>
              <w:t>begrüßt den Aktionsplan zur Ausweitung des EIC und das übergeordnete Ziel, die Beteiligung der Ausweitungsländer entsprechend der Empfehlung des EIC-Beirates auf einen Anteil von mindestens 15 % der Mittel für alle EIC-Instrumente zu erhöhen;</w:t>
            </w:r>
            <w:r>
              <w:t xml:space="preserve"> </w:t>
            </w:r>
            <w:r>
              <w:rPr>
                <w:b/>
                <w:i/>
              </w:rPr>
              <w:t>fordert die Kommission auf, die vom EIC-Beirat empfohlenen Maßnahmen vollständig umzusetzen, um sicherzustellen, dass der EIC-Fonds tatsächlich in der ganzen EU Wirkung entfaltet;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erkennt die Vorteile steuerlicher Anreize und eines gesunden Steuerwettbewerbs an, insbesondere im Bereich Innovation und neue Technologien;</w:t>
            </w:r>
            <w:r>
              <w:t xml:space="preserve"> </w:t>
            </w:r>
            <w:r>
              <w:rPr>
                <w:b/>
                <w:i/>
              </w:rPr>
              <w:t>betont, dass Steuerwettbewerb sich von schädlichen Steuerpraktiken unterscheidet und auf klaren, transparenten und fairen Regeln beruhen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betont, dass ein europaweites Anlageprodukt für Kleinanleger erforderlich ist, um die Ersparnisse der privaten Haushalte für produktive Investitionen in KMU und expandierende Jungunternehmen zu mobilisieren, und fordert harmonisierte Vorschriften, um grenzüberschreitende Investitionen und die Entwicklung von auf KMU ausgerichteten Wachstumsmärkten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fordert die Kommission auf, die Möglichkeiten für Maßnahmen zu prüfen, mit denen die Beteiligung kleinerer Banken an alternativen Finanzierungsinstrumenten wie Risikokapital- und Private-Equity-Fonds gefördert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betont, dass der Europäische Innovationsrat ein glaubwürdiger Marktakteur sein muss;</w:t>
            </w:r>
            <w:r>
              <w:t xml:space="preserve"> </w:t>
            </w:r>
            <w:r>
              <w:rPr>
                <w:b/>
                <w:i/>
              </w:rPr>
              <w:t>weist darauf hin, dass Investitionen im Rahmen des EIC darauf abzielen sollten, private Investoren anzuziehen, anstatt sie zu verdrängen; fordert angesichts der zunehmenden Aktivitäten des EIC eine klare Strategie für die Verwaltung des EIC-Fonds, auch in Bezug auf die Methoden und Kriterien für die Kapitalallokation und die Bewertung der Leistung der Fondsverwalter;</w:t>
            </w:r>
            <w:r>
              <w:t xml:space="preserve"> </w:t>
            </w:r>
            <w:r>
              <w:rPr>
                <w:b/>
                <w:i/>
              </w:rPr>
              <w:t>würdigt die hochwertige Sorgfaltspflichtsprüfung durch die Europäische Investitionsbank (EIB) und fordert die Kommission nachdrücklich auf, dafür zu sorgen, dass diese Qualität im Einklang mit den Marktstandards aufrechterhalten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bestärkt die EIB-Gruppe, den Europäischen Investitionsfonds und die nationalen Entwicklungsbanken darin, finanzielle Unterstützung für KMU, Start-up-Unternehmen und expandierende Jungunternehmen zu eruieren, auch in neuen Branchen mit viel Potenzial, vor allem im Hinblick auf die Energie- und Klimaresilienz der EU und den digitalen Wandel;</w:t>
            </w:r>
            <w:r>
              <w:t xml:space="preserve"> </w:t>
            </w:r>
            <w:r>
              <w:rPr>
                <w:b/>
                <w:i/>
              </w:rPr>
              <w:t>stellt fest, dass viele Start-up-Unternehmen keine ausreichende Kenntnis von den Angeboten der EIB haben, und hebt hervor, dass eine bessere Kommunikations- und Öffentlichkeitsarbeit seitens der EIB von wesentlicher Bedeutung dabei ist, sicherzustellen, dass Start-up-Unternehmen und expandierende Jungunternehmen aus den Instrumenten und der finanziellen Unterstützung der EIB vollen Nutzen 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21d.</w:t>
            </w:r>
            <w:r>
              <w:tab/>
            </w:r>
            <w:r>
              <w:rPr>
                <w:b/>
                <w:i/>
              </w:rPr>
              <w:t>erkennt insbesondere an, dass die EIB-Gruppe eine entscheidende Rolle bei der Bereitstellung von Finanzinstrumenten und Ressourcen zur Unterstützung von im Bereich der umweltschonenden Technologie tätigen Start-up-Unternehmen, expandierenden Jungunternehmen und KMU in der gesamten Union spielt;</w:t>
            </w:r>
            <w:r>
              <w:t xml:space="preserve"> </w:t>
            </w:r>
            <w:r>
              <w:rPr>
                <w:b/>
                <w:i/>
              </w:rPr>
              <w:t>spricht sich für eine gezielte Unterstützung durch die EIB in Form von Darlehen für KMU, Start-up-Unternehmen und expandierende Jungunternehmen aus, die sich am ökologischen und digitalen Wandel beteiligen, um die Finanzierungslücke bei Investitionen in Infrastruktur und Produktionskapazitäten zu schließen;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21e.</w:t>
            </w:r>
            <w:r>
              <w:tab/>
            </w:r>
            <w:r>
              <w:rPr>
                <w:b/>
                <w:i/>
              </w:rPr>
              <w:t>stellt fest, dass laut dem Deep-Tech Finder des Europäischen Patentamts bereits mehr als 10 % der europäischen Start-up-Unternehmen, die europäische Patente angemeldet haben, in den Genuss einer EIC-Finanzierung gekommen sind;</w:t>
            </w:r>
            <w:r>
              <w:t xml:space="preserve"> </w:t>
            </w:r>
            <w:r>
              <w:rPr>
                <w:b/>
                <w:i/>
              </w:rPr>
              <w:t>ist davon überzeugt, dass das Bewusstsein für die Bedeutung des geistigen Eigentums geschärft werden muss;</w:t>
            </w:r>
            <w:r>
              <w:t xml:space="preserve"> </w:t>
            </w:r>
            <w:r>
              <w:rPr>
                <w:b/>
                <w:i/>
              </w:rPr>
              <w:t>ist der Ansicht, dass die Reform für das einheitliche Patent ein gutes Beispiel ist, mit dem einheitlicher Schutz in allen teilnehmenden Ländern auf der Grundlage einer zentralen Anlaufstelle gewährleistet werden soll, indem der Verwaltungsaufwand verringert und die Kohärenz der Rechtsprechung sichergestellt wird;</w:t>
            </w:r>
            <w:r>
              <w:t xml:space="preserve"> </w:t>
            </w:r>
            <w:r>
              <w:rPr>
                <w:b/>
                <w:i/>
              </w:rPr>
              <w:t>fordert die Mitgliedstaaten, die das Übereinkommen über ein einheitliches Patentgericht noch nicht ratifiziert haben, auf, dies zum Nutzen des Ökosystems für Start-up-Unternehmen zu tun;</w:t>
            </w:r>
            <w:r>
              <w:t xml:space="preserve"> </w:t>
            </w:r>
            <w:r>
              <w:rPr>
                <w:b/>
                <w:i/>
              </w:rPr>
              <w:t>weist darauf hin, dass bislang mehr als 35 % der Anmelder, die ein einheitliches Patent beantragt haben, KMU sind, während der Anteil bei normalen europäischen Patenten bei 20 % liegt;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21f.</w:t>
            </w:r>
            <w:r>
              <w:tab/>
            </w:r>
            <w:r>
              <w:rPr>
                <w:b/>
                <w:i/>
              </w:rPr>
              <w:t>erkennt an, dass das einheitliche Patent, das in allen teilnehmenden Mitgliedstaaten gültig ist, den Anmeldern im Vergleich zum Erwerb mehrerer Einzelpatente eine erhebliche Kostensenkung um etwa 30 % bietet;</w:t>
            </w:r>
            <w:r>
              <w:t xml:space="preserve"> </w:t>
            </w:r>
            <w:r>
              <w:rPr>
                <w:b/>
                <w:i/>
              </w:rPr>
              <w:t>stellt fest, dass die Kosten für die Erlangung des einheitlichen Patents, das für alle 18 teilnehmenden Mitgliedstaaten gültig ist, derzeit ebenso hoch sind wie die Kosten für die Erlangung eines Patents in vier verschiedenen Mitgliedstaaten vor der Einführung des einheitlichen Patents im Jahr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21g.</w:t>
            </w:r>
            <w:r>
              <w:tab/>
            </w:r>
            <w:r>
              <w:rPr>
                <w:b/>
                <w:i/>
              </w:rPr>
              <w:t>ist davon überzeugt, dass die Schaffung von Bedingungen für ein einfaches, klares und Planung ermöglichendes Umfeld für innovative Unternehmen entscheidend dabei ist, sicherzustellen, dass sie im Binnenmarkt wachsen und expandieren können, da sie mit dem möglichen Zugang zu einem breiteren Markt mehr Investoren anziehen können;</w:t>
            </w:r>
            <w:r>
              <w:t xml:space="preserve"> </w:t>
            </w:r>
            <w:r>
              <w:rPr>
                <w:b/>
                <w:i/>
              </w:rPr>
              <w:t>betont die Bedeutung politischer Rahmenbedingungen, die die Zusammenarbeit erleichtern und unterstützen, indem Hürden aufgrund uneinheitlicher nationaler Regelungen beseitigt und die notwendigen Anreize geboten werden, um die aktive Beteiligung aller Akteure im Innovationsökosystem zu fördern;</w:t>
            </w:r>
            <w:r>
              <w:t xml:space="preserve"> </w:t>
            </w:r>
            <w:r>
              <w:rPr>
                <w:b/>
                <w:i/>
              </w:rPr>
              <w:t>fordert Mechanismen zur Minderung der mit der internationalen Expansion verbundenen Risiken, durch die sichergestellt wird, dass Start-up-Unternehmen, expandierende Jungunternehmen und KMU die notwendige Unterstützung und Beratung erhalten, um die mit den globalen Märkten verbundenen Unsicherheiten zu bewältigen;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21g.</w:t>
            </w:r>
            <w:r>
              <w:tab/>
            </w:r>
            <w:r>
              <w:rPr>
                <w:b/>
                <w:i/>
              </w:rPr>
              <w:t>begrüßt die Ernennung eines KMU-Beauftragten der EU;</w:t>
            </w:r>
            <w:r>
              <w:t xml:space="preserve"> </w:t>
            </w:r>
            <w:r>
              <w:rPr>
                <w:b/>
                <w:i/>
              </w:rPr>
              <w:t>betont darüber hinaus, dass dieser Beauftragte eine umfassende Analyse durchführen und regelmäßig Berichte über die Lage europäischer Start-up-Unternehmen und expandierender Jungunternehmen vorlegen muss, in denen auch die Hindernisse und Dilemmata behandelt werden, mit denen diese Unternehmen Tag für Tag konfrontiert sind;</w:t>
            </w:r>
            <w:r>
              <w:t xml:space="preserve"> </w:t>
            </w:r>
            <w:r>
              <w:rPr>
                <w:b/>
                <w:i/>
              </w:rPr>
              <w:t>fordert die Kommission auf, in den einschlägigen Generaldirektionen Anlaufstellen für Start-up-Unternehmen und expandierende Jungunternehmen einzurichten, damit gezielte Strategien besser koordiniert werden können;</w:t>
            </w:r>
            <w:r>
              <w:t xml:space="preserve"> </w:t>
            </w:r>
            <w:r>
              <w:rPr>
                <w:b/>
                <w:i/>
              </w:rPr>
              <w:t>fordert die Kommission auf, im Rahmen des Enterprise Europe Network ein spezielles Netz von Beratern für expandierende Jungunternehmen einzurichten;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i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21g.</w:t>
            </w:r>
            <w:r>
              <w:tab/>
            </w:r>
            <w:r>
              <w:rPr>
                <w:b/>
                <w:i/>
              </w:rPr>
              <w:t>betont, dass es von grundlegender Bedeutung ist, ein inklusives Ökosystem für Start-up-Unternehmen, expandierende Jungunternehmen und KMU zu schaffen, das allen Menschen gleiche Beschäftigungsmöglichkeiten bietet, auch jungen Menschen, etablierten Fachkräften und unterrepräsentierten Gruppen;</w:t>
            </w:r>
            <w:r>
              <w:t xml:space="preserve"> </w:t>
            </w:r>
            <w:r>
              <w:rPr>
                <w:b/>
                <w:i/>
              </w:rPr>
              <w:t>fordert von der Kommission und den Mitgliedstaaten proaktive Initiativen und Strategien zur aktiven Förderung von Inklusion, indem systemimmanente Hindernisse, Voreingenommenheit und Vorurteile angegangen und gleiche Rahmenbedingungen für unterrepräsentierte Gruppen gefördert werden;</w:t>
            </w:r>
            <w:r>
              <w:t xml:space="preserve"> </w:t>
            </w:r>
            <w:r>
              <w:rPr>
                <w:b/>
                <w:i/>
              </w:rPr>
              <w:t>unterstützt die Entwicklung von einschlägigen Mentorenprogrammen, Vernetzungsmöglichkeiten sowie Bildungs- und anderen Initiativen, die speziell auf unterrepräsentierte Gruppen ausgerichtet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21 j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21g.</w:t>
            </w:r>
            <w:r>
              <w:tab/>
            </w:r>
            <w:r>
              <w:rPr>
                <w:b/>
                <w:i/>
              </w:rPr>
              <w:t>empfiehlt die Stärkung regionaler Ökosysteme von Start-up-Unternehmen, die lokale Einrichtungen, Universitäten, Unternehmer, Unternehmen und öffentliche Stellen zusammenbringen, auch über Innovationszentren, Gründerzentren, Acceleratoren und Wagnisträger, um die Stärken und Ressourcen der einzelnen Regionen zu nutzen;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fordert die Kommission nachdrücklich auf, sich im Hinblick auf die Subsidiarität auf günstige Voraussetzungen für Märkte, einschlägige gemeinsame Nenner für die Mitgliedstaaten und freiwillige und ergänzende Rahmen zu konzentrieren;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fordert die Kommission nachdrücklich auf, sich im Hinblick auf die Subsidiarität auf günstige Voraussetzungen für Märkte, einschlägige gemeinsame Nenner für die Mitgliedstaaten und freiwillige und ergänzende Rahmen zu konzentrieren;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fordert die Kommission nachdrücklich auf, sich im Hinblick auf die Subsidiarität auf günstige Voraussetzungen für Märkte, einschlägige gemeinsame Nenner für die Mitgliedstaaten und freiwillige und ergänzende Rahmen zu konzentrieren;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fordert die Kommission nachdrücklich auf, sich im Hinblick auf die Subsidiarität auf günstige Voraussetzungen für Märkte, einschlägige gemeinsame Nenner für die Mitgliedstaaten und freiwillige und ergänzende Rahmen zu konzentrieren;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fordert die Kommission nachdrücklich auf, sich </w:t>
            </w:r>
            <w:r>
              <w:rPr>
                <w:b/>
                <w:i/>
              </w:rPr>
              <w:t>im Hinblick auf die</w:t>
            </w:r>
            <w:r>
              <w:t xml:space="preserve"> Subsidiarität </w:t>
            </w:r>
            <w:r>
              <w:rPr>
                <w:b/>
                <w:i/>
              </w:rPr>
              <w:t>auf</w:t>
            </w:r>
            <w:r>
              <w:t xml:space="preserve"> günstige </w:t>
            </w:r>
            <w:r>
              <w:rPr>
                <w:b/>
                <w:i/>
              </w:rPr>
              <w:t>Voraussetzungen</w:t>
            </w:r>
            <w:r>
              <w:t xml:space="preserve"> für Märkte</w:t>
            </w:r>
            <w:r>
              <w:rPr>
                <w:b/>
                <w:i/>
              </w:rPr>
              <w:t>,</w:t>
            </w:r>
            <w:r>
              <w:t xml:space="preserve"> einschlägige gemeinsame Nenner für die Mitgliedstaaten und freiwillige und ergänzende Rahmen zu konzentrieren;</w:t>
            </w:r>
          </w:p>
        </w:tc>
        <w:tc>
          <w:tcPr>
            <w:tcW w:w="4876" w:type="dxa"/>
            <w:tcBorders>
              <w:top w:val="nil"/>
              <w:left w:val="nil"/>
              <w:bottom w:val="nil"/>
              <w:right w:val="nil"/>
            </w:tcBorders>
          </w:tcPr>
          <w:p>
            <w:pPr>
              <w:pStyle w:val="Normal6a"/>
            </w:pPr>
            <w:r>
              <w:t>22.</w:t>
            </w:r>
            <w:r>
              <w:tab/>
            </w:r>
            <w:r>
              <w:t xml:space="preserve">fordert die Kommission nachdrücklich auf, sich </w:t>
            </w:r>
            <w:r>
              <w:rPr>
                <w:b/>
                <w:i/>
              </w:rPr>
              <w:t>unter Beachtung der</w:t>
            </w:r>
            <w:r>
              <w:t xml:space="preserve"> Subsidiarität </w:t>
            </w:r>
            <w:r>
              <w:rPr>
                <w:b/>
                <w:i/>
              </w:rPr>
              <w:t>und des Grundsatzes der Selbstbeschränkung auf den Abbau von Hindernissen im Binnenmarkt,</w:t>
            </w:r>
            <w:r>
              <w:t xml:space="preserve"> günstige </w:t>
            </w:r>
            <w:r>
              <w:rPr>
                <w:b/>
                <w:i/>
              </w:rPr>
              <w:t>harmonisierte Rahmenbedingungen</w:t>
            </w:r>
            <w:r>
              <w:t xml:space="preserve"> für Märkte </w:t>
            </w:r>
            <w:r>
              <w:rPr>
                <w:b/>
                <w:i/>
              </w:rPr>
              <w:t>und</w:t>
            </w:r>
            <w:r>
              <w:t xml:space="preserve"> einschlägige gemeinsame Nenner für die Mitgliedstaaten und freiwillige und ergänzende Rahmen zu konzentrieren;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fordert die Kommission nachdrücklich auf, sich </w:t>
            </w:r>
            <w:r>
              <w:rPr>
                <w:b/>
                <w:i/>
              </w:rPr>
              <w:t>im Hinblick auf die Subsidiarität</w:t>
            </w:r>
            <w:r>
              <w:t xml:space="preserve"> auf günstige Voraussetzungen für Märkte, einschlägige gemeinsame Nenner für die Mitgliedstaaten und freiwillige und ergänzende Rahmen zu konzentrieren;</w:t>
            </w:r>
          </w:p>
        </w:tc>
        <w:tc>
          <w:tcPr>
            <w:tcW w:w="4876" w:type="dxa"/>
            <w:tcBorders>
              <w:top w:val="nil"/>
              <w:left w:val="nil"/>
              <w:bottom w:val="nil"/>
              <w:right w:val="nil"/>
            </w:tcBorders>
          </w:tcPr>
          <w:p>
            <w:pPr>
              <w:pStyle w:val="Normal6a"/>
            </w:pPr>
            <w:r>
              <w:t>22.</w:t>
            </w:r>
            <w:r>
              <w:tab/>
            </w:r>
            <w:r>
              <w:t xml:space="preserve">fordert die Kommission nachdrücklich auf, sich </w:t>
            </w:r>
            <w:r>
              <w:rPr>
                <w:b/>
                <w:i/>
              </w:rPr>
              <w:t>zusätzlich zu ihren Initiativen zur Entwicklung der Spar- und Investitionsunion</w:t>
            </w:r>
            <w:r>
              <w:t xml:space="preserve"> auf günstige Voraussetzungen für Märkte, einschlägige gemeinsame Nenner für die Mitgliedstaaten und freiwillige und ergänzende Rahmen zu konzentrieren;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fordert die Kommission nachdrücklich auf, sich </w:t>
            </w:r>
            <w:r>
              <w:rPr>
                <w:b/>
                <w:i/>
              </w:rPr>
              <w:t>im Hinblick auf die Subsidiarität</w:t>
            </w:r>
            <w:r>
              <w:t xml:space="preserve"> auf günstige Voraussetzungen für Märkte, einschlägige gemeinsame Nenner für die Mitgliedstaaten und freiwillige und ergänzende Rahmen zu konzentrieren;</w:t>
            </w:r>
          </w:p>
        </w:tc>
        <w:tc>
          <w:tcPr>
            <w:tcW w:w="4876" w:type="dxa"/>
            <w:tcBorders>
              <w:top w:val="nil"/>
              <w:left w:val="nil"/>
              <w:bottom w:val="nil"/>
              <w:right w:val="nil"/>
            </w:tcBorders>
          </w:tcPr>
          <w:p>
            <w:pPr>
              <w:pStyle w:val="Normal6a"/>
            </w:pPr>
            <w:r>
              <w:t>22.</w:t>
            </w:r>
            <w:r>
              <w:tab/>
            </w:r>
            <w:r>
              <w:t>fordert die Kommission nachdrücklich auf, sich auf günstige Voraussetzungen für Märkte, einschlägige gemeinsame Nenner für die Mitgliedstaaten und freiwillige und ergänzende Rahmen zu konzentrieren;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fordert nachdrücklich die Annahme einer umfassenden und strukturierten Strategie auf Unionsebene zur Unterstützung kleiner und mittlerer Unternehmen in Inselgebieten, Binnengebieten, Gebieten in äußerster Randlage, wirtschaftlich benachteiligten Gebieten und in allen Teilen der Union, die unter dauerhaften natürlichen Nachteilen wie Insellage und Randlage leiden;</w:t>
            </w:r>
            <w:r>
              <w:t xml:space="preserve"> </w:t>
            </w:r>
            <w:r>
              <w:rPr>
                <w:b/>
                <w:i/>
              </w:rPr>
              <w:t>betont, dass für mehr regulatorische Flexibilität und weniger Bürokratie für Unternehmen, die in diesen Gebieten tätig sind, gesorgt werden muss, wobei ein besonderer Schwerpunkt auf Inseln und den anfälligsten Gebieten der EU liegen sollte;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fordert die Kommission auf, gezielte Finanzierungsinstrumente zu entwickeln und umzusetzen, die auf die Bedürfnisse kleinerer Volkswirtschaften und Unternehmen zugeschnitten sind und einen gleichberechtigten Zugang zu Finanzierungsmöglichkeiten sicherstellen;</w:t>
            </w:r>
            <w:r>
              <w:t xml:space="preserve"> </w:t>
            </w:r>
            <w:r>
              <w:rPr>
                <w:b/>
                <w:i/>
              </w:rPr>
              <w:t>betont, dass solche Initiativen darauf abzielen sollten, Innovationen anzuregen, ein nachhaltiges Wirtschaftswachstum zu unterstützen und Unterschiede bei den Investitionen in der gesamten Union zu verringern, um so zur allgemeinen Wettbewerbsfähigkeit und zur Widerstandsfähigkeit der europäischen Wirtschaft beizutragen;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spricht sich für die Beibehaltung harmonisierter Durchsetzungsmechanismen und Mindeststandards für Sanktionen in allen Mitgliedstaaten aus, um für Rechtssicherheit für KMU zu sorgen, die grenzüberschreitend im Binnenmarkt tätig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fordert den Abbau von Hindernissen für grenzüberschreitende Investitionen und die Stärkung der Kapitalmarktunion, um den Zugang von KMU zu Aktien- und Kreditmärkten zu erleichtern;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fordert die Kommission auf, klarzustellen, worin das 28. Rechtssystem bestehen wird, und erinnert daran, dass es freiwillig sein und die Regelungen der Mitgliedstaaten uneingeschränkt achten muss;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fordert die Kommission auf, klarzustellen, worin das 28. Rechtssystem bestehen wird, und erinnert daran, dass es freiwillig sein und die Regelungen der Mitgliedstaaten uneingeschränkt achten muss;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fordert die Kommission auf, klarzustellen, worin das 28. Rechtssystem bestehen wird</w:t>
            </w:r>
            <w:r>
              <w:t xml:space="preserve">, </w:t>
            </w:r>
            <w:r>
              <w:rPr>
                <w:b/>
                <w:i/>
              </w:rPr>
              <w:t>und erinnert daran, dass es freiwillig sein und die Regelungen der Mitgliedstaaten uneingeschränkt achten muss</w:t>
            </w:r>
            <w:r>
              <w:t>;</w:t>
            </w:r>
          </w:p>
        </w:tc>
        <w:tc>
          <w:tcPr>
            <w:tcW w:w="4876" w:type="dxa"/>
            <w:tcBorders>
              <w:top w:val="nil"/>
              <w:left w:val="nil"/>
              <w:bottom w:val="nil"/>
              <w:right w:val="nil"/>
            </w:tcBorders>
          </w:tcPr>
          <w:p>
            <w:pPr>
              <w:pStyle w:val="Normal6a"/>
            </w:pPr>
            <w:r>
              <w:t>23.</w:t>
            </w:r>
            <w:r>
              <w:tab/>
            </w:r>
            <w:r>
              <w:rPr>
                <w:b/>
                <w:i/>
              </w:rPr>
              <w:t>begrüßt den Letta-Bericht und den darin enthaltenen Verweis auf ein freiwilliges 28. System, bei dem der Schwerpunkt darauf liegen soll</w:t>
            </w:r>
            <w:r>
              <w:t xml:space="preserve">, </w:t>
            </w:r>
            <w:r>
              <w:rPr>
                <w:b/>
                <w:i/>
              </w:rPr>
              <w:t>innovative Start-up-Unternehmen in die Europäische Union zu locken und dort zu halten;</w:t>
            </w:r>
            <w:r>
              <w:t xml:space="preserve"> </w:t>
            </w:r>
            <w:r>
              <w:rPr>
                <w:b/>
                <w:i/>
              </w:rPr>
              <w:t>betont, dass bei einer solchen Regelung der Grundsatz der Subsidiarität geachtet werden sollte und dieser zudem die Befolgungskosten senken, grenzüberschreitende Investitionen fördern und Steuervorschriften umfassen sollte, die attraktiv und einfach sind, Verzerrungen minimieren und gleichzeitig sicherstellen, dass die Bekämpfung der Steuerhinterziehung fortgesetzt werden kann</w:t>
            </w:r>
            <w:r>
              <w:t xml:space="preserve">; </w:t>
            </w:r>
            <w:r>
              <w:rPr>
                <w:b/>
                <w:i/>
              </w:rPr>
              <w:t>betont, dass die Einhaltung dieser Grundsätze von entscheidender Bedeutung dabei ist, die EU zu einem führenden Zentrum für Investitionen und Innovationen zu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fordert die Kommission auf, klarzustellen, worin das 28. Rechtssystem bestehen wird</w:t>
            </w:r>
            <w:r>
              <w:rPr>
                <w:b/>
                <w:i/>
              </w:rPr>
              <w:t>, und erinnert daran</w:t>
            </w:r>
            <w:r>
              <w:t xml:space="preserve">, dass es </w:t>
            </w:r>
            <w:r>
              <w:rPr>
                <w:b/>
                <w:i/>
              </w:rPr>
              <w:t>freiwillig sein und die Regelungen der</w:t>
            </w:r>
            <w:r>
              <w:t xml:space="preserve"> Mitgliedstaaten </w:t>
            </w:r>
            <w:r>
              <w:rPr>
                <w:b/>
                <w:i/>
              </w:rPr>
              <w:t>uneingeschränkt achten muss</w:t>
            </w:r>
            <w:r>
              <w:t>;</w:t>
            </w:r>
          </w:p>
        </w:tc>
        <w:tc>
          <w:tcPr>
            <w:tcW w:w="4876" w:type="dxa"/>
            <w:tcBorders>
              <w:top w:val="nil"/>
              <w:left w:val="nil"/>
              <w:bottom w:val="nil"/>
              <w:right w:val="nil"/>
            </w:tcBorders>
          </w:tcPr>
          <w:p>
            <w:pPr>
              <w:pStyle w:val="Normal6a"/>
            </w:pPr>
            <w:r>
              <w:t>23.</w:t>
            </w:r>
            <w:r>
              <w:tab/>
            </w:r>
            <w:r>
              <w:t xml:space="preserve">fordert die Kommission auf, klarzustellen, worin das 28. Rechtssystem bestehen wird </w:t>
            </w:r>
            <w:r>
              <w:rPr>
                <w:b/>
                <w:i/>
              </w:rPr>
              <w:t>und die mögliche Einführung des Systems und seine möglichen Auswirkungen zu bewerten;</w:t>
            </w:r>
            <w:r>
              <w:t xml:space="preserve"> </w:t>
            </w:r>
            <w:r>
              <w:rPr>
                <w:b/>
                <w:i/>
              </w:rPr>
              <w:t>ist der Ansicht, dass die Kommission sich nicht zeitlich unbeschränkt um einen Ansatz der EU-27 für die Spar- und Investitionsunion bemühen sollte, da diese für die Wettbewerbsfähigkeit der EU zu wichtig ist, um sie aufzuschieben;</w:t>
            </w:r>
            <w:r>
              <w:t xml:space="preserve"> </w:t>
            </w:r>
            <w:r>
              <w:rPr>
                <w:b/>
                <w:i/>
              </w:rPr>
              <w:t>betont</w:t>
            </w:r>
            <w:r>
              <w:t xml:space="preserve">, dass es </w:t>
            </w:r>
            <w:r>
              <w:rPr>
                <w:b/>
                <w:i/>
              </w:rPr>
              <w:t>möglich sein sollte, die Spar- und Investitionsunion mit einer kleineren Gruppe von</w:t>
            </w:r>
            <w:r>
              <w:t xml:space="preserve"> Mitgliedstaaten </w:t>
            </w:r>
            <w:r>
              <w:rPr>
                <w:b/>
                <w:i/>
              </w:rPr>
              <w:t>oder einer Koalition der willigen Staaten voranzubringen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fordert die Kommission auf, klarzustellen, worin das 28. Rechtssystem bestehen wird, und erinnert daran, dass es freiwillig sein und die Regelungen der Mitgliedstaaten uneingeschränkt achten muss;</w:t>
            </w:r>
          </w:p>
        </w:tc>
        <w:tc>
          <w:tcPr>
            <w:tcW w:w="4876" w:type="dxa"/>
            <w:tcBorders>
              <w:top w:val="nil"/>
              <w:left w:val="nil"/>
              <w:bottom w:val="nil"/>
              <w:right w:val="nil"/>
            </w:tcBorders>
          </w:tcPr>
          <w:p>
            <w:pPr>
              <w:pStyle w:val="Normal6a"/>
            </w:pPr>
            <w:r>
              <w:t>23.</w:t>
            </w:r>
            <w:r>
              <w:tab/>
            </w:r>
            <w:r>
              <w:t xml:space="preserve">fordert die Kommission auf, klarzustellen, worin das 28. Rechtssystem bestehen wird, und erinnert daran, dass es freiwillig sein und die Regelungen der Mitgliedstaaten uneingeschränkt achten muss; </w:t>
            </w:r>
            <w:r>
              <w:rPr>
                <w:b/>
                <w:i/>
              </w:rPr>
              <w:t>weist in diesem Zusammenhang darauf hin, dass der Privatsektor für die Entwicklung von entscheidender Bedeutung ist und dass es daher eine Priorität sein sollte, auf seine Bedürfnisse zu hören, damit keine größeren Belastungen oder Rechtsunsicherheit entstehen;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die Kommission auf, klarzustellen, worin das 28. Rechtssystem bestehen wird, und </w:t>
            </w:r>
            <w:r>
              <w:rPr>
                <w:b/>
                <w:i/>
              </w:rPr>
              <w:t>erinnert daran, dass es freiwillig sein und die Regelungen der Mitgliedstaaten uneingeschränkt achten muss</w:t>
            </w:r>
            <w:r>
              <w:t>;</w:t>
            </w:r>
          </w:p>
        </w:tc>
        <w:tc>
          <w:tcPr>
            <w:tcW w:w="4876" w:type="dxa"/>
            <w:tcBorders>
              <w:top w:val="nil"/>
              <w:left w:val="nil"/>
              <w:bottom w:val="nil"/>
              <w:right w:val="nil"/>
            </w:tcBorders>
          </w:tcPr>
          <w:p>
            <w:pPr>
              <w:pStyle w:val="Normal6a"/>
            </w:pPr>
            <w:r>
              <w:t>23.</w:t>
            </w:r>
            <w:r>
              <w:tab/>
            </w:r>
            <w:r>
              <w:t xml:space="preserve">fordert die Kommission auf, klarzustellen, worin das 28. Rechtssystem bestehen wird, und </w:t>
            </w:r>
            <w:r>
              <w:rPr>
                <w:b/>
                <w:i/>
              </w:rPr>
              <w:t>den Mehrwert zu präzisieren, den es für die Schaffung eines stärker harmonisierten und attraktiveren KMU-Finanzökosystems für europäische und ausländische Kapitalinvestitionen erbringen kann</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die Kommission auf, </w:t>
            </w:r>
            <w:r>
              <w:rPr>
                <w:b/>
                <w:i/>
              </w:rPr>
              <w:t>klarzustellen, worin</w:t>
            </w:r>
            <w:r>
              <w:t xml:space="preserve"> das 28. Rechtssystem </w:t>
            </w:r>
            <w:r>
              <w:rPr>
                <w:b/>
                <w:i/>
              </w:rPr>
              <w:t>bestehen wird, und erinnert daran, dass es freiwillig sein und die Regelungen der Mitgliedstaaten uneingeschränkt achten muss</w:t>
            </w:r>
            <w:r>
              <w:t>;</w:t>
            </w:r>
          </w:p>
        </w:tc>
        <w:tc>
          <w:tcPr>
            <w:tcW w:w="4876" w:type="dxa"/>
            <w:tcBorders>
              <w:top w:val="nil"/>
              <w:left w:val="nil"/>
              <w:bottom w:val="nil"/>
              <w:right w:val="nil"/>
            </w:tcBorders>
          </w:tcPr>
          <w:p>
            <w:pPr>
              <w:pStyle w:val="Normal6a"/>
            </w:pPr>
            <w:r>
              <w:t>23.</w:t>
            </w:r>
            <w:r>
              <w:tab/>
            </w:r>
            <w:r>
              <w:t xml:space="preserve">fordert die Kommission auf, </w:t>
            </w:r>
            <w:r>
              <w:rPr>
                <w:b/>
                <w:i/>
              </w:rPr>
              <w:t>einen ambitionierten Vorschlag für</w:t>
            </w:r>
            <w:r>
              <w:t xml:space="preserve"> das 28. Rechtssystem </w:t>
            </w:r>
            <w:r>
              <w:rPr>
                <w:b/>
                <w:i/>
              </w:rPr>
              <w:t>anzunehmen, um Start-up-Unternehmen dabei zu unterstützen, europäische Vorreiter im Technologiebereich zu werden und ihre globale Wettbewerbsfähigkeit zu stärken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die Kommission auf, klarzustellen, worin das 28. Rechtssystem bestehen </w:t>
            </w:r>
            <w:r>
              <w:rPr>
                <w:b/>
                <w:i/>
              </w:rPr>
              <w:t>wird, und erinnert daran, dass es freiwillig sein und die Regelungen der Mitgliedstaaten uneingeschränkt achten muss</w:t>
            </w:r>
            <w:r>
              <w:t>;</w:t>
            </w:r>
          </w:p>
        </w:tc>
        <w:tc>
          <w:tcPr>
            <w:tcW w:w="4876" w:type="dxa"/>
            <w:tcBorders>
              <w:top w:val="nil"/>
              <w:left w:val="nil"/>
              <w:bottom w:val="nil"/>
              <w:right w:val="nil"/>
            </w:tcBorders>
          </w:tcPr>
          <w:p>
            <w:pPr>
              <w:pStyle w:val="Normal6a"/>
            </w:pPr>
            <w:r>
              <w:t>23.</w:t>
            </w:r>
            <w:r>
              <w:tab/>
            </w:r>
            <w:r>
              <w:t xml:space="preserve">fordert die Kommission auf, klarzustellen, worin das 28. Rechtssystem bestehen </w:t>
            </w:r>
            <w:r>
              <w:rPr>
                <w:b/>
                <w:i/>
              </w:rPr>
              <w:t>könnte, und warnt vor der Gefahr einer Fragmentierung, die es mit sich bringen könnte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fordert die Kommission auf, klarzustellen, worin das 28. Rechtssystem bestehen wird, und erinnert daran, dass es </w:t>
            </w:r>
            <w:r>
              <w:rPr>
                <w:b/>
                <w:i/>
              </w:rPr>
              <w:t>freiwillig sein und die Regelungen der Mitgliedstaaten uneingeschränkt achten</w:t>
            </w:r>
            <w:r>
              <w:t xml:space="preserve"> muss;</w:t>
            </w:r>
          </w:p>
        </w:tc>
        <w:tc>
          <w:tcPr>
            <w:tcW w:w="4876" w:type="dxa"/>
            <w:tcBorders>
              <w:top w:val="nil"/>
              <w:left w:val="nil"/>
              <w:bottom w:val="nil"/>
              <w:right w:val="nil"/>
            </w:tcBorders>
          </w:tcPr>
          <w:p>
            <w:pPr>
              <w:pStyle w:val="Normal6a"/>
            </w:pPr>
            <w:r>
              <w:t>23.</w:t>
            </w:r>
            <w:r>
              <w:tab/>
            </w:r>
            <w:r>
              <w:t xml:space="preserve">fordert die Kommission auf, klarzustellen, worin das 28. Rechtssystem bestehen wird, und erinnert daran, dass es </w:t>
            </w:r>
            <w:r>
              <w:rPr>
                <w:b/>
                <w:i/>
              </w:rPr>
              <w:t>einen eindeutigen Mehrwert auf europäischer Ebene haben</w:t>
            </w:r>
            <w:r>
              <w:t xml:space="preserve"> muss;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hebt hervor, dass der Europäischen Investitionsbank (EIB) bei der Entwicklung der Risikokapitalmärkte in der EU eine entscheidende Rolle zukommt;</w:t>
            </w:r>
            <w:r>
              <w:t xml:space="preserve"> </w:t>
            </w:r>
            <w:r>
              <w:rPr>
                <w:b/>
                <w:i/>
              </w:rPr>
              <w:t>fordert die Kommission und die EIB-Gruppe auf, Maßnahmen zu ergreifen, um die Beteiligung institutioneller Investoren an Risikokapital zu fördern, indem sie ihnen helfen, Fachwissen im Bereich Risikokapital aufzubauen;</w:t>
            </w:r>
            <w:r>
              <w:t xml:space="preserve"> </w:t>
            </w:r>
            <w:r>
              <w:rPr>
                <w:b/>
                <w:i/>
              </w:rPr>
              <w:t>fordert die EIB-Gruppe daher auf, ein europäisches Technologieforum einzurichten, in dem das gesamte Risikokapital-Ökosystem zusammengeführt wird, um die Öffentlichkeitsarbeit und die Zusammenarbeit mit institutionellen Investoren nach dem Vorbild der „Tibi“-Initiative zu verbessern;</w:t>
            </w:r>
            <w:r>
              <w:t xml:space="preserve"> </w:t>
            </w:r>
            <w:r>
              <w:rPr>
                <w:b/>
                <w:i/>
              </w:rPr>
              <w:t>fordert die EIB auf, solchen Anlegern die Möglichkeit zu bieten, sich für ein Ko-Investitionssystem zwischen dem Europäischen Investitionsfonds (EIF) und institutionellen Anlegern zu transparenten und im Voraus vereinbarten Bedingungen zu entscheiden;</w:t>
            </w:r>
            <w:r>
              <w:t xml:space="preserve"> </w:t>
            </w:r>
            <w:r>
              <w:rPr>
                <w:b/>
                <w:i/>
              </w:rPr>
              <w:t>hebt hervor, dass eine bessere Kommunikations- und Öffentlichkeitsarbeit seitens der EIB von wesentlicher Bedeutung dabei ist, sicherzustellen, dass Start-up-Unternehmen und expandierende Jungunternehmen aus den Instrumenten und der finanziellen Unterstützung der EIB vollen Nutzen 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fordert die Kommission auf, die nationalen Vorschriften über die Vermarktung von Risikokapitalfonds und den Anlegerschutz zu straffen;</w:t>
            </w:r>
            <w:r>
              <w:t xml:space="preserve"> </w:t>
            </w:r>
            <w:r>
              <w:rPr>
                <w:b/>
                <w:i/>
              </w:rPr>
              <w:t>erkennt an, dass die nationalen Rechtsvorschriften und Verfahren schwer zu ändern sind;</w:t>
            </w:r>
            <w:r>
              <w:t xml:space="preserve"> </w:t>
            </w:r>
            <w:r>
              <w:rPr>
                <w:b/>
                <w:i/>
              </w:rPr>
              <w:t>schlägt vor, das künftige 28. Rechtssystem zu nutzen, um darin einen gesamteuropäischen Risikokapitalrahmen zu integrieren;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fordert die Kommission auf, mit Unterstützung der Behörden der Mitgliedstaaten Geschäftsleitlinien für KMU und expandierende Jungunternehmen zu entwickeln, um ihnen dabei zu helfen, sich in unterschiedlichen Rechtssystemen in der EU in Bereichen wie Gesellschaftsrecht, Arbeitsrecht, Insolvenzrecht, Steuerrecht, Rechte des geistigen Eigentums und nationale Finanzierungsmöglichkeiten zurechtzufinden;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fordert die Kommission auf, mit Unterstützung der Behörden der Mitgliedstaaten Geschäftsleitlinien für KMU und expandierende Jungunternehmen zu entwickeln, um ihnen dabei zu helfen, sich in unterschiedlichen Rechtssystemen in der EU in Bereichen wie Gesellschaftsrecht, Arbeitsrecht, Insolvenzrecht, Steuerrecht, Rechte des geistigen Eigentums und nationale Finanzierungsmöglichkeiten zurechtzufinden;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fordert die Kommission auf, mit Unterstützung der Behörden der Mitgliedstaaten Geschäftsleitlinien für KMU und expandierende Jungunternehmen zu entwickeln, um ihnen dabei zu helfen, sich in unterschiedlichen Rechtssystemen in der EU in Bereichen wie Gesellschaftsrecht, Arbeitsrecht, Insolvenzrecht, Steuerrecht, Rechte des geistigen Eigentums und nationale Finanzierungsmöglichkeiten zurechtzufinden;</w:t>
            </w:r>
          </w:p>
        </w:tc>
        <w:tc>
          <w:tcPr>
            <w:tcW w:w="4876" w:type="dxa"/>
            <w:tcBorders>
              <w:top w:val="nil"/>
              <w:left w:val="nil"/>
              <w:bottom w:val="nil"/>
              <w:right w:val="nil"/>
            </w:tcBorders>
          </w:tcPr>
          <w:p>
            <w:pPr>
              <w:pStyle w:val="Normal6a"/>
            </w:pPr>
            <w:r>
              <w:t>24.</w:t>
            </w:r>
            <w:r>
              <w:tab/>
            </w:r>
            <w:r>
              <w:t>fordert die Kommission auf, mit Unterstützung der Behörden der Mitgliedstaaten Geschäftsleitlinien für KMU und expandierende Jungunternehmen zu entwickeln, um ihnen dabei zu helfen, sich in unterschiedlichen Rechtssystemen in der EU in Bereichen wie Gesellschaftsrecht, Arbeitsrecht, Insolvenzrecht, Steuerrecht, Rechte des geistigen Eigentums und nationale Finanzierungsmöglichkeiten zurechtzufinden</w:t>
            </w:r>
            <w:r>
              <w:rPr>
                <w:b/>
                <w:i/>
              </w:rPr>
              <w:t>, während die Konvergenz bezüglich der derzeitigen Fragmentierung des Insolvenzrechts unter den Mitgliedstaaten auf EU-Ebene noch aussteht</w:t>
            </w:r>
            <w:r>
              <w:t xml:space="preserve">; </w:t>
            </w:r>
            <w:r>
              <w:rPr>
                <w:b/>
                <w:i/>
              </w:rPr>
              <w:t>fordert die Kommission auf, dieses erhebliche Problem, das auch im Draghi-Bericht und im Letta-Bericht hervorgehoben wird, dringend anzugehen, und unterstreicht die wichtige Rolle, die dies bei der Schaffung einer Spar- und Investitionsunion spielen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fordert die Kommission auf, mit Unterstützung der Behörden der Mitgliedstaaten Geschäftsleitlinien für KMU und expandierende Jungunternehmen zu entwickeln, um ihnen dabei zu helfen, sich in unterschiedlichen Rechtssystemen in der EU in Bereichen wie Gesellschaftsrecht, Arbeitsrecht, Insolvenzrecht, Steuerrecht, Rechte des geistigen Eigentums und nationale Finanzierungsmöglichkeiten zurechtzufinden;</w:t>
            </w:r>
          </w:p>
        </w:tc>
        <w:tc>
          <w:tcPr>
            <w:tcW w:w="4876" w:type="dxa"/>
            <w:tcBorders>
              <w:top w:val="nil"/>
              <w:left w:val="nil"/>
              <w:bottom w:val="nil"/>
              <w:right w:val="nil"/>
            </w:tcBorders>
          </w:tcPr>
          <w:p>
            <w:pPr>
              <w:pStyle w:val="Normal6a"/>
            </w:pPr>
            <w:r>
              <w:t>24.</w:t>
            </w:r>
            <w:r>
              <w:tab/>
            </w:r>
            <w:r>
              <w:t xml:space="preserve">fordert die Kommission auf, mit Unterstützung der Behörden der Mitgliedstaaten Geschäftsleitlinien für KMU und expandierende Jungunternehmen zu entwickeln, um ihnen dabei zu helfen, sich in unterschiedlichen Rechtssystemen in der EU in Bereichen wie Gesellschaftsrecht, Arbeitsrecht, Insolvenzrecht, Steuerrecht, Rechte des geistigen Eigentums und nationale Finanzierungsmöglichkeiten zurechtzufinden; </w:t>
            </w:r>
            <w:r>
              <w:rPr>
                <w:b/>
                <w:i/>
              </w:rPr>
              <w:t>fordert verstärkte Unterstützung zur Stärkung der digitalen, finanziellen und nachhaltigkeitsbezogenen Kapazitäten von KMU, unter anderem durch Beratungszentren, vereinfachte Beratungsinstrumente, Online-Navigationsplattformen und grenzüberschreitende Schulungsprogramme;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fordert die Kommission auf, mit Unterstützung der Behörden der Mitgliedstaaten Geschäftsleitlinien für KMU und expandierende Jungunternehmen zu entwickeln, um ihnen dabei zu helfen, sich in unterschiedlichen Rechtssystemen in der EU in Bereichen wie Gesellschaftsrecht, Arbeitsrecht, Insolvenzrecht, Steuerrecht, Rechte des geistigen Eigentums und nationale Finanzierungsmöglichkeiten zurechtzufinden;</w:t>
            </w:r>
          </w:p>
        </w:tc>
        <w:tc>
          <w:tcPr>
            <w:tcW w:w="4876" w:type="dxa"/>
            <w:tcBorders>
              <w:top w:val="nil"/>
              <w:left w:val="nil"/>
              <w:bottom w:val="nil"/>
              <w:right w:val="nil"/>
            </w:tcBorders>
          </w:tcPr>
          <w:p>
            <w:pPr>
              <w:pStyle w:val="Normal6a"/>
            </w:pPr>
            <w:r>
              <w:t>24.</w:t>
            </w:r>
            <w:r>
              <w:tab/>
            </w:r>
            <w:r>
              <w:t xml:space="preserve">fordert die Kommission auf, mit Unterstützung der Behörden der Mitgliedstaaten Geschäftsleitlinien für KMU und expandierende Jungunternehmen zu entwickeln </w:t>
            </w:r>
            <w:r>
              <w:rPr>
                <w:b/>
                <w:i/>
              </w:rPr>
              <w:t>und zentrale Anlaufstellen für diese Unternehmen aufzubauen</w:t>
            </w:r>
            <w:r>
              <w:t>, um ihnen dabei zu helfen, sich in unterschiedlichen Rechtssystemen in der EU in Bereichen wie Gesellschaftsrecht, Arbeitsrecht, Insolvenzrecht, Steuerrecht, Rechte des geistigen Eigentums und nationale Finanzierungsmöglichkeiten zurechtzufinden;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fordert die Kommission auf, </w:t>
            </w:r>
            <w:r>
              <w:rPr>
                <w:b/>
                <w:i/>
              </w:rPr>
              <w:t>mit Unterstützung der Behörden der Mitgliedstaaten Geschäftsleitlinien für KMU und expandierende Jungunternehmen zu entwickeln, um ihnen dabei zu helfen, sich in unterschiedlichen Rechtssystemen in der EU in Bereichen wie Gesellschaftsrecht, Arbeitsrecht, Insolvenzrecht, Steuerrecht,</w:t>
            </w:r>
            <w:r>
              <w:t xml:space="preserve"> Rechte des geistigen Eigentums </w:t>
            </w:r>
            <w:r>
              <w:rPr>
                <w:b/>
                <w:i/>
              </w:rPr>
              <w:t>und nationale Finanzierungsmöglichkeiten zurechtzufinden</w:t>
            </w:r>
            <w:r>
              <w:t>;</w:t>
            </w:r>
          </w:p>
        </w:tc>
        <w:tc>
          <w:tcPr>
            <w:tcW w:w="4876" w:type="dxa"/>
            <w:tcBorders>
              <w:top w:val="nil"/>
              <w:left w:val="nil"/>
              <w:bottom w:val="nil"/>
              <w:right w:val="nil"/>
            </w:tcBorders>
          </w:tcPr>
          <w:p>
            <w:pPr>
              <w:pStyle w:val="Normal6a"/>
            </w:pPr>
            <w:r>
              <w:t>24.</w:t>
            </w:r>
            <w:r>
              <w:tab/>
            </w:r>
            <w:r>
              <w:t xml:space="preserve">fordert die Kommission auf, </w:t>
            </w:r>
            <w:r>
              <w:rPr>
                <w:b/>
                <w:i/>
              </w:rPr>
              <w:t>relevante Aspekte des Gesellschaftsrechts, des Insolvenzrechts und der</w:t>
            </w:r>
            <w:r>
              <w:t xml:space="preserve"> Rechte des geistigen Eigentums </w:t>
            </w:r>
            <w:r>
              <w:rPr>
                <w:b/>
                <w:i/>
              </w:rPr>
              <w:t>der Mitgliedstaaten zu ermitteln, die mittelfristig auf umsetzbare Weise besser aufeinander abgestimmt werden könnten und einen eindeutigen zusätzlichen Nutzen in Bezug auf die Wettbewerbsfähigkeit hätten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empfiehlt, dass der Europäische Investitionsfonds (EIF) detaillierte Daten über die Erträge und andere wichtige Statistiken über die vom EIF unterstützten Fonds anonymisiert veröffentlicht;</w:t>
            </w:r>
            <w:r>
              <w:t xml:space="preserve"> </w:t>
            </w:r>
            <w:r>
              <w:rPr>
                <w:b/>
                <w:i/>
              </w:rPr>
              <w:t>fordert eine Aufstockung der Haushaltsmittel des EIF, um das Risikokapital-Ökosystem der EU im Einklang mit der Empfehlung des Draghi-Berichts zu verbessern;</w:t>
            </w:r>
            <w:r>
              <w:t xml:space="preserve"> </w:t>
            </w:r>
            <w:r>
              <w:rPr>
                <w:b/>
                <w:i/>
              </w:rPr>
              <w:t>fordert den EIF auf, den Anteil seiner Investitionen, die sich positiv auf die Umwelt auswirken, zu erhöhen und strenge Nachhaltigkeitsbedingungen festzulegen und durchzusetzen;</w:t>
            </w:r>
            <w:r>
              <w:t xml:space="preserve"> </w:t>
            </w:r>
            <w:r>
              <w:rPr>
                <w:b/>
                <w:i/>
              </w:rPr>
              <w:t>fordert den EIF auf, mit gutem Beispiel voranzugehen und von seinen Finanzintermediären zu verlangen, dass sie überprüfen und verifizieren, dass die Menschenrechte in ihren Lieferketten durchgehend geachtet werden;</w:t>
            </w:r>
            <w:r>
              <w:t xml:space="preserve"> </w:t>
            </w:r>
            <w:r>
              <w:rPr>
                <w:b/>
                <w:i/>
              </w:rPr>
              <w:t>bestärkt den EIF und die nationalen Entwicklungsbanken darin, die finanzielle Unterstützung für Start-up-Unternehmen und expandierende Jungunternehmen zu erhöhen, indem Anleihegarantieren bereitgestellt werden und das Risiko einer Produktionsexpansion durch Produktionsgarantien gemindert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fordert den Rat auf, den Wirtschaftsakteuren Rechtssicherheit, Sicherheit und Planbarkeit zu bieten, indem er Rechtsinstrumente freisetzt, die zur Verbesserung des Unternehmensumfelds in Europa beitragen können, insbesondere im Bereich der Steuerpolitik (z. B. HOT-System, FASTER-Verordnung oder SAFE-Instrument);</w:t>
            </w:r>
            <w:r>
              <w:t xml:space="preserve"> </w:t>
            </w:r>
            <w:r>
              <w:rPr>
                <w:b/>
                <w:i/>
              </w:rPr>
              <w:t>fordert die Kommission auf, die verschiedenen Gesetzgebungsinitiativen zu prüfen, die zu unnötigen Belastungen für Unternehmen, insbesondere KMU, führen können, um die Vorschläge zurückzuziehen;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Pascal Canfin, Stéphanie Yon-Courtin,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fordert die Kommission auf, bei ihrer Überprüfung der Vorschriften für die Vergabe öffentlicher Aufträge der strategischen Rolle der Vergabe öffentlicher Aufträge für die finanzielle Entwicklung europäischer Start-up-Unternehmen und KMU Rechnung zu tragen und die mit Innovation, Nachhaltigkeit und Souveränität verbundenen Kriterien stärker zu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fordert die Kommission auf, die Instrumente zur Überwachung des Zugangs von KMU zu Finanzierung zu verbessern, einschließlich der Entwicklung EU-weiter Indikatoren und Dashboards, um Finanzierungslücken nachzuverfolgen und die Auswirkungen von Finanzierungsinstrumenten zu bewerten;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beauftragt seine Präsidentin, diese Entschließung dem Rat und der Kommission zu übermitteln.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weist darauf hin, dass der Europäische Innovationsrat (EIC) ein neues und einzigartiges Finanzierungsprogramm der Union ist, das Start-up-Unternehmen mit technologieintensiven Innovationen eine zentrale Anlaufstelle für Finanzierungen bieten soll, damit sie ihre Innovationen von einer anfänglichen Idee zu einem marktfähigen Produkt weiterentwickeln und ihre Unternehmen expandieren können;</w:t>
            </w:r>
            <w:r>
              <w:t xml:space="preserve"> </w:t>
            </w:r>
            <w:r>
              <w:rPr>
                <w:b/>
                <w:i/>
              </w:rPr>
              <w:t>begrüßt, dass die Haushaltsmittel für den EIC aufgestockt wurden und im Rahmen des Vorschlags zur Einrichtung der Plattform „Strategische Technologien für Europa“ der Umfang der Aktivitäten des EIC mit Eigenkapital erweitert wurde;</w:t>
            </w:r>
            <w:r>
              <w:t xml:space="preserve"> </w:t>
            </w:r>
            <w:r>
              <w:rPr>
                <w:b/>
                <w:i/>
              </w:rPr>
              <w:t>fordert die Kommission auf, einen Teil der vorgeschlagenen Plattform „Strategische Technologien für Europa“ speziell für KMU vorzusehen;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fordert die Kommission ferner auf, die Teilnahme innovativer Start-up-Unternehmen und expandierender Jungunternehmen an EU-Förderprogrammen zu erleichtern.</w:t>
            </w:r>
            <w:r>
              <w:t xml:space="preserve"> </w:t>
            </w:r>
            <w:r>
              <w:rPr>
                <w:b/>
                <w:i/>
              </w:rPr>
              <w:t>fordert die Kommission auf, dafür zu sorgen, dass der Fonds für Wettbewerbsfähigkeit die Entstehung neuer Unternehmen auf faire Weise unterstützt;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fordert die Kommission nachdrücklich auf, die Finanzierungsmechanismen für Start-up-Unternehmen und expandierende Jungunternehmen zu verbessern, einschließlich des öffentlichen Auftragswesens und der Bereitstellung von Zuschüssen, Darlehen und Garantien, und dabei darauf zu achten, dass private Investitionen nicht verdrängt werden;</w:t>
            </w:r>
            <w:r>
              <w:t xml:space="preserve"> </w:t>
            </w:r>
            <w:r>
              <w:rPr>
                <w:b/>
                <w:i/>
              </w:rPr>
              <w:t>fordert die Kommission auf, als Erstkundin zu fungieren, indem sie einen Teil ihrer eigenen Aufträge an europäische expandierende Jungunternehmen vergibt;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nimmt mit Besorgnis die Vorschläge zur Förderung von Verbriefungen zur Kenntnis, mit denen die regulatorische Sorgfaltspflicht sowie die Kapital- und Liquiditätsanforderungen verringert werden sollen, was eine weitere Abweichung von der Basel-III-Vereinbarung darstellt;</w:t>
            </w:r>
            <w:r>
              <w:t xml:space="preserve"> </w:t>
            </w:r>
            <w:r>
              <w:rPr>
                <w:b/>
                <w:i/>
              </w:rPr>
              <w:t>warnt davor, dass dies die Finanzstabilität gefährden und die Systemrisiken erhöhen würde, ohne dass ein Mehrwert für die Realwirtschaft entstünde;</w:t>
            </w:r>
            <w:r>
              <w:t xml:space="preserve"> </w:t>
            </w:r>
            <w:r>
              <w:rPr>
                <w:b/>
                <w:i/>
              </w:rPr>
              <w:t>weist darauf hin, dass der Gemeinsame Ausschuss der Europäischen Aufsichtsbehörden (ESA) in seinem Bericht 2022 zu dem Schluss kam, dass eine Neuausrichtung des Eigenkapitalrahmens für Verbriefungen für Banken eine Wiederbelebung des Verbriefungsmarkts nicht gewährleisten würde;</w:t>
            </w:r>
            <w:r>
              <w:t xml:space="preserve"> </w:t>
            </w:r>
            <w:r>
              <w:rPr>
                <w:b/>
                <w:i/>
              </w:rPr>
              <w:t>betont, dass das Homogenitätskriterium entscheidend dafür ist, dass eine Verbriefung als einfach, transparent und standardisiert betrachtet wird;</w:t>
            </w:r>
            <w:r>
              <w:t xml:space="preserve"> </w:t>
            </w:r>
            <w:r>
              <w:rPr>
                <w:b/>
                <w:i/>
              </w:rPr>
              <w:t>weist darauf hin, dass es sich beim Großteil der Verbriefungen um verbriefte Hypotheken handelt;</w:t>
            </w:r>
            <w:r>
              <w:t xml:space="preserve"> </w:t>
            </w:r>
            <w:r>
              <w:rPr>
                <w:b/>
                <w:i/>
              </w:rPr>
              <w:t>ist daher nicht überzeugt davon, dass die Förderung der Entwicklung des Verbriefungsmarkts zu einer Steigerung der Kreditvergabe an KMU führen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e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25e.</w:t>
            </w:r>
            <w:r>
              <w:tab/>
            </w:r>
            <w:r>
              <w:rPr>
                <w:b/>
                <w:i/>
              </w:rPr>
              <w:t>fordert die Kommission nachdrücklich auf, rasch einen harmonisierten Rechtsrahmen für grenzüberschreitende Geschäftstätigkeiten, auch zu digitaler Unternehmensgründung, Insolvenz-, Arbeits- und Steuerrecht, vorzuschlagen, damit es leichter wird, über EU-Grenzen hinweg Niederlassungen zu eröffnen, Betrieb aufzunehmen, grenzüberschreitend einzustellen und zu expandieren;</w:t>
            </w:r>
            <w:r>
              <w:t xml:space="preserve"> </w:t>
            </w:r>
            <w:r>
              <w:rPr>
                <w:b/>
                <w:i/>
              </w:rPr>
              <w:t>weist die Kommission darauf hin, dass ein solcher Rahmen nur dann erfolgreich sein kann, wenn konzertierte und ambitionierte Anstrengungen unternommen werden, an denen alle Interessenträger, insbesondere Start-up-Unternehmen und expandierende Jungunternehmen, sowie die Mitgliedstaaten beteiligt sind, um das Bewusstsein über ein solches „28. Rechtssystem“ und seine Beliebtheit zu stärken;</w:t>
            </w:r>
            <w:r>
              <w:t xml:space="preserve"> </w:t>
            </w:r>
            <w:r>
              <w:rPr>
                <w:b/>
                <w:i/>
              </w:rPr>
              <w:t>fordert seine rasche Umsetzung, um eine attraktive, gut funktionierende und akzeptierte Alternative zum derzeitigen fragmentierten Regulierungsumfeld zu bieten;</w:t>
            </w:r>
            <w:r>
              <w:t xml:space="preserve"> </w:t>
            </w:r>
            <w:r>
              <w:rPr>
                <w:b/>
                <w:i/>
              </w:rPr>
              <w:t>empfiehlt, dass im Rahmen des 28. Rechtssystems standardmäßig digitalen Lösungen, einer einmaligen Berichterstattung und Reallaboren für Innovation Vorrang eingeräumt wird und spezifische Bestimmungen für KMU, expandierende Jungunternehmen und kleine Midcap-Unternehmen aufgenommen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f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25f.</w:t>
            </w:r>
            <w:r>
              <w:tab/>
            </w:r>
            <w:r>
              <w:rPr>
                <w:b/>
                <w:i/>
              </w:rPr>
              <w:t>betont, dass ein stärker integriertes Innovationsökosystem mit Netzwerken von Hochschulen, Start-up-Unternehmen, Großunternehmen und Risikokapitalgebern, gestützt auf den Zugang zu Testeinrichtungen und Technologieinfrastrukturen, entscheidend dazu beiträgt, Unternehmen bei der Expansion zu unterstützen;</w:t>
            </w:r>
            <w:r>
              <w:t xml:space="preserve"> </w:t>
            </w:r>
            <w:r>
              <w:rPr>
                <w:b/>
                <w:i/>
              </w:rPr>
              <w:t>fordert die Harmonisierung der Besteuerung von Mitarbeiteraktienoptionen und die Einführung eines europäischen Startup-Visums, um Innovatoren und Fachkräfte aus Drittländern anzuziehen und zu 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g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25g.</w:t>
            </w:r>
            <w:r>
              <w:tab/>
            </w:r>
            <w:r>
              <w:rPr>
                <w:b/>
                <w:i/>
              </w:rPr>
              <w:t>ist der Ansicht, dass innovative Unternehmen insbesondere im Steuerbereich von einem einheitlichen EU-weiten Regelwerk profitieren könnten;</w:t>
            </w:r>
            <w:r>
              <w:t xml:space="preserve"> </w:t>
            </w:r>
            <w:r>
              <w:rPr>
                <w:b/>
                <w:i/>
              </w:rPr>
              <w:t>weist darauf hin, dass KMU im Hinblick auf Steuern vor erheblichen Herausforderungen stehen, da komplexe Steuervorschriften und fragmentierte Steuersysteme für einen hohen Verwaltungsaufwand und hohe Befolgungskosten sorgen und KMU mit Blick auf Wachstum und Innovation einschränken;</w:t>
            </w:r>
            <w:r>
              <w:t xml:space="preserve"> </w:t>
            </w:r>
            <w:r>
              <w:rPr>
                <w:b/>
                <w:i/>
              </w:rPr>
              <w:t>fordert die Kommission nachdrücklich auf, Lösungen für eine Vereinfachung der Steuerverfahren und eine Senkung der Befolgungskosten auszuloten und gleichzeitig zu untersuchen, warum der Vorschlag für eine Richtlinie zur Einführung eines hauptsitzbasierten Steuersystems (Head Office Tax System, HOT) für KMU im Rat auf wenig Begeisterung gestoßen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im Namen der Verts/ALE-Fraktion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25 h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25h.</w:t>
            </w:r>
            <w:r>
              <w:tab/>
            </w:r>
            <w:r>
              <w:rPr>
                <w:b/>
                <w:i/>
              </w:rPr>
              <w:t>beauftragt seine Präsidentin, diese Entschließung dem Rat und der Kommission zu übermitteln.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774.474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228</w:t>
    </w:r>
    <w:r>
      <w:fldChar w:fldCharType="end"/>
    </w:r>
    <w:r>
      <w:t>/</w:t>
    </w:r>
    <w:r>
      <w:fldChar w:fldCharType="begin"/>
    </w:r>
    <w:r>
      <w:instrText xml:space="preserve"> NUMPAGES </w:instrText>
    </w:r>
    <w:r>
      <w:fldChar w:fldCharType="separate"/>
    </w:r>
    <w:r>
      <w:t>229</w:t>
    </w:r>
    <w:r>
      <w:fldChar w:fldCharType="end"/>
    </w:r>
    <w:r>
      <w:tab/>
    </w:r>
    <w:r>
      <w:rPr>
        <w:rStyle w:val="HideTWBExt"/>
      </w:rPr>
      <w:t>&lt;PathFdR&gt;</w:t>
    </w:r>
    <w:r>
      <w:t>AM\1323021DE.docx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AM\1323021DE.docx</w:t>
    </w:r>
    <w:r>
      <w:rPr>
        <w:rStyle w:val="HideTWBExt"/>
      </w:rPr>
      <w:t>&lt;/PathFdR&gt;</w:t>
    </w:r>
    <w:r>
      <w:tab/>
    </w:r>
    <w:r>
      <w:fldChar w:fldCharType="begin"/>
    </w:r>
    <w:r>
      <w:instrText xml:space="preserve"> PAGE </w:instrText>
    </w:r>
    <w:r>
      <w:fldChar w:fldCharType="separate"/>
    </w:r>
    <w:r>
      <w:t>229</w:t>
    </w:r>
    <w:r>
      <w:fldChar w:fldCharType="end"/>
    </w:r>
    <w:r>
      <w:t>/</w:t>
    </w:r>
    <w:r>
      <w:fldChar w:fldCharType="begin"/>
    </w:r>
    <w:r>
      <w:instrText xml:space="preserve"> NUMPAGES </w:instrText>
    </w:r>
    <w:r>
      <w:fldChar w:fldCharType="separate"/>
    </w:r>
    <w:r>
      <w:t>229</w:t>
    </w:r>
    <w:r>
      <w:fldChar w:fldCharType="end"/>
    </w:r>
    <w:r>
      <w:tab/>
    </w:r>
    <w:r>
      <w:t>PE</w:t>
    </w:r>
    <w:r>
      <w:rPr>
        <w:rStyle w:val="HideTWBExt"/>
      </w:rPr>
      <w:t>&lt;NoPE&gt;</w:t>
    </w:r>
    <w:r>
      <w:t>774.474</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AM\1323021DE.docx</w:t>
    </w:r>
    <w:r>
      <w:rPr>
        <w:rStyle w:val="HideTWBExt"/>
      </w:rPr>
      <w:t>&lt;/PathFdR&gt;</w:t>
    </w:r>
    <w:r>
      <w:tab/>
    </w:r>
    <w:r>
      <w:tab/>
    </w:r>
    <w:r>
      <w:t>PE</w:t>
    </w:r>
    <w:r>
      <w:rPr>
        <w:rStyle w:val="HideTWBExt"/>
      </w:rPr>
      <w:t>&lt;NoPE&gt;</w:t>
    </w:r>
    <w:r>
      <w:t>774.474</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val="0"/>
    </w:pPr>
    <w:rPr>
      <w:b/>
    </w:r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229</Pages>
  <Words>33947</Words>
  <Characters>243007</Characters>
  <Application>Microsoft Office Word</Application>
  <DocSecurity>0</DocSecurity>
  <Lines>1</Lines>
  <Paragraphs>4084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1323021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205183</vt:lpwstr>
  </property>
  <property fmtid="{D5CDD505-2E9C-101B-9397-08002B2CF9AE}" pid="7" name="dmxml.render.traceId">
    <vt:lpwstr>6863ba5afbf15abe2943f819ec56c695</vt:lpwstr>
  </property>
  <property fmtid="{D5CDD505-2E9C-101B-9397-08002B2CF9AE}" pid="8" name="FooterPath">
    <vt:lpwstr>AM\1323021DE.docx</vt:lpwstr>
  </property>
  <property fmtid="{D5CDD505-2E9C-101B-9397-08002B2CF9AE}" pid="9" name="PE Number">
    <vt:lpwstr>774.474</vt:lpwstr>
  </property>
  <property fmtid="{D5CDD505-2E9C-101B-9397-08002B2CF9AE}" pid="10" name="UID">
    <vt:lpwstr>eu.europa.europarl-DIN1-2025-0000121646_01.00-de-01.00_text-xml</vt:lpwstr>
  </property>
</Properties>
</file>