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Eiropas Parlaments</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{ECON}</w:t>
      </w:r>
      <w:r>
        <w:t>Ekonomikas un monetārā komiteja</w:t>
      </w:r>
      <w:r>
        <w:rPr>
          <w:rStyle w:val="HideTWBExt"/>
        </w:rPr>
        <w:t>&lt;/Commission&gt;</w:t>
      </w:r>
    </w:p>
    <w:p>
      <w:pPr>
        <w:pStyle w:val="LineBottom"/>
      </w:pPr>
      <w:r>
        <w:t xml:space="preserve"> </w:t>
      </w:r>
    </w:p>
    <w:p>
      <w:pPr>
        <w:pStyle w:val="CoverReference"/>
      </w:pPr>
      <w:r>
        <w:rPr>
          <w:rStyle w:val="HideTWBExt"/>
        </w:rPr>
        <w:t>&lt;RefProc&gt;</w:t>
      </w:r>
      <w:r>
        <w:t>2025/2072</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{13/06/2025}</w:t>
      </w:r>
      <w:r>
        <w:t>13.6.2025</w:t>
      </w:r>
      <w:r>
        <w:rPr>
          <w:rStyle w:val="HideTWBExt"/>
        </w:rPr>
        <w:t>&lt;/Date&gt;</w:t>
      </w:r>
    </w:p>
    <w:p>
      <w:pPr>
        <w:pStyle w:val="CoverDocType"/>
      </w:pPr>
      <w:r>
        <w:rPr>
          <w:rStyle w:val="HideTWBExt"/>
        </w:rPr>
        <w:t>&lt;TypeAM&gt;</w:t>
      </w:r>
      <w:r>
        <w:t>GROZĪJUMI Nr.</w:t>
      </w:r>
      <w:r>
        <w:rPr>
          <w:rStyle w:val="HideTWBExt"/>
        </w:rPr>
        <w:t>&lt;/TypeAM&gt;</w:t>
      </w:r>
    </w:p>
    <w:p>
      <w:pPr>
        <w:pStyle w:val="CoverDocType24a"/>
      </w:pPr>
      <w:r>
        <w:rPr>
          <w:rStyle w:val="HideTWBExt"/>
        </w:rPr>
        <w:t>&lt;RangeAM&gt;</w:t>
      </w:r>
      <w:r>
        <w:t>1</w:t>
      </w:r>
      <w:r>
        <w:t xml:space="preserve"> - </w:t>
      </w:r>
      <w:r>
        <w:t>459</w:t>
      </w:r>
      <w:r>
        <w:rPr>
          <w:rStyle w:val="HideTWBExt"/>
        </w:rPr>
        <w:t>&lt;/RangeAM&gt;</w:t>
      </w:r>
    </w:p>
    <w:p>
      <w:pPr>
        <w:pStyle w:val="CoverBold"/>
      </w:pPr>
      <w:r>
        <w:rPr>
          <w:rStyle w:val="HideTWBExt"/>
        </w:rPr>
        <w:t>&lt;TitreType&gt;</w:t>
      </w:r>
      <w:r>
        <w:t>Ziņojuma projekts</w:t>
      </w:r>
      <w:r>
        <w:rPr>
          <w:rStyle w:val="HideTWBExt"/>
        </w:rPr>
        <w:t>&lt;/TitreType&gt;</w:t>
      </w:r>
    </w:p>
    <w:p>
      <w:pPr>
        <w:pStyle w:val="CoverBold"/>
      </w:pPr>
      <w:r>
        <w:rPr>
          <w:rStyle w:val="HideTWBExt"/>
        </w:rPr>
        <w:t>&lt;Rapporteur&gt;</w:t>
      </w:r>
      <w:r>
        <w:t>Jorge Martín Frías</w:t>
      </w:r>
      <w:r>
        <w:rPr>
          <w:rStyle w:val="HideTWBExt"/>
        </w:rPr>
        <w:t>&lt;/Rapporteur&gt;</w:t>
      </w:r>
    </w:p>
    <w:p>
      <w:pPr>
        <w:pStyle w:val="CoverNormal24a"/>
      </w:pPr>
      <w:r>
        <w:rPr>
          <w:rStyle w:val="HideTWBExt"/>
        </w:rPr>
        <w:t>&lt;DocRefPE&gt;</w:t>
      </w:r>
      <w:r>
        <w:t>(PE772.123v01-00)</w:t>
      </w:r>
      <w:r>
        <w:rPr>
          <w:rStyle w:val="HideTWBExt"/>
        </w:rPr>
        <w:t>&lt;/DocRefPE&gt;</w:t>
      </w:r>
    </w:p>
    <w:p>
      <w:pPr>
        <w:pStyle w:val="CoverNormal"/>
      </w:pPr>
      <w:r>
        <w:rPr>
          <w:rStyle w:val="HideTWBExt"/>
        </w:rPr>
        <w:t>&lt;Titre&gt;</w:t>
      </w:r>
      <w:r>
        <w:t>Finansējuma pieejamība MVU un augošiem uzņēmumiem</w:t>
      </w:r>
      <w:r>
        <w:rPr>
          <w:rStyle w:val="HideTWBExt"/>
        </w:rPr>
        <w:t>&lt;/Titre&gt;</w:t>
      </w:r>
    </w:p>
    <w:p>
      <w:pPr>
        <w:pStyle w:val="CoverNormal24a"/>
      </w:pPr>
      <w:r>
        <w:rPr>
          <w:rStyle w:val="HideTWBExt"/>
        </w:rPr>
        <w:t>&lt;DocRef&gt;</w:t>
      </w:r>
      <w:r>
        <w:t>(2025/2072(INI))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Grozījums Nr.</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norāde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ņemot vērā Komisijas 2025. gada 29. janvāra paziņojumu “ES Konkurētspējas kompass” (COM(2025)0030),</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1.a norāde (jauna)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ņemot vērā Komisijas priekšsēdētājas Urzulas fon der Leienas 2024. gada 18. jūlija publikāciju “Eiropas izvēle. Politikas pamatnostādnes nākamajai Eiropas Komisijai (2024–2029)”,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1.b norāde (jauna)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ņemot vērā Mario Draghi 2024. gada 9. septembra ziņojumu “The future of European competitiveness” (Eiropas konkurētspējas nākotne) (M. Draghi ziņojums),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1.c norāde (jauna)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ņemot vērā Enrico Letta 2024. gada 17. aprīļa ziņojumu “Much More Than A Market” (Daudz vairāk nekā tirgus) (E. Letta ziņojums),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1.d norāde (jauna)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ņemot vērā Christian Noyer 2024. gada 25. aprīļa ziņojumu “Developing European capital markets to finance the future” (Eiropas kapitāla tirgu attīstīšana nākotnes finansēšanai),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1.e norāde (jauna)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ņemot vērā iekļaujošā sastāvā sanākušās Eurogrupas 2024. gada 11. marta paziņojumu par kapitāla tirgu savienības (KTS) nākotni,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1.f norāde (jauna)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ņemot vērā 2024. gada maija augsta līmeņa ceļvedi turpmākajiem pasākumiem saistībā ar iekļaujošā sastāvā sanākušās Eurogrupas paziņojumu par KTS nākotni,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1.g norāde (jauna)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ņemot vērā Eiropadomes 2024. gada 17. un 18. aprīļa secinājumus,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1.h norāde (jauna)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ņemot vērā Eiropas Apdrošināšanas un aroda pensiju iestādes 2024. gada 25. aprīļa paziņojumu “How European insurers and pension funds can contribute to further strengthen the Capital Markets Union” (Kā Eiropas apdrošinātāji un pensiju fondi var palīdzēt vēl vairāk stiprināt kapitāla tirgu savienību),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1.i norāde (jauna)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ņemot vērā Eiropas Vērtspapīru un tirgu iestādes (EVTI) 2024. gada maija nostājas dokumentu “Building more effective and attractive capital markets in the EU” (Efektīvāku un pievilcīgāku kapitāla tirgu veidošana 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1.j norāde (jauna)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ņemot vērā Eiropas Centrālās bankas Padomes 2024. gada 7. marta paziņojumu par kapitāla tirgu savienības izveides veicināšanu,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1.k norāde (jauna)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ņemot vērā Komisijas 2025. gada 29. janvāra paziņojumu “ES Konkurētspējas kompass” (COM(2025)0030),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1.l norāde (jauna)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ņemot vērā 2025. gada aprīlī publicēto Eiropas Centrālās bankas apsekojumu par eurozonas uzņēmumu piekļuvi finansējumam 2025. gada pirmajā ceturksnī,</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1.m norāde (jauna)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ņemot vērā Komisijas 2025. gada 19. marta paziņojumu “Uzkrājumu un investīciju savienība. Stratēģija, kā veicināt ES iedzīvotāju turību un ekonomikas konkurētspēju” (COM(2025)0124),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1.n norāde (jauna)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ņemot vērā Komisijas 2025. gada 28. maija paziņojumu “ES jaunuzņēmumu un augošo uzņēmumu stratēģija: izvēlēties Eiropu jauniem un augošiem uzņēmumiem” (COM(2025)0270),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1.o norāde (jauna)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ņemot vērā 2025. gada janvārī publicēto Komisijas apekojumu par uzņēmumu piekļuvi finansējumam (SAFE) — 2024. gada analītiskais ziņojums,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1.p norāde (jauna)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ņemot vērā Komisijas 2024. gada 4. jūlija ziņojumu “Annual Report on European SMEs 2023/2024” (Gada ziņojums par Eiropas MVU 2023. un 2024. gadā),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1.q norāde (jauna)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ņemot vērā Parlamenta 2023. gada 14. decembra rezolūciju par inovācijas spēju un rūpniecības un tehnoloģiskās konkurētspējas palielināšanu, radot jaunuzņēmumiem un augošiem uzņēmumiem labvēlīgu vidi,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1.r norāde (jauna)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ņemot vērā Komisijas 2023. gada 12. septembra paziņojumu par MVU paredzētu atvieglojumu paketi (COM(2022)0535),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1.s norāde (jauna)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ņemot vērā Parlamenta 2020. gada 8. oktobra rezolūciju par kapitāla tirgu savienības (KTS) turpmāku veidošanu:</w:t>
            </w:r>
            <w:r>
              <w:t xml:space="preserve"> </w:t>
            </w:r>
            <w:r>
              <w:rPr>
                <w:b/>
                <w:i/>
              </w:rPr>
              <w:t>kapitāla tirgus finansējuma pieejamības uzlabošana, jo īpaši MVU, un mazo ieguldītāju dalības iespēju palielināšana</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OV C 395, 29.9.2021., 89. lpp.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1.t norāde (jauna)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ņemot vērā 2015. gada 9. jūlija rezolūciju par kapitāla tirgu savienības izveidi,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1.u norāde (jauna)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ņemot vērā Reglamenta 55. pantu,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1.v norāde (jauna)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ņemot vērā Ekonomikas un monetārās komitejas ziņojumu (A10-0000/2025),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 norāde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ņemot vērā Budapeštas deklarāciju, ko valstu un valdību vadītāji pieņēma 2024. gada 8. novembra neformālajā sanāksmē,</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3. norāde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ņemot vērā Urzulas fon der Leienas 2024. gada 18. jūlija publikāciju “Eiropas izvēle. Politiskās pamatnostādnes nākamajai Eiropas Komisijai (2024–2029)”,</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4. norāde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ņemot vērā 2025. gada aprīlī publicēto Eiropas Centrālās bankas apsekojumu par eurozonas uzņēmumu piekļuvi finansējumam 2025. gada pirmajā ceturksnī,</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5. norāde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ņemot vērā Komisijas 2025. gada 19. marta paziņojumu “Uzkrājumu un investīciju savienība. Stratēģija, kā veicināt ES iedzīvotāju turību un ekonomikas konkurētspēju” (COM(2025)0124),</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5.a norāde (jauna)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ņemot vērā Komisijas 2025. gada 28. maija paziņojumu “ES jaunuzņēmumu un augošo uzņēmumu stratēģija:</w:t>
            </w:r>
            <w:r>
              <w:t xml:space="preserve"> </w:t>
            </w:r>
            <w:r>
              <w:rPr>
                <w:b/>
                <w:i/>
              </w:rPr>
              <w:t>izvēlēties Eiropu jauniem un augošiem uzņēmumiem” (COM(2025)0270 final),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5.b norāde (jauna)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ņemot vērā Komisijas 2015. gada 21. maija paziņojumu „Vienotais tirgus —</w:t>
            </w:r>
            <w:r>
              <w:t xml:space="preserve"> </w:t>
            </w:r>
            <w:r>
              <w:rPr>
                <w:b/>
                <w:i/>
              </w:rPr>
              <w:t>Eiropas vietējais tirgus nepastāvīgā pasaulē. Stratēģija, kā vienoto tirgu padarīt vienkāršu, netraucētu un spēcīgu” (COM/2025/0500 final),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6. norāde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ņemot vērā 2025. gada janvārī publicēto Komisijas apekojumu par uzņēmumu piekļuvi finansējumam (SAFE) — 2024. gada analītiskais ziņojums,</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7. norāde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ņemot vērā 2024. gada septembrī publicēto Mario Dragi ziņojumu “The future of European competitiveness” (Eiropas konkurētspējas nākotne),</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8. norāde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ņemot vērā Komisijas 2024. gada 4. jūlija ziņojumu “Annual Report on European SMEs 2023/2024” (Gada ziņojums par Eiropas MVU 2023. un 2024. gadā),</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9. norāde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ņemot vērā 2024. gada aprīlī publicēto Enriko Letas ziņojumu “Much more than a market” (Daudz vairāk nekā tirgus),</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10. norāde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ņemot vērā Eiropadomes 2024. gada 17. un 18. aprīļa ārkārtas sanāksmes secinājumus,</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11. norāde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ņemot vērā Parlamenta 2023. gada 14. decembra rezolūciju par inovācijas spēju un rūpniecības un tehnoloģiskās konkurētspējas palielināšanu, radot jaunuzņēmumiem un augošiem uzņēmumiem labvēlīgu vidi</w:t>
            </w:r>
            <w:r>
              <w:rPr>
                <w:b/>
                <w:i/>
                <w:vertAlign w:val="superscript"/>
              </w:rPr>
              <w:t>1</w:t>
            </w:r>
            <w:r>
              <w:rPr>
                <w:b/>
                <w:i/>
              </w:rPr>
              <w:t>,</w:t>
            </w:r>
          </w:p>
        </w:tc>
        <w:tc>
          <w:tcPr>
            <w:tcW w:w="4876" w:type="dxa"/>
            <w:tcBorders>
              <w:top w:val="nil"/>
              <w:left w:val="nil"/>
              <w:bottom w:val="nil"/>
              <w:right w:val="nil"/>
            </w:tcBorders>
          </w:tcPr>
          <w:p>
            <w:pPr>
              <w:pStyle w:val="Normal6a"/>
            </w:pPr>
            <w:r>
              <w:rPr>
                <w:b/>
                <w:i/>
              </w:rPr>
              <w:t>svītrots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w:t>
            </w:r>
            <w:r>
              <w:t xml:space="preserve"> </w:t>
            </w:r>
            <w:r>
              <w:rPr>
                <w:b/>
                <w:i/>
              </w:rPr>
              <w:t>OV C, C/2024/4182, 2.8.2024., ELI:</w:t>
            </w:r>
            <w:r>
              <w:t xml:space="preserve"> </w:t>
            </w:r>
            <w:r>
              <w:rPr>
                <w:b/>
                <w:i/>
              </w:rPr>
              <w:t>http://data.europa.eu/eli/C/2024/4182/oj.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12. norāde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ņemot vērā Komisijas 2023. gada 12. septembra paziņojumu par MVU paredzētu atvieglojumu paketi (COM(2022)0535),</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13. norāde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ņemot vērā Reglamenta 55. pantu,</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14. norāde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ņemot vērā Ekonomikas un monetārās komitejas ziņojumu (A10-0000/2025),</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Jonás Fernández, Tsvetelina Penkova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14.a norāde (jauna)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ņemot vērā Starptautiskā Valūtas fonda 2024. gada oktobra ziņojumu par Eiropas reģionālās ekonomikas perspektīvām,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14.a norāde (jauna)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ņemot vērā Komisijas ES jaunuzņēmumu un augošo uzņēmumu stratēģiju, kas tika publicēta 2025. gada 28. maijā,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14.b norāde (jauna)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ņemot vērā Komisijas 2025. gada 21. maija paziņojumu „Vienotais tirgus —</w:t>
            </w:r>
            <w:r>
              <w:t xml:space="preserve"> </w:t>
            </w:r>
            <w:r>
              <w:rPr>
                <w:b/>
                <w:i/>
              </w:rPr>
              <w:t>Eiropas vietējais tirgus nepastāvīgā pasaulē. Stratēģija, kā vienoto tirgu padarīt vienkāršu, netraucētu un spēcīgu”,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A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rPr>
                <w:b/>
                <w:i/>
              </w:rPr>
              <w:t>tā kā mikrouzņēmumi, mazie un vidējie uzņēmumi (MMVU) ir Eiropas uzņēmējdarbības mugurkauls un MVU 2023. gadā veidoja 99,8 % no visiem uzņēmumiem, nodrošināja 65,2 % nodarbinātības un 53,1 % pievienoto vērtību nefinanšu uzņēmējdarbības nozarē ES</w:t>
            </w:r>
            <w:r>
              <w:rPr>
                <w:b/>
                <w:i/>
                <w:vertAlign w:val="superscript"/>
              </w:rPr>
              <w:t>2</w:t>
            </w:r>
            <w:r>
              <w:rPr>
                <w:b/>
                <w:i/>
              </w:rPr>
              <w:t>;</w:t>
            </w:r>
          </w:p>
        </w:tc>
        <w:tc>
          <w:tcPr>
            <w:tcW w:w="4876" w:type="dxa"/>
            <w:tcBorders>
              <w:top w:val="nil"/>
              <w:left w:val="nil"/>
              <w:bottom w:val="nil"/>
              <w:right w:val="nil"/>
            </w:tcBorders>
          </w:tcPr>
          <w:p>
            <w:pPr>
              <w:pStyle w:val="Normal6a"/>
            </w:pPr>
            <w:r>
              <w:rPr>
                <w:b/>
                <w:i/>
              </w:rPr>
              <w:t>svītrots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w:t>
            </w:r>
            <w:r>
              <w:t xml:space="preserve"> </w:t>
            </w:r>
            <w:r>
              <w:rPr>
                <w:b/>
                <w:i/>
              </w:rPr>
              <w:t>Katsinis, A., Lagüera-González, J., Di Bella, L., Odenthal, L., Hell, M., Lozar, B., “Annual Report on European SMEs 2023/2024”, Eiropas Savienības Publikāciju birojs,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A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rPr>
                <w:b/>
                <w:i/>
              </w:rPr>
              <w:t>tā kā mikrouzņēmumi, mazie un vidējie uzņēmumi (MMVU) ir Eiropas uzņēmējdarbības mugurkauls un MVU 2023. gadā veidoja 99,8 % no visiem uzņēmumiem, nodrošināja 65,2 % nodarbinātības un 53,1 % pievienoto vērtību nefinanšu uzņēmējdarbības nozarē ES</w:t>
            </w:r>
            <w:r>
              <w:rPr>
                <w:b/>
                <w:i/>
                <w:vertAlign w:val="superscript"/>
              </w:rPr>
              <w:t>2</w:t>
            </w:r>
            <w:r>
              <w:rPr>
                <w:b/>
                <w:i/>
              </w:rPr>
              <w:t>;</w:t>
            </w:r>
          </w:p>
        </w:tc>
        <w:tc>
          <w:tcPr>
            <w:tcW w:w="4876" w:type="dxa"/>
            <w:tcBorders>
              <w:top w:val="nil"/>
              <w:left w:val="nil"/>
              <w:bottom w:val="nil"/>
              <w:right w:val="nil"/>
            </w:tcBorders>
          </w:tcPr>
          <w:p>
            <w:pPr>
              <w:pStyle w:val="Normal6a"/>
            </w:pPr>
            <w:r>
              <w:rPr>
                <w:b/>
                <w:i/>
              </w:rPr>
              <w:t>svītrots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w:t>
            </w:r>
            <w:r>
              <w:t xml:space="preserve"> </w:t>
            </w:r>
            <w:r>
              <w:rPr>
                <w:b/>
                <w:i/>
              </w:rPr>
              <w:t>Katsinis, A., Lagüera-González, J., Di Bella, L., Odenthal, L., Hell, M., Lozar, B., “Annual Report on European SMEs 2023/2024”, Eiropas Savienības Publikāciju birojs,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Aa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tā kā saskaņā ar definīciju, ko pašlaik izmanto Eiropas Savienība, pašlaik darbojas vairāk nekā 23 miljoni MVU, kas veido vairāk nekā 99 % no teritorijā aktīvajiem uzņēmumiem un nodarbina 90–100 miljonus cilvēku, tādēļ tiem ir izšķiroša nozīme ekonomikas noturībā, reģionālajā kohēzijā un inovācijā;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Aa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tā kā, lai pilnībā atraisītu tā izaugsmes, inovācijas un darbvietu radīšanas potenciālu, ir jāveicina stabila regulatīvā vide, kas veicina privātās investīcijas, jāuzlabo piekļuve finansējumam, izmantojot integrētu uzkrājumu un ieguldījumu savienību;</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Aa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tā kā MVU ir Savienības ekonomikas mugurkauls, jo tie veido 99 % no visiem ES uzņēmumiem, nodarbina aptuveni 100 miljonus cilvēku un rada vairāk nekā pusi no Eiropas iekšzemes kopprodukta;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ECR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Aa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tā kā ES kopumā un jo īpaši tās dalībvalstis ar spēcīgāko ekonomiku pašlaik piedzīvo ievērojamu ekonomikas lejupslīdi un problēmas uzņēmumiem, kuri zaudē konkurētspēju salīdzinājumā ar Ķīnu un ASV;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B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tā kā Eiropas MVU darbības joma, atrašanās vieta, īpašumtiesības un inovācijas spējas atšķiras un tādējādi saskaras ar dažādām problēmām un finansējuma vajadzībām;</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B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tā kā Eiropas MVU darbības joma, atrašanās vieta, īpašumtiesības un inovācijas spējas atšķiras un tādējādi saskaras ar dažādām problēmām un finansējuma vajadzībām;</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B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tā kā Eiropas MVU darbības joma, atrašanās vieta, īpašumtiesības un inovācijas spējas atšķiras un tādējādi saskaras ar dažādām problēmām un finansējuma vajadzībām;</w:t>
            </w:r>
          </w:p>
        </w:tc>
        <w:tc>
          <w:tcPr>
            <w:tcW w:w="4876" w:type="dxa"/>
            <w:tcBorders>
              <w:top w:val="nil"/>
              <w:left w:val="nil"/>
              <w:bottom w:val="nil"/>
              <w:right w:val="nil"/>
            </w:tcBorders>
          </w:tcPr>
          <w:p>
            <w:pPr>
              <w:pStyle w:val="Normal6a"/>
            </w:pPr>
            <w:r>
              <w:t>B.</w:t>
            </w:r>
            <w:r>
              <w:tab/>
            </w:r>
            <w:r>
              <w:t xml:space="preserve">tā kā Eiropas MVU darbības joma, atrašanās vieta, </w:t>
            </w:r>
            <w:r>
              <w:rPr>
                <w:b/>
                <w:i/>
              </w:rPr>
              <w:t>nozare,</w:t>
            </w:r>
            <w:r>
              <w:t xml:space="preserve"> īpašumtiesības</w:t>
            </w:r>
            <w:r>
              <w:rPr>
                <w:b/>
                <w:i/>
              </w:rPr>
              <w:t>, finansējuma vajadzības</w:t>
            </w:r>
            <w:r>
              <w:t xml:space="preserve"> un inovācijas spējas atšķiras un tādējādi saskaras ar dažādām problēmām un finansējuma vajadzībām;</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B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tā kā Eiropas MVU darbības joma, atrašanās vieta, īpašumtiesības un inovācijas spējas atšķiras un tādējādi saskaras ar dažādām problēmām un finansējuma vajadzībām;</w:t>
            </w:r>
          </w:p>
        </w:tc>
        <w:tc>
          <w:tcPr>
            <w:tcW w:w="4876" w:type="dxa"/>
            <w:tcBorders>
              <w:top w:val="nil"/>
              <w:left w:val="nil"/>
              <w:bottom w:val="nil"/>
              <w:right w:val="nil"/>
            </w:tcBorders>
          </w:tcPr>
          <w:p>
            <w:pPr>
              <w:pStyle w:val="Normal6a"/>
            </w:pPr>
            <w:r>
              <w:t>B.</w:t>
            </w:r>
            <w:r>
              <w:tab/>
            </w:r>
            <w:r>
              <w:t>tā kā Eiropas MVU darbības joma, atrašanās vieta</w:t>
            </w:r>
            <w:r>
              <w:rPr>
                <w:b/>
                <w:i/>
              </w:rPr>
              <w:t>, darījumdarbības modelis</w:t>
            </w:r>
            <w:r>
              <w:t>, īpašumtiesības un inovācijas spējas atšķiras un tādējādi saskaras ar dažādām problēmām un finansējuma vajadzībām;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Ba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ņemot vērā to, ka definīcija, ko Eiropas Savienība izmanto, lai definētu MVU, neatspoguļo tirgus realitāti, jo vienā definīcijā ir iekļauti gan ģimenes uzņēmumi, gan uzņēmumi ar 250 darbiniekiem un gada apgrozījumu, kas nepārsniedz 50 miljonus euro, vai gada bilances kopsummu, kas nepārsniedz 43 miljonus euro, līdz ar to “reālie” MVU nav aizsargāti;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Ba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tā kā inovatīvi jaunuzņēmumi un augoši uzņēmumi bieži vien ir dinamiskāki, lai piedāvātu jaunus risinājumus un tehnoloģijas nolūkā apmierināt nenovēršamās vajadzības, kas saistītas ar mazoglekļa un vides pasākumiem, tādējādi daudzi jauni uzņēmumi var sasniegt ievērojamu konkurētspēju un izaugsmi;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Ba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tā kā svarīgs iemesls, kura dēļ Eiropas Savienība atpaliek no Ķīnas un ASV konkurentiem, ir Eiropas uzņēmumu, it īpaši mazo un vidējo uzņēmumu, kam izaugsmes nodrošināšanai ir jāpaplašina darbība, grūtības piesaistīt finansējumu;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Ba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tā kā lielākā daļa Eiropas MVU darbojas galvenokārt tikai savas valsts mērogā;</w:t>
            </w:r>
            <w:r>
              <w:t xml:space="preserve"> </w:t>
            </w:r>
            <w:r>
              <w:rPr>
                <w:b/>
                <w:i/>
              </w:rPr>
              <w:t>tā kā ir relatīvi neliels skaits tādu MVU, kuri ir iesaistīti pārrobežu darbībās ES līmenī, un tādu MVU, kas eksportē ārpus Savienības, ir maz;</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ECR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Ba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tā kā MVU austrumu pierobežas reģionos ir īpaši sarežģītā situācijā Krievijas agresijas pret Ukrainu un tās ekonomisko seku dēļ;</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ECR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Bb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tā kā ierobežojumi Covid-19 pandēmijas laikā ir īpaši smagi skāruši MVU un to sekas joprojām ir acīmredzamas;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C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tā kā Dragi ziņojumā norādīts, ka regulatīvie šķēršļi un administratīvais slogs ir vienas no lielākajām problēmām, ar kurām saskaras MVU, un ieteikts, pamatojoties uz proporcionalitātes principu, atbrīvot MVU no regulējuma piemērošanas;</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C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tā kā Dragi ziņojumā norādīts, ka regulatīvie šķēršļi un administratīvais slogs ir vienas no lielākajām problēmām, ar kurām saskaras MVU, un ieteikts, pamatojoties uz proporcionalitātes principu, atbrīvot MVU no regulējuma piemērošanas;</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C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tā kā Dragi ziņojumā norādīts, ka regulatīvie šķēršļi un administratīvais slogs ir vienas no lielākajām problēmām, ar kurām saskaras MVU, un ieteikts, pamatojoties uz proporcionalitātes principu, </w:t>
            </w:r>
            <w:r>
              <w:rPr>
                <w:b/>
                <w:i/>
              </w:rPr>
              <w:t>atbrīvot MVU no</w:t>
            </w:r>
            <w:r>
              <w:t xml:space="preserve"> regulējuma </w:t>
            </w:r>
            <w:r>
              <w:rPr>
                <w:b/>
                <w:i/>
              </w:rPr>
              <w:t>piemērošanas</w:t>
            </w:r>
            <w:r>
              <w:t>;</w:t>
            </w:r>
          </w:p>
        </w:tc>
        <w:tc>
          <w:tcPr>
            <w:tcW w:w="4876" w:type="dxa"/>
            <w:tcBorders>
              <w:top w:val="nil"/>
              <w:left w:val="nil"/>
              <w:bottom w:val="nil"/>
              <w:right w:val="nil"/>
            </w:tcBorders>
          </w:tcPr>
          <w:p>
            <w:pPr>
              <w:pStyle w:val="Normal6a"/>
            </w:pPr>
            <w:r>
              <w:t>C.</w:t>
            </w:r>
            <w:r>
              <w:tab/>
            </w:r>
            <w:r>
              <w:t xml:space="preserve">tā kā Dragi ziņojumā norādīts, ka regulatīvie šķēršļi un administratīvais slogs ir vienas no lielākajām problēmām, ar kurām saskaras MVU, un ieteikts, pamatojoties uz proporcionalitātes principu, </w:t>
            </w:r>
            <w:r>
              <w:rPr>
                <w:b/>
                <w:i/>
              </w:rPr>
              <w:t>samazināt</w:t>
            </w:r>
            <w:r>
              <w:t xml:space="preserve"> regulējuma </w:t>
            </w:r>
            <w:r>
              <w:rPr>
                <w:b/>
                <w:i/>
              </w:rPr>
              <w:t>slogu , vienmēr MVU saglabājot noteiktību un stabilitāti</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C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tā kā Dragi ziņojumā norādīts, ka regulatīvie šķēršļi un administratīvais slogs ir vienas no lielākajām problēmām, ar kurām saskaras MVU</w:t>
            </w:r>
            <w:r>
              <w:rPr>
                <w:b/>
                <w:i/>
              </w:rPr>
              <w:t>, un ieteikts, pamatojoties uz proporcionalitātes principu, atbrīvot MVU no regulējuma piemērošanas</w:t>
            </w:r>
            <w:r>
              <w:t>;</w:t>
            </w:r>
          </w:p>
        </w:tc>
        <w:tc>
          <w:tcPr>
            <w:tcW w:w="4876" w:type="dxa"/>
            <w:tcBorders>
              <w:top w:val="nil"/>
              <w:left w:val="nil"/>
              <w:bottom w:val="nil"/>
              <w:right w:val="nil"/>
            </w:tcBorders>
          </w:tcPr>
          <w:p>
            <w:pPr>
              <w:pStyle w:val="Normal6a"/>
            </w:pPr>
            <w:r>
              <w:t>C.</w:t>
            </w:r>
            <w:r>
              <w:tab/>
            </w:r>
            <w:r>
              <w:t>tā kā Dragi ziņojumā norādīts, ka regulatīvie šķēršļi un administratīvais slogs ir vienas no lielākajām problēmām, ar kurām saskaras MVU;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ECR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Ca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tā kā saskaņā ar Eiropas Centrālās bankas datiem aptuveni 80 % no Eiropas uzņēmumu ārējā finansējuma nāk no bankām, savukārt 20 % - no kapitāla tirgiem;</w:t>
            </w:r>
            <w:r>
              <w:t xml:space="preserve"> </w:t>
            </w:r>
            <w:r>
              <w:rPr>
                <w:b/>
                <w:i/>
              </w:rPr>
              <w:t>tā kā Amerikas Savienotajās Valstīs tikai 30 % no aizdevumiem uzņēmumiem nāk no bankām, savukārt 70 % tiek finansēti, izmantojot kapitāla tirgus, piemēram, uzņēmumu obligācijas vai kapitāla vērtspapīru emisiju;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Ca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tā kā lielākai privātā finansējuma mobilizācijai ir vajadzīgi dažādi pasākumi, piemēram, KTS programmas paātrināšana, galveno uzmanību pievēršot tam, lai uzlabotu piekļuvi riska kapitālam un pašu kapitāla finansējumam, jo īpaši inovatīviem uzņēmumiem;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Ca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tā kā saskaņā ar Draghi ziņojuma minēto regulu par šķērsli ieguldījumiem uzskata vairāk nekā 60 % ES uzņēmumu, un 55 % MVU norāda, ka to lielākā problēma ir regulatīvie šķēršļi un administratīvais slogs;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Ca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tā kā jaunuzņēmumiem un mikrouzņēmumiem ir sarežģīti iegūt atbilstīgu finansējumu, kā arī uzzināt un izpildīt normatīvās finanšu prasības, jo īpaši to izveides posmā;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Ca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ņemot vērā to, ka ierobežojumu atcelšana nerada priekšrocības MVU, jo ļauj lielākajiem un agresīvākajiem tirgū esošajiem uzņēmumiem nosmacēt mazāka apmēra darbības;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Ca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tā kā vienkāršāks, paredzamāks un konkurētspējīgāks tiesiskais regulējums ir būtisks MVU uzplaukumam tirgus ekonomikā;</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Cb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Cb.</w:t>
            </w:r>
            <w:r>
              <w:tab/>
            </w:r>
            <w:r>
              <w:rPr>
                <w:b/>
                <w:i/>
              </w:rPr>
              <w:t>tā kā lielāko daļu MVU finansējuma ES nodrošina bankas;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D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tā kā Komisijas mērķis ir uzlabot MVU piekļuvi finansējumam, lai psekmētu darbības paplašināšanu, samazinātu neefektivitāti un veicinātu sadarbspēju, un tā ir noteikusi mērķrādītāju par vismaz 35 % samazināt ziņošanas slogu MVU un paziņojusi par jaunu MVU konkurētspējas pārbaudi ietekmes novērtējumos;</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D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tā kā Komisijas mērķis ir uzlabot MVU piekļuvi finansējumam, lai psekmētu darbības paplašināšanu, samazinātu neefektivitāti un veicinātu sadarbspēju, un tā ir noteikusi mērķrādītāju par vismaz 35 % samazināt ziņošanas slogu MVU un paziņojusi par jaunu MVU konkurētspējas pārbaudi ietekmes novērtējumos;</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D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tā kā Komisijas mērķis ir uzlabot MVU piekļuvi finansējumam, </w:t>
            </w:r>
            <w:r>
              <w:rPr>
                <w:b/>
                <w:i/>
              </w:rPr>
              <w:t>lai psekmētu</w:t>
            </w:r>
            <w:r>
              <w:t xml:space="preserve"> darbības paplašināšanu, samazinātu neefektivitāti un veicinātu sadarbspēju, un tā ir noteikusi mērķrādītāju par vismaz 35 % samazināt ziņošanas slogu MVU un paziņojusi par jaunu MVU konkurētspējas pārbaudi ietekmes novērtējumos;</w:t>
            </w:r>
          </w:p>
        </w:tc>
        <w:tc>
          <w:tcPr>
            <w:tcW w:w="4876" w:type="dxa"/>
            <w:tcBorders>
              <w:top w:val="nil"/>
              <w:left w:val="nil"/>
              <w:bottom w:val="nil"/>
              <w:right w:val="nil"/>
            </w:tcBorders>
          </w:tcPr>
          <w:p>
            <w:pPr>
              <w:pStyle w:val="Normal6a"/>
            </w:pPr>
            <w:r>
              <w:t>D.</w:t>
            </w:r>
            <w:r>
              <w:tab/>
            </w:r>
            <w:r>
              <w:t xml:space="preserve">tā kā Komisijas mērķis ir uzlabot MVU piekļuvi finansējumam, </w:t>
            </w:r>
            <w:r>
              <w:rPr>
                <w:b/>
                <w:i/>
              </w:rPr>
              <w:t>īpaši privātajam, lai sekmētu</w:t>
            </w:r>
            <w:r>
              <w:t xml:space="preserve"> darbības paplašināšanu, samazinātu neefektivitāti</w:t>
            </w:r>
            <w:r>
              <w:rPr>
                <w:b/>
                <w:i/>
              </w:rPr>
              <w:t>, pārtrauktu nopietno atkarību no parāda</w:t>
            </w:r>
            <w:r>
              <w:t xml:space="preserve"> un veicinātu sadarbspēju, un tā ir noteikusi mērķrādītāju par vismaz 35 % samazināt ziņošanas slogu MVU un paziņojusi par jaunu MVU konkurētspējas pārbaudi ietekmes novērtējumos;</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Da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tā kā labi attīstīta riska kapitāla ekosistēma, kuras ES joprojām trūkst, var veicināt inovatīvus jaunuzņēmumus un nodrošināt finansējumu MVU un augošiem uzņēmumiem, lai tie varētu attīstīties un kļūt konkurētspējīgi;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ECR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Da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tā kā ziņošanas slogs, kas pašlaik ir jāsamazina, lai aizsargātu MVU, tika ieviests Eiropas zaļā kursa un diskreditētās ES zaļās līderības koncepcijas ietvaros;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Da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tā kā pašreizējā investīciju vide ES ir sadrumstalota un ir vērojamas būtiskas atšķirības privātā finansējuma pieejamībā, it īpaši inovatīviem un strauji augošiem uzņēmumiem;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Da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tā kā daudznacionālu korporāciju agresīvās nodokļu plānošanas stratēģijas, kas izmanto dažādus valstu nodokļu režīmus, rada negodīgu konkurenci, kas nelabvēlīgi ietekmē Eiropas MVU;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Jorge Martín Frías, Enikő Győri, Tomáš Kubín, Pierre Pimpie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Da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tā kā Eiropas Komisija ir publicējusi stratēģiju jaunuzņēmumiem un augošiem uzņēmumiem;</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Db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Db.</w:t>
            </w:r>
            <w:r>
              <w:tab/>
            </w:r>
            <w:r>
              <w:rPr>
                <w:b/>
                <w:i/>
              </w:rPr>
              <w:t>tā kā inovatīvi augoši uzņēmumi un MVU ir svarīgi, lai ES kļūtu konkurētspējīga stratēģiskās nozarēs, tostarp digitālajās tehnoloģijās, tīrajās tehnoloģijās un aizsardzības spējās;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E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w:t>
            </w:r>
            <w:r>
              <w:tab/>
            </w:r>
            <w:r>
              <w:rPr>
                <w:b/>
                <w:i/>
              </w:rPr>
              <w:t>tā kā Eiropai trūkst dinamiskākas un labvēlīgākas vides inovatīvu uzņēmumu darbības paplašināšanai, kā rezultātā gandrīz 30 % no “vienradžiem” pārceļas uz valstīm ārpus Eiropas</w:t>
            </w:r>
            <w:r>
              <w:rPr>
                <w:b/>
                <w:i/>
                <w:vertAlign w:val="superscript"/>
              </w:rPr>
              <w:t>3</w:t>
            </w:r>
            <w:r>
              <w:rPr>
                <w:b/>
                <w:i/>
              </w:rPr>
              <w:t>,</w:t>
            </w:r>
          </w:p>
        </w:tc>
        <w:tc>
          <w:tcPr>
            <w:tcW w:w="4876" w:type="dxa"/>
            <w:tcBorders>
              <w:top w:val="nil"/>
              <w:left w:val="nil"/>
              <w:bottom w:val="nil"/>
              <w:right w:val="nil"/>
            </w:tcBorders>
          </w:tcPr>
          <w:p>
            <w:pPr>
              <w:pStyle w:val="Normal6a"/>
            </w:pPr>
            <w:r>
              <w:rPr>
                <w:b/>
                <w:i/>
              </w:rPr>
              <w:t>svītrots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3</w:t>
            </w:r>
            <w:r>
              <w:t xml:space="preserve"> </w:t>
            </w:r>
            <w:r>
              <w:rPr>
                <w:b/>
                <w:i/>
              </w:rPr>
              <w:t>Draghi, Mario, ‘The Future of European Competitiveness – A Competitiveness Strategy for Europe’,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E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w:t>
            </w:r>
            <w:r>
              <w:tab/>
            </w:r>
            <w:r>
              <w:rPr>
                <w:b/>
                <w:i/>
              </w:rPr>
              <w:t>tā kā Eiropai trūkst dinamiskākas un labvēlīgākas vides inovatīvu uzņēmumu darbības paplašināšanai, kā rezultātā gandrīz 30 % no “vienradžiem” pārceļas uz valstīm ārpus Eiropas</w:t>
            </w:r>
            <w:r>
              <w:rPr>
                <w:b/>
                <w:i/>
                <w:vertAlign w:val="superscript"/>
              </w:rPr>
              <w:t>3</w:t>
            </w:r>
            <w:r>
              <w:rPr>
                <w:b/>
                <w:i/>
              </w:rPr>
              <w:t>,</w:t>
            </w:r>
          </w:p>
        </w:tc>
        <w:tc>
          <w:tcPr>
            <w:tcW w:w="4876" w:type="dxa"/>
            <w:tcBorders>
              <w:top w:val="nil"/>
              <w:left w:val="nil"/>
              <w:bottom w:val="nil"/>
              <w:right w:val="nil"/>
            </w:tcBorders>
          </w:tcPr>
          <w:p>
            <w:pPr>
              <w:pStyle w:val="Normal6a"/>
            </w:pPr>
            <w:r>
              <w:rPr>
                <w:b/>
                <w:i/>
              </w:rPr>
              <w:t>svītrots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3</w:t>
            </w:r>
            <w:r>
              <w:t xml:space="preserve"> </w:t>
            </w:r>
            <w:r>
              <w:rPr>
                <w:b/>
                <w:i/>
              </w:rPr>
              <w:t>Draghi, Mario, ‘The Future of European Competitiveness – A Competitiveness Strategy for Europe’,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E apsvērums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tā kā Eiropai trūkst dinamiskākas un labvēlīgākas vides inovatīvu uzņēmumu darbības paplašināšanai, </w:t>
            </w:r>
            <w:r>
              <w:rPr>
                <w:b/>
                <w:i/>
              </w:rPr>
              <w:t>kā rezultātā gandrīz 30 % no “vienradžiem” pārceļas uz</w:t>
            </w:r>
            <w:r>
              <w:t xml:space="preserve"> valstīm </w:t>
            </w:r>
            <w:r>
              <w:rPr>
                <w:b/>
                <w:i/>
              </w:rPr>
              <w:t>ārpus Eiropas</w:t>
            </w:r>
            <w:r>
              <w:rPr>
                <w:b/>
                <w:i/>
                <w:vertAlign w:val="superscript"/>
              </w:rPr>
              <w:t>3</w:t>
            </w:r>
            <w:r>
              <w:t>,</w:t>
            </w:r>
          </w:p>
        </w:tc>
        <w:tc>
          <w:tcPr>
            <w:tcW w:w="4876" w:type="dxa"/>
            <w:tcBorders>
              <w:top w:val="nil"/>
              <w:left w:val="nil"/>
              <w:bottom w:val="nil"/>
              <w:right w:val="nil"/>
            </w:tcBorders>
          </w:tcPr>
          <w:p>
            <w:pPr>
              <w:pStyle w:val="Normal6a"/>
            </w:pPr>
            <w:r>
              <w:t>E.</w:t>
            </w:r>
            <w:r>
              <w:tab/>
            </w:r>
            <w:r>
              <w:t xml:space="preserve">tā kā Eiropai trūkst dinamiskākas un labvēlīgākas vides inovatīvu uzņēmumu darbības paplašināšanai, </w:t>
            </w:r>
            <w:r>
              <w:rPr>
                <w:b/>
                <w:i/>
              </w:rPr>
              <w:t>kas saskaņā ar Draghi ziņojumu nozīmē, ka laikposmā no 2008. līdz 2021. gadam Eiropā tika izveidoti 147 "vienradži", no kuriem 40 pārcēla savu mītni uz trešām</w:t>
            </w:r>
            <w:r>
              <w:t xml:space="preserve"> valstīm</w:t>
            </w:r>
            <w:r>
              <w:rPr>
                <w:b/>
                <w:i/>
              </w:rPr>
              <w:t>, galvenokārt uz Amerikas Savienotajām Valstīm;</w:t>
            </w:r>
            <w:r>
              <w:t xml:space="preserve"> </w:t>
            </w:r>
            <w:r>
              <w:rPr>
                <w:b/>
                <w:i/>
              </w:rPr>
              <w:t>tā kā birokrātija Eiropā tiek lēsta aptuveni 150 000 miljardu EUR apmērā (1,3 % no IKP gadā) un SVF lēš</w:t>
            </w:r>
            <w:r>
              <w:t xml:space="preserve">, </w:t>
            </w:r>
            <w:r>
              <w:rPr>
                <w:b/>
                <w:i/>
              </w:rPr>
              <w:t>ka iekšējā tirgus sadrumstalotība atbilst 100 % tarifam;</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3</w:t>
            </w:r>
            <w:r>
              <w:t xml:space="preserve"> </w:t>
            </w:r>
            <w:r>
              <w:rPr>
                <w:b/>
                <w:i/>
              </w:rPr>
              <w:t>Draghi, Mario, ‘The Future of European Competitiveness – A Competitiveness Strategy for Europe’,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Tsvetelina Penkova,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Ea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tā kā jaunuzņēmumiem un augošiem uzņēmumiem ir raksturīgi ierobežoti darbaspēka resursi un salīdzinoši ierobežota spēja ievērot sarežģītus regulatīvos režīmus vai finansēšanas procedūras;</w:t>
            </w:r>
            <w:r>
              <w:t xml:space="preserve"> </w:t>
            </w:r>
            <w:r>
              <w:rPr>
                <w:b/>
                <w:i/>
              </w:rPr>
              <w:t>tā kā to uzņēmējdarbības vajadzības un īpašās problēmas bieži vien atšķiras no iedibināto mazo un vidējo uzņēmumu (MVU) vajadzībām;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Ea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tā kā Draghi ziņojumā ir konstatēta strukturāla plaisa tehnoloģiju izplatīšanā un starpposma inovācijā Eiropas ekonomikā, kas jo īpaši ietekmē MVU un ierobežo to spēju paplašināties;</w:t>
            </w:r>
            <w:r>
              <w:t xml:space="preserve"> </w:t>
            </w:r>
            <w:r>
              <w:rPr>
                <w:b/>
                <w:i/>
              </w:rPr>
              <w:t>tā kā ziņojumā uzsvērts, ka privātajam sektoram ir jāveic lielākā daļa ieguldījumu konkurētspējā;</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Ea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tā kā ziņojumā ir norādīts, ka pēdējo piecdesmit gadu laikā neviens uzņēmums Savienībā nav izveidots kā jauna vienība, kuras tirgus kapitalizācija pārsniedz 100 miljardus EUR, savukārt Amerikas Savienotajās Valstīs tajā pašā laikposmā ir izveidoti seši ASV uzņēmumi, kuru vērtība pārsniedz vienu triljonu dolāru;</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Ea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tā kā EIB grupas sastāvā ir EIB un Eiropas Investīciju fonds (EIF);</w:t>
            </w:r>
            <w:r>
              <w:t xml:space="preserve"> </w:t>
            </w:r>
            <w:r>
              <w:rPr>
                <w:b/>
                <w:i/>
              </w:rPr>
              <w:t>tā kā EIB ir lielākā daudzpusējā finanšu iestāde pasaulē un tai ir izšķiroša nozīme tādu projektu finansēšanā, kas veicina ekonomikas izaugsmi un inovāciju visā Savienībā;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Ea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ņemot vērā to, ka MVU ir nesamērīgi neaizsargāti pret ārējiem satricinājumiem, piemēram, finanšu krīzēm, ģeopolitisko nestabilitāti vai zaļo un digitālo pārkārtošanos, tie tomēr ir būtiski dalībnieki iekļaujošas un ilgtspējīgas izaugsmes veicināšanā;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Jonás Fernández, Tsvetelina Penkova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Ea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tā kā saskaņā ar SVF 2024. gada oktobra ziņojumu par Eiropas reģionālās ekonomikas perspektīvām “ēnu tarifi” ES iekšējā tirgū sasniedz aptuveni 45 % preču tirdzniecībai un 110 % pakalpojumu tirdzniecībai;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Ea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tā kā Komisija plāno ierosināt 28. režīmu, kas vienkāršos piemērojamos noteikumus, tostarp visus attiecīgos sabiedrību tiesību, maksātnespējas, darba tiesību un nodokļu tiesību aspektus, un samazinās maksātnespējas izmaksas;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Danuše Nerudová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Ea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tā kā ES joprojām trūkst pilnībā integrētas un efektīvas kapitāla tirgu savienības un tas kavē MVU un augošo uzņēmumu spēju piekļūt dažādiem privātā finansējuma avotiem pāri robežām;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Ea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tā kā divi galvenie finansējuma iztrūkumi Eiropas tīro tehnoloģiju jomā ir kapitāla palielināšana agrīnā un vēlākā posmā un vēlīnā posma parādi vai kredīti darbības izvēršanai;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Eb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E.b</w:t>
            </w:r>
            <w:r>
              <w:tab/>
            </w:r>
            <w:r>
              <w:rPr>
                <w:b/>
                <w:i/>
              </w:rPr>
              <w:t>tā kā uz tirgu orientētai ekonomikai ir būtiska nozīme inovāciju, izaugsmes un investīciju veicināšanā, un šā principa ievērošana ir būtiska Eiropas ekonomiskajai konkurētspējai;</w:t>
            </w:r>
            <w:r>
              <w:t xml:space="preserve"> </w:t>
            </w:r>
            <w:r>
              <w:rPr>
                <w:b/>
                <w:i/>
              </w:rPr>
              <w:t>ņemot vērā, ka uz tirgu orientētā ekonomikā privātajam kapitālam ir centrāla nozīme inovāciju un uzņēmējdarbības veicināšanā un jaunu darba vietu radīšanā, kas ir īpaši svarīgi riska kapitāla nozares attīstībai;</w:t>
            </w:r>
            <w:r>
              <w:t xml:space="preserve"> </w:t>
            </w:r>
            <w:r>
              <w:rPr>
                <w:b/>
                <w:i/>
              </w:rPr>
              <w:t>tā kā, neraugoties uz Eiropas lielo uzkrājumu bāzi, privātie ieguldījumi, jo īpaši riska kapitālā, joprojām ievērojami atpaliek no ASV ieguldījumiem;</w:t>
            </w:r>
            <w:r>
              <w:t xml:space="preserve"> </w:t>
            </w:r>
            <w:r>
              <w:rPr>
                <w:b/>
                <w:i/>
              </w:rPr>
              <w:t>tā kā rīcībpolitikas, kas rūpējas par brīvu un konkurētspējīgu tirgus vidi, ir būtiskas, lai novērstu šīs atšķirības un nodrošinātu, ka Eiropa var pilnībā izmantot savu ekonomikas potenciālu, piesaistot gan iekšzemes, gan starptautiskās investīcijas;</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Tsvetelina Penkova,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Eb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Eb.</w:t>
            </w:r>
            <w:r>
              <w:tab/>
            </w:r>
            <w:r>
              <w:rPr>
                <w:b/>
                <w:i/>
              </w:rPr>
              <w:t>tā kā Komisija ir ieviesusi dažādas iniciatīvas, kuru mērķis ir veicināt uzņēmējdarbību, inovāciju un digitālo pārkārtošanos ES, piemēram, jaunuzņēmumu un augošo uzņēmumu stratēģiju, ekoinovācijas rezultātu pārskatu, zināšanu un inovācijas kopienas (ZIK), Eiropas kopu sadarbības platformu, Eiropas digitālo desmitgadi un digitālā vienotā tirgus stratēģiju, kā arī finansēšanas programmas, kas paredzētas inovācijai dažādās politikas jomās;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Danuše Nerudová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Eb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Eb.</w:t>
            </w:r>
            <w:r>
              <w:tab/>
            </w:r>
            <w:r>
              <w:rPr>
                <w:b/>
                <w:i/>
              </w:rPr>
              <w:t>tā kā vienota kapitāla tirgus trūkums ne tikai ierobežo piekļuvi finansējumam, bet arī vājina ES spēju saglabāt strauji augošus uzņēmumus un rada risku palielināt kapitāla aizplūšanu uz trešām valstīm;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Eb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Eb.</w:t>
            </w:r>
            <w:r>
              <w:tab/>
            </w:r>
            <w:r>
              <w:rPr>
                <w:b/>
                <w:i/>
              </w:rPr>
              <w:t>ņemot vērā to, ka piekļuve finansējumam joprojām ir viens no būtiskākajiem šķēršļiem MVU attīstībai, jo īpaši attiecībā uz darbības paplašināšanu, zaļo pārkārtošanos un digitālo pārveidi;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Eb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Eb.</w:t>
            </w:r>
            <w:r>
              <w:tab/>
            </w:r>
            <w:r>
              <w:rPr>
                <w:b/>
                <w:i/>
              </w:rPr>
              <w:t>tā kā institucionālie ieguldītāji, piemēram, apdrošināšanas sabiedrības, nododot un pārveidojot riskus, sniedz nozīmīgu ieguldījumu MVU finansēšanā;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Eb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Eb.</w:t>
            </w:r>
            <w:r>
              <w:tab/>
            </w:r>
            <w:r>
              <w:rPr>
                <w:b/>
                <w:i/>
              </w:rPr>
              <w:t>tā kā labi kapitalizētai banku nozarei arī turpmāk būs svarīga loma uzņēmumu, it īpaši MVU, finansēšanā;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Ec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Ec.</w:t>
            </w:r>
            <w:r>
              <w:tab/>
            </w:r>
            <w:r>
              <w:rPr>
                <w:b/>
                <w:i/>
              </w:rPr>
              <w:t>tā kā valsts atbalsta un konkurences noteikumu vājināšanās Savienībā palielina šķēršļus jaunuzņēmumu un augošo uzņēmumu ienākšanai tirgū un tādējādi kavē konkurētspējīgu kapitāla sadali, pamatojoties uz nopelniem;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Tsvetelina Penkova,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Ec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Ec.</w:t>
            </w:r>
            <w:r>
              <w:tab/>
            </w:r>
            <w:r>
              <w:rPr>
                <w:b/>
                <w:i/>
              </w:rPr>
              <w:t>tā kā pastāv ievērojamas vēsturiskas atšķirības starp ieguldījumu veikšanas kultūru Eiropā un citos pasaules reģionos, jo īpaši riska kapitāla un komerceņģeļu ieguldījumu jomā;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Tsvetelina Penkova,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Ed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Ed.</w:t>
            </w:r>
            <w:r>
              <w:tab/>
            </w:r>
            <w:r>
              <w:rPr>
                <w:b/>
                <w:i/>
              </w:rPr>
              <w:t>tā kā ir vajadzīgi turpmāki ieguldījumi un uzlabojumi digitālajā infrastruktūrā, lai neatpaliktu no tehnoloģiju attīstības un ļautu ES jaunuzņēmumiem, augošiem uzņēmumiem un MVU saglabāt līderpozīcijas inovācijas jomā un konkurēt pasaules mērogā;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Ed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Ed.</w:t>
            </w:r>
            <w:r>
              <w:tab/>
            </w:r>
            <w:r>
              <w:rPr>
                <w:b/>
                <w:i/>
              </w:rPr>
              <w:t>tā kā mikrouzņēmumi veido ievērojamu daļu no Eiropas MVU un ļoti bieži saskaras ar grūtībām piekļūt finansējumam un iegūt pilnīgu informāciju par iespējām, kas pieejamas Eiropas un valsts līmenī;</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Ee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Ee.</w:t>
            </w:r>
            <w:r>
              <w:tab/>
            </w:r>
            <w:r>
              <w:rPr>
                <w:b/>
                <w:i/>
              </w:rPr>
              <w:t>tā kā joprojām pastāv dzimumu nelīdztiesība darījumdarbības jomā, kā arī sieviešu vadītiem mikrouzņēmumiem un mazajiem un vidējiem uzņēmumiem pieejama finansējuma ziņā;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Ef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Ef.</w:t>
            </w:r>
            <w:r>
              <w:tab/>
            </w:r>
            <w:r>
              <w:rPr>
                <w:b/>
                <w:i/>
              </w:rPr>
              <w:t>tā kā Mario Dragi ziņojumā ir lēsts, ka Eiropā kopējās papildu investīciju vajadzības līdz 2030. gadam būs 750–800 miljardi EUR gadā, no kuriem būtiska summa būs vajadzīga zaļajai un digitālajai pārkārtošanai;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Eg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Eg.</w:t>
            </w:r>
            <w:r>
              <w:tab/>
            </w:r>
            <w:r>
              <w:rPr>
                <w:b/>
                <w:i/>
              </w:rPr>
              <w:t>tā kā veiksmīga jaunuzņēmumu, augošo uzņēmumu, maza vidējas kapitalizācijas un līdz ar to arī riska kapitāla tirgus trūkums galvenokārt ir saistīts ar to, ka trūkst kopējo tirgus noteikumu saskaņošanas, kas neļauj izaugsmes uzņēmumiem izvērst darbību visā Eiropā;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Eh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Eh.</w:t>
            </w:r>
            <w:r>
              <w:tab/>
            </w:r>
            <w:r>
              <w:rPr>
                <w:b/>
                <w:i/>
              </w:rPr>
              <w:t>tā kā valstu ziņojumi un birokrātiskais slogs ir traucējis inovatīviem uzņēmumiem ātri un efektīvi piekļūt finansējumam gan valsts līmenī, gan arī pāri Eiropas robežām;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Ei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Ei.</w:t>
            </w:r>
            <w:r>
              <w:tab/>
            </w:r>
            <w:r>
              <w:rPr>
                <w:b/>
                <w:i/>
              </w:rPr>
              <w:t>tā kā šis valstu slogs un atšķirīgie valstu noteikumi, visticamāk, noveda pie tā, ka bija pārāk maz uzņēmumu, kas spēj izvērst darbību, kā rezultātā trūka sākotnējā publiskā piedāvājuma, kapitāla un jo īpaši ES radīto specializēto zināšanu un līdz ar to riska kapitāla ekosistēma nav pietiekami attīstīta;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Ej apsvērums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Ej.</w:t>
            </w:r>
            <w:r>
              <w:tab/>
            </w:r>
            <w:r>
              <w:rPr>
                <w:b/>
                <w:i/>
              </w:rPr>
              <w:t>tā kā MVU vai vidējas kapitalizācijas uzņēmumi, kas īsteno sociālus mērķus vai strādā šādu mērķu īstenošanas labā, bieži nesaņem finansējumu, mērķos būtu jāiekļauj tādu kritēriju palielināšana, ar kuriem saskaņā šādi uzņēmumi var saņemt finansējumu;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apakšvirsraksts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Vispārēji apsvērumi</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1.a apakšvirsraksts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Vispārīgi apsvērumi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rPr>
                <w:b/>
                <w:i/>
              </w:rPr>
              <w:t>uzskata, ka nolūkā pilnībā atraisīt mūsu tirgus potenciālu un palīdzēt mūsu ekonomikai kļūt konkurētspējīgākai ir būtiski radīt labvēlīgus tirgus apstākļus Eiropas uzņēmumiem, lai tie varētu izstrādāt jauninājumus, sākt darbību, radīt, augt un izvērsties Eiropā;</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rPr>
                <w:b/>
                <w:i/>
              </w:rPr>
              <w:t>uzskata, ka nolūkā pilnībā atraisīt mūsu tirgus potenciālu un palīdzēt mūsu ekonomikai kļūt konkurētspējīgākai ir būtiski radīt labvēlīgus tirgus apstākļus Eiropas uzņēmumiem, lai tie varētu izstrādāt jauninājumus, sākt darbību, radīt, augt un izvērsties Eiropā;</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Lídia Pereira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uzskata, ka nolūkā pilnībā atraisīt mūsu tirgus potenciālu un palīdzēt mūsu ekonomikai kļūt konkurētspējīgākai ir būtiski radīt labvēlīgus tirgus apstākļus Eiropas uzņēmumiem, lai tie varētu izstrādāt jauninājumus, sākt darbību, radīt, augt un izvērsties Eiropā;</w:t>
            </w:r>
          </w:p>
        </w:tc>
        <w:tc>
          <w:tcPr>
            <w:tcW w:w="4876" w:type="dxa"/>
            <w:tcBorders>
              <w:top w:val="nil"/>
              <w:left w:val="nil"/>
              <w:bottom w:val="nil"/>
              <w:right w:val="nil"/>
            </w:tcBorders>
          </w:tcPr>
          <w:p>
            <w:pPr>
              <w:pStyle w:val="Normal6a"/>
            </w:pPr>
            <w:r>
              <w:t>1.</w:t>
            </w:r>
            <w:r>
              <w:tab/>
            </w:r>
            <w:r>
              <w:t xml:space="preserve">uzskata, ka nolūkā pilnībā atraisīt mūsu </w:t>
            </w:r>
            <w:r>
              <w:rPr>
                <w:b/>
                <w:i/>
              </w:rPr>
              <w:t>iekšējā</w:t>
            </w:r>
            <w:r>
              <w:t xml:space="preserve"> tirgus potenciālu</w:t>
            </w:r>
            <w:r>
              <w:rPr>
                <w:b/>
                <w:i/>
              </w:rPr>
              <w:t>, īstenot digitālo vienoto tirgu</w:t>
            </w:r>
            <w:r>
              <w:t xml:space="preserve"> un palīdzēt mūsu ekonomikai kļūt </w:t>
            </w:r>
            <w:r>
              <w:rPr>
                <w:b/>
                <w:i/>
              </w:rPr>
              <w:t>produktīvākai un līdz ar to</w:t>
            </w:r>
            <w:r>
              <w:t xml:space="preserve"> konkurētspējīgākai ir būtiski radīt labvēlīgus tirgus apstākļus Eiropas uzņēmumiem, lai tie varētu izstrādāt jauninājumus, sākt darbību, radīt, augt un izvērsties Eiropā;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Danuše Nerudová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uzskata, ka nolūkā pilnībā atraisīt mūsu tirgus potenciālu un palīdzēt mūsu ekonomikai kļūt konkurētspējīgākai ir būtiski radīt labvēlīgus tirgus apstākļus Eiropas uzņēmumiem, lai tie varētu izstrādāt jauninājumus, sākt darbību, radīt, augt un izvērsties Eiropā;</w:t>
            </w:r>
          </w:p>
        </w:tc>
        <w:tc>
          <w:tcPr>
            <w:tcW w:w="4876" w:type="dxa"/>
            <w:tcBorders>
              <w:top w:val="nil"/>
              <w:left w:val="nil"/>
              <w:bottom w:val="nil"/>
              <w:right w:val="nil"/>
            </w:tcBorders>
          </w:tcPr>
          <w:p>
            <w:pPr>
              <w:pStyle w:val="Normal6a"/>
            </w:pPr>
            <w:r>
              <w:t>1.</w:t>
            </w:r>
            <w:r>
              <w:tab/>
            </w:r>
            <w:r>
              <w:t xml:space="preserve">uzskata, ka nolūkā pilnībā atraisīt mūsu tirgus potenciālu un palīdzēt mūsu ekonomikai kļūt konkurētspējīgākai ir būtiski radīt labvēlīgus tirgus apstākļus Eiropas uzņēmumiem, lai tie varētu izstrādāt jauninājumus, sākt darbību, radīt, augt un izvērsties Eiropā; </w:t>
            </w:r>
            <w:r>
              <w:rPr>
                <w:b/>
                <w:i/>
              </w:rPr>
              <w:t>pauž nožēlu par to, ka ievērojama daļa Eiropas MVU un augošo uzņēmumu nespēj pilnībā izmantot vienotā tirgus potenciālu pastāvīgās regulējuma sadrumstalotības, ierobežotas pārrobežu piekļuves finansējumam un nepietiekamas kapitāla tirgus integrācijas dēļ;</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Gilles Boyer, Billy Kelleher, Stéphanie Yon-Courtin, Pascal Canfin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uzskata, ka nolūkā pilnībā atraisīt mūsu tirgus potenciālu un palīdzēt mūsu ekonomikai kļūt konkurētspējīgākai ir būtiski radīt labvēlīgus tirgus apstākļus Eiropas uzņēmumiem, lai tie varētu izstrādāt jauninājumus, sākt darbību, radīt, augt un izvērsties Eiropā;</w:t>
            </w:r>
          </w:p>
        </w:tc>
        <w:tc>
          <w:tcPr>
            <w:tcW w:w="4876" w:type="dxa"/>
            <w:tcBorders>
              <w:top w:val="nil"/>
              <w:left w:val="nil"/>
              <w:bottom w:val="nil"/>
              <w:right w:val="nil"/>
            </w:tcBorders>
          </w:tcPr>
          <w:p>
            <w:pPr>
              <w:pStyle w:val="Normal6a"/>
            </w:pPr>
            <w:r>
              <w:t>1.</w:t>
            </w:r>
            <w:r>
              <w:tab/>
            </w:r>
            <w:r>
              <w:t xml:space="preserve">uzskata, ka nolūkā pilnībā atraisīt mūsu tirgus potenciālu un palīdzēt mūsu ekonomikai kļūt konkurētspējīgākai ir būtiski radīt labvēlīgus tirgus apstākļus Eiropas uzņēmumiem, lai tie varētu izstrādāt jauninājumus, sākt darbību, radīt, augt un izvērsties Eiropā; </w:t>
            </w:r>
            <w:r>
              <w:rPr>
                <w:b/>
                <w:i/>
              </w:rPr>
              <w:t>uzsver, ka ir svarīgi pabeigt banku savienības izveidi, jo tas palīdzēs palielināt Eiropas konkurētspēju un MVU finansēšanu;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uzskata, ka nolūkā pilnībā atraisīt mūsu tirgus potenciālu un palīdzēt mūsu ekonomikai kļūt konkurētspējīgākai ir būtiski radīt labvēlīgus tirgus apstākļus Eiropas uzņēmumiem, lai tie varētu izstrādāt jauninājumus, sākt darbību, radīt, augt un izvērsties Eiropā;</w:t>
            </w:r>
          </w:p>
        </w:tc>
        <w:tc>
          <w:tcPr>
            <w:tcW w:w="4876" w:type="dxa"/>
            <w:tcBorders>
              <w:top w:val="nil"/>
              <w:left w:val="nil"/>
              <w:bottom w:val="nil"/>
              <w:right w:val="nil"/>
            </w:tcBorders>
          </w:tcPr>
          <w:p>
            <w:pPr>
              <w:pStyle w:val="Normal6a"/>
            </w:pPr>
            <w:r>
              <w:t>1.</w:t>
            </w:r>
            <w:r>
              <w:tab/>
            </w:r>
            <w:r>
              <w:t>uzskata, ka nolūkā pilnībā atraisīt mūsu tirgus potenciālu un palīdzēt mūsu ekonomikai kļūt konkurētspējīgākai ir būtiski radīt labvēlīgus tirgus apstākļus Eiropas uzņēmumiem, lai tie varētu izstrādāt jauninājumus, sākt darbību, radīt, augt un izvērsties Eiropā</w:t>
            </w:r>
            <w:r>
              <w:rPr>
                <w:b/>
                <w:i/>
              </w:rPr>
              <w:t>, vienlaikus šie uzņēmumi var apmierināt savas vajadzības mūsu tirgū</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uzsver, ka to izmēra dēļ lielākā daļa MVU joprojām paļausies uz banku aizdevumiem kā vienīgo finansējuma avotu;</w:t>
            </w:r>
            <w:r>
              <w:t xml:space="preserve"> </w:t>
            </w:r>
            <w:r>
              <w:rPr>
                <w:b/>
                <w:i/>
              </w:rPr>
              <w:t>tomēr atbalsta pasākumus, kuru mērķis ir dažādot finansējuma avotus jaunuzņēmumiem un tiem MVU, kuriem ir pieejams pašu kapitāla finansējums, jo tie ir salīdzinoši lieli vai tiem ir lielas izaugsmes izredzes;</w:t>
            </w:r>
            <w:r>
              <w:t xml:space="preserve"> </w:t>
            </w:r>
            <w:r>
              <w:rPr>
                <w:b/>
                <w:i/>
              </w:rPr>
              <w:t>uzsver, ka inovatīviem MVU ir būtiska nozīme ES konkurētspējas un stratēģiskās autonomijas sasniegšanā, un uzstāj, ka ir vajadzīgs pienācīgs un daudzveidīgs finansējums, lai atbalstītu MVU, vidējas kapitalizācijas uzņēmumus, kā arī jaunuzņēmumus un augošus uzņēmumus, lai tie varētu ieviest inovācijas un konkurēt pasaules līmenī;</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atzīst, ka MVU dažādās dalībvalstīs ievērojami atšķiras uzņēmējdarbības modeļu, lieluma, atrašanās vietas, sociālekonomiskā konteksta, attīstības posma, finanšu struktūras, juridiskās formas un uzņēmējdarbības apmācības līmeņa ziņā;</w:t>
            </w:r>
            <w:r>
              <w:t xml:space="preserve"> </w:t>
            </w:r>
            <w:r>
              <w:rPr>
                <w:b/>
                <w:i/>
              </w:rPr>
              <w:t>norāda, ka šai daudzveidībai ir vajadzīgas dažādas finansēšanas iespējas, nevis tikai viens finansēšanas modelis;</w:t>
            </w:r>
            <w:r>
              <w:t xml:space="preserve"> </w:t>
            </w:r>
            <w:r>
              <w:rPr>
                <w:b/>
                <w:i/>
              </w:rPr>
              <w:t>aicina Komisiju atbalstīt pielāgotu programmu, instrumentu un iniciatīvu izveidi, lai palīdzētu uzņēmumiem dažādos attīstības posmos;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Anouk Van Brug, Billy Kelleher, Stéphanie Yon-Courtin,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pauž dziļu nožēlu par to, ka pastāvīgie šķēršļi brīvai kapitāla plūsmai ES joprojām kavē MVU piekļuvi finansējumam, paaugstina kapitāla izmaksas un kavē inovācijas un ekonomikas izaugsmi;</w:t>
            </w:r>
            <w:r>
              <w:t xml:space="preserve"> </w:t>
            </w:r>
            <w:r>
              <w:rPr>
                <w:b/>
                <w:i/>
              </w:rPr>
              <w:t>uzsver, ka uzkrājumu un investīciju savienības padziļināšana un pabeigšana ir būtiska, lai likvidētu šos šķēršļus un izveidotu patiesi integrētu Eiropas kapitāla tirgu, kas veicina darbvietu radīšanu, ilgtermiņa labklājību un ekonomikas noturību;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uzskata, ka Eiropas Komisija ir darījusi pieejamas vairākas programmas, lai palīdzētu MVU piekļūt finanšu tirgum, piemēram, ES Garantiju fondu, plānu InvestEU un Eiropas Investīciju fondus;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ECR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uzsver MVU būtisko lomu ES ekonomikā, jo tie veido 99,8 % no visiem uzņēmumiem un 65,2 % no nodarbinātības;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1.b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1.b</w:t>
            </w:r>
            <w:r>
              <w:tab/>
            </w:r>
            <w:r>
              <w:rPr>
                <w:b/>
                <w:i/>
              </w:rPr>
              <w:t>atzīst, ka MVU dalībvalstīs un reģionos saskaras ar nevienmērīgiem finansēšanas nosacījumiem un prasībām, jo īpaši attiecībā uz finansējuma pieejamību un izmaksām;</w:t>
            </w:r>
            <w:r>
              <w:t xml:space="preserve"> </w:t>
            </w:r>
            <w:r>
              <w:rPr>
                <w:b/>
                <w:i/>
              </w:rPr>
              <w:t>uzsver, ka šīs atšķirības izriet no faktoriem, kas raksturīgi katram MVU un valsts vai reģiona ekonomiskajai videi, tostarp ekonomikas nestabilitāte, lēna izaugsme un lielāka finansiālā nestabilitāte;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ECR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1.b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1.b</w:t>
            </w:r>
            <w:r>
              <w:tab/>
            </w:r>
            <w:r>
              <w:rPr>
                <w:b/>
                <w:i/>
              </w:rPr>
              <w:t>norāda, ka pēdējo gadu krīzes, jo īpaši Covid pandēmija, enerģētikas krīze un Krievijas agresijas kara pret Ukrainu ekonomiskās sekas, ir īpaši smagi skārušas MVU;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ECR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1.c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1.c</w:t>
            </w:r>
            <w:r>
              <w:tab/>
            </w:r>
            <w:r>
              <w:rPr>
                <w:b/>
                <w:i/>
              </w:rPr>
              <w:t>pauž nožēlu par pārmērīgo un ekonomiski nelietderīgo slogu, ar ko MVU ir saskārušies gan tieši, gan netieši, īstenojot ES zaļo programmu un jo īpaši zaļo kursu;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rPr>
                <w:b/>
                <w:i/>
              </w:rPr>
              <w:t>atzinīgi vērtē to, ka pēc Dragi un Letas ziņojumiem ir atzīta nepieciešamība veidot konkurētspējīgāku un mazāk birokrātisku vienoto tirgu;</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rPr>
                <w:b/>
                <w:i/>
              </w:rPr>
              <w:t>atzinīgi vērtē to, ka pēc Dragi un Letas ziņojumiem ir atzīta nepieciešamība veidot konkurētspējīgāku un mazāk birokrātisku vienoto tirgu;</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Anouk Van Brug, Billy Kelleher, Stéphanie Yon-Courtin,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atzinīgi vērtē to, ka </w:t>
            </w:r>
            <w:r>
              <w:rPr>
                <w:b/>
                <w:i/>
              </w:rPr>
              <w:t>pēc</w:t>
            </w:r>
            <w:r>
              <w:t xml:space="preserve"> Dragi un Letas </w:t>
            </w:r>
            <w:r>
              <w:rPr>
                <w:b/>
                <w:i/>
              </w:rPr>
              <w:t>ziņojumiem</w:t>
            </w:r>
            <w:r>
              <w:t xml:space="preserve"> ir atzīta nepieciešamība veidot konkurētspējīgāku un mazāk birokrātisku vienoto tirgu;</w:t>
            </w:r>
          </w:p>
        </w:tc>
        <w:tc>
          <w:tcPr>
            <w:tcW w:w="4876" w:type="dxa"/>
            <w:tcBorders>
              <w:top w:val="nil"/>
              <w:left w:val="nil"/>
              <w:bottom w:val="nil"/>
              <w:right w:val="nil"/>
            </w:tcBorders>
          </w:tcPr>
          <w:p>
            <w:pPr>
              <w:pStyle w:val="Normal6a"/>
            </w:pPr>
            <w:r>
              <w:t>2.</w:t>
            </w:r>
            <w:r>
              <w:tab/>
            </w:r>
            <w:r>
              <w:t xml:space="preserve">atzinīgi vērtē to, ka Dragi un Letas </w:t>
            </w:r>
            <w:r>
              <w:rPr>
                <w:b/>
                <w:i/>
              </w:rPr>
              <w:t>ziņojumos</w:t>
            </w:r>
            <w:r>
              <w:t xml:space="preserve"> ir atzīta nepieciešamība veidot konkurētspējīgāku un mazāk birokrātisku vienoto tirgu; </w:t>
            </w:r>
            <w:r>
              <w:rPr>
                <w:b/>
                <w:i/>
              </w:rPr>
              <w:t>mudina Komisiju rīkoties izlēmīgi un īstermiņā iesniegt tiesību aktu priekšlikumus, lai īstenotu vismaz būtisku šajos ziņojumos sniegto ieteikumu daļu;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Lídia Pereira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atzinīgi vērtē to, ka pēc Dragi un Letas ziņojumiem </w:t>
            </w:r>
            <w:r>
              <w:rPr>
                <w:b/>
                <w:i/>
              </w:rPr>
              <w:t>ir atzīta</w:t>
            </w:r>
            <w:r>
              <w:t xml:space="preserve"> nepieciešamība veidot konkurētspējīgāku un mazāk birokrātisku vienoto tirgu;</w:t>
            </w:r>
          </w:p>
        </w:tc>
        <w:tc>
          <w:tcPr>
            <w:tcW w:w="4876" w:type="dxa"/>
            <w:tcBorders>
              <w:top w:val="nil"/>
              <w:left w:val="nil"/>
              <w:bottom w:val="nil"/>
              <w:right w:val="nil"/>
            </w:tcBorders>
          </w:tcPr>
          <w:p>
            <w:pPr>
              <w:pStyle w:val="Normal6a"/>
            </w:pPr>
            <w:r>
              <w:t>2.</w:t>
            </w:r>
            <w:r>
              <w:tab/>
            </w:r>
            <w:r>
              <w:t xml:space="preserve">atzinīgi vērtē to, ka pēc Dragi un Letas ziņojumiem nepieciešamība veidot konkurētspējīgāku un mazāk birokrātisku vienoto tirgu </w:t>
            </w:r>
            <w:r>
              <w:rPr>
                <w:b/>
                <w:i/>
              </w:rPr>
              <w:t>ir atzīta par šā sasaukuma politisko prioritāti un ārkārtīgi svarīgu ES mērķi, kas prasa tūlītēju un izlēmīgu rīcību gan regulatīvajā, gan politiskajā dimensijā</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atzinīgi vērtē to, ka pēc Dragi un Letas ziņojumiem ir atzīta nepieciešamība veidot konkurētspējīgāku un mazāk birokrātisku vienoto tirgu;</w:t>
            </w:r>
          </w:p>
        </w:tc>
        <w:tc>
          <w:tcPr>
            <w:tcW w:w="4876" w:type="dxa"/>
            <w:tcBorders>
              <w:top w:val="nil"/>
              <w:left w:val="nil"/>
              <w:bottom w:val="nil"/>
              <w:right w:val="nil"/>
            </w:tcBorders>
          </w:tcPr>
          <w:p>
            <w:pPr>
              <w:pStyle w:val="Normal6a"/>
            </w:pPr>
            <w:r>
              <w:t>2.</w:t>
            </w:r>
            <w:r>
              <w:tab/>
            </w:r>
            <w:r>
              <w:t>atzinīgi vērtē to, ka pēc Dragi un Letas ziņojumiem ir atzīta nepieciešamība veidot konkurētspējīgāku un mazāk birokrātisku vienoto tirgu</w:t>
            </w:r>
            <w:r>
              <w:rPr>
                <w:b/>
                <w:i/>
              </w:rPr>
              <w:t>, jo īpaši norādot uz nepieciešamību piesaistīt privātos ieguldījumus</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atzinīgi vērtē to, ka pēc Dragi un Letas ziņojumiem ir atzīta nepieciešamība veidot konkurētspējīgāku un </w:t>
            </w:r>
            <w:r>
              <w:rPr>
                <w:b/>
                <w:i/>
              </w:rPr>
              <w:t>mazāk birokrātisku</w:t>
            </w:r>
            <w:r>
              <w:t xml:space="preserve"> vienoto tirgu;</w:t>
            </w:r>
          </w:p>
        </w:tc>
        <w:tc>
          <w:tcPr>
            <w:tcW w:w="4876" w:type="dxa"/>
            <w:tcBorders>
              <w:top w:val="nil"/>
              <w:left w:val="nil"/>
              <w:bottom w:val="nil"/>
              <w:right w:val="nil"/>
            </w:tcBorders>
          </w:tcPr>
          <w:p>
            <w:pPr>
              <w:pStyle w:val="Normal6a"/>
            </w:pPr>
            <w:r>
              <w:t>2.</w:t>
            </w:r>
            <w:r>
              <w:tab/>
            </w:r>
            <w:r>
              <w:t xml:space="preserve">atzinīgi vērtē to, ka pēc Dragi un Letas ziņojumiem ir atzīta nepieciešamība veidot konkurētspējīgāku un </w:t>
            </w:r>
            <w:r>
              <w:rPr>
                <w:b/>
                <w:i/>
              </w:rPr>
              <w:t>ilgtspējīgāku</w:t>
            </w:r>
            <w:r>
              <w:t xml:space="preserve"> vienoto tirgu;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Tsvetelina Penkova,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atzinīgi vērtē to, ka pēc Dragi un Letas ziņojumiem ir atzīta nepieciešamība veidot </w:t>
            </w:r>
            <w:r>
              <w:rPr>
                <w:b/>
                <w:i/>
              </w:rPr>
              <w:t>konkurētspējīgāku un mazāk birokrātisku</w:t>
            </w:r>
            <w:r>
              <w:t xml:space="preserve"> vienoto tirgu;</w:t>
            </w:r>
          </w:p>
        </w:tc>
        <w:tc>
          <w:tcPr>
            <w:tcW w:w="4876" w:type="dxa"/>
            <w:tcBorders>
              <w:top w:val="nil"/>
              <w:left w:val="nil"/>
              <w:bottom w:val="nil"/>
              <w:right w:val="nil"/>
            </w:tcBorders>
          </w:tcPr>
          <w:p>
            <w:pPr>
              <w:pStyle w:val="Normal6a"/>
            </w:pPr>
            <w:r>
              <w:t>2.</w:t>
            </w:r>
            <w:r>
              <w:tab/>
            </w:r>
            <w:r>
              <w:t xml:space="preserve">atzinīgi vērtē to, ka pēc Dragi un Letas ziņojumiem ir atzīta nepieciešamība veidot </w:t>
            </w:r>
            <w:r>
              <w:rPr>
                <w:b/>
                <w:i/>
              </w:rPr>
              <w:t>integrētāku</w:t>
            </w:r>
            <w:r>
              <w:t xml:space="preserve"> vienoto tirgu;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uzsver, ka finanšu nozares stabilitāte ir tās konkurētspējas galvenais elements;</w:t>
            </w:r>
            <w:r>
              <w:t xml:space="preserve"> </w:t>
            </w:r>
            <w:r>
              <w:rPr>
                <w:b/>
                <w:i/>
              </w:rPr>
              <w:t>šajā sakarā uzsver, ka jāturpina un jāpabeidz pēc finanšu krīzes īstenotās reformas;</w:t>
            </w:r>
            <w:r>
              <w:t xml:space="preserve"> </w:t>
            </w:r>
            <w:r>
              <w:rPr>
                <w:b/>
                <w:i/>
              </w:rPr>
              <w:t>uzsver, ka tikai pilnīga Bāzeles standartu īstenošana nodrošinātu ES banku finansiālo stabilitāti;</w:t>
            </w:r>
            <w:r>
              <w:t xml:space="preserve"> </w:t>
            </w:r>
            <w:r>
              <w:rPr>
                <w:b/>
                <w:i/>
              </w:rPr>
              <w:t>atgādina, ka Kapitāla prasību regulā ir iekļauts MVU atbalsta faktors, lai stimulētu banku aizdevumus MVU;</w:t>
            </w:r>
            <w:r>
              <w:t xml:space="preserve"> </w:t>
            </w:r>
            <w:r>
              <w:rPr>
                <w:b/>
                <w:i/>
              </w:rPr>
              <w:t>norāda, ka, salīdzinot ar 2017. gadu, 2024. gadā uzņēmumu obligācijas un kapitāla vērtspapīri veido apdrošinātāju aktīvu portfeļa lielāku daļu;</w:t>
            </w:r>
            <w:r>
              <w:t xml:space="preserve"> </w:t>
            </w:r>
            <w:r>
              <w:rPr>
                <w:b/>
                <w:i/>
              </w:rPr>
              <w:t>uzsver, ka tas apliecina to, ka stabils prudenciālais regulējums "Maksātspēja II" nav kavējis apdrošinātāju investīcijas reālajā ekonomikā, bet drīzāk veicinājis tās;</w:t>
            </w:r>
            <w:r>
              <w:t xml:space="preserve"> </w:t>
            </w:r>
            <w:r>
              <w:rPr>
                <w:b/>
                <w:i/>
              </w:rPr>
              <w:t>uzskata, ka, pabeidzot "Maksātspēja II" pārskatīšanu, ir jāsaglabā regulējuma prudenciālā stabilitāte;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atzīst grūtības, jo īpaši mazākiem uzņēmumiem, izprast daudzos fondus un programmas, kas pieejami Eiropas Savienībā;</w:t>
            </w:r>
            <w:r>
              <w:t xml:space="preserve"> </w:t>
            </w:r>
            <w:r>
              <w:rPr>
                <w:b/>
                <w:i/>
              </w:rPr>
              <w:t>uzsver, ka sieviešu vadīti, migrantu vadīti un minoritāšu vadīti MVU saskaras ar papildu strukturālu diskrimināciju un nepietiekamu finansējumu, kas veicina pastāvīgu ekonomisko nevienlīdzību;</w:t>
            </w:r>
            <w:r>
              <w:t xml:space="preserve"> </w:t>
            </w:r>
            <w:r>
              <w:rPr>
                <w:b/>
                <w:i/>
              </w:rPr>
              <w:t>aicina Komisiju novērst šo diskrimināciju ar atbilstošām atbalsta programmām un finansēšanas risinājumiem;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uzsver, ka uzņēmumu piekļuve finansējumam arvien vairāk būs saistīta ar spēju atklāt savu sociālo ietekmi un ietekmi uz vidi, lai apmierinātu lielāku ieguldītāju un finanšu tirgu vajadzības, tāpēc mudina Komisiju izstrādāt vienkāršotu un pilnībā digitalizētu ziņošanas sistēmu ar mērķi atbalstīt MVU un augošus uzņēmumus to izaugsmes procesā;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Tsvetelina Penkova,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atbalsta Eiropas Komisijas izstrādāto jaunuzņēmumu un augošo uzņēmumu stratēģiju;</w:t>
            </w:r>
            <w:r>
              <w:t xml:space="preserve"> </w:t>
            </w:r>
            <w:r>
              <w:rPr>
                <w:b/>
                <w:i/>
              </w:rPr>
              <w:t>uzskata, ka tā veicinās inovāciju un risinās problēmas, ar kurām saskaras individuāli novatori, dibinātāji, jaunuzņēmumi un augoši uzņēmumi 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Jonás Fernández, Tsvetelina Penkova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uzsver — lai konsolidētu vienoto tirgu, ir jāapzina un jālikvidē iekšējie šķēršļi, kas kavē tā pilnīgu integrāciju un apdraud Eiropas konkurētspēju;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3.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uzsver, ka ES būtu jācenšas atvieglot uzņēmējdarbības vidi Eiropas uzņēmējiem un radīt augošo uzņēmumu ekosistēmu, kas galvenokārt balstās uz privātiem ieguldījumiem;</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3.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uzsver, ka ES būtu jācenšas atvieglot uzņēmējdarbības vidi Eiropas uzņēmējiem un radīt augošo uzņēmumu ekosistēmu, kas galvenokārt balstās uz privātiem ieguldījumiem;</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3.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uzsver, ka ES būtu jācenšas </w:t>
            </w:r>
            <w:r>
              <w:rPr>
                <w:b/>
                <w:i/>
              </w:rPr>
              <w:t>atvieglot</w:t>
            </w:r>
            <w:r>
              <w:t xml:space="preserve"> uzņēmējdarbības vidi Eiropas </w:t>
            </w:r>
            <w:r>
              <w:rPr>
                <w:b/>
                <w:i/>
              </w:rPr>
              <w:t>uzņēmējiem un radīt augošo uzņēmumu ekosistēmu, kas</w:t>
            </w:r>
            <w:r>
              <w:t xml:space="preserve"> galvenokārt </w:t>
            </w:r>
            <w:r>
              <w:rPr>
                <w:b/>
                <w:i/>
              </w:rPr>
              <w:t>balstās uz privātiem ieguldījumiem</w:t>
            </w:r>
            <w:r>
              <w:t>;</w:t>
            </w:r>
          </w:p>
        </w:tc>
        <w:tc>
          <w:tcPr>
            <w:tcW w:w="4876" w:type="dxa"/>
            <w:tcBorders>
              <w:top w:val="nil"/>
              <w:left w:val="nil"/>
              <w:bottom w:val="nil"/>
              <w:right w:val="nil"/>
            </w:tcBorders>
          </w:tcPr>
          <w:p>
            <w:pPr>
              <w:pStyle w:val="Normal6a"/>
            </w:pPr>
            <w:r>
              <w:t>3.</w:t>
            </w:r>
            <w:r>
              <w:tab/>
            </w:r>
            <w:r>
              <w:t xml:space="preserve">uzsver, ka ES būtu jācenšas </w:t>
            </w:r>
            <w:r>
              <w:rPr>
                <w:b/>
                <w:i/>
              </w:rPr>
              <w:t>veicināt pievilcīgu</w:t>
            </w:r>
            <w:r>
              <w:t xml:space="preserve"> uzņēmējdarbības vidi </w:t>
            </w:r>
            <w:r>
              <w:rPr>
                <w:b/>
                <w:i/>
              </w:rPr>
              <w:t>gan</w:t>
            </w:r>
            <w:r>
              <w:t xml:space="preserve"> Eiropas</w:t>
            </w:r>
            <w:r>
              <w:rPr>
                <w:b/>
                <w:i/>
              </w:rPr>
              <w:t>, gan starptautiskā kapitāla un ieguldījumu mobilizēšanai;</w:t>
            </w:r>
            <w:r>
              <w:t xml:space="preserve"> </w:t>
            </w:r>
            <w:r>
              <w:rPr>
                <w:b/>
                <w:i/>
              </w:rPr>
              <w:t>mudina veicināt augošas ekosistēmas izveidi, kuras pamatā</w:t>
            </w:r>
            <w:r>
              <w:t xml:space="preserve"> galvenokārt </w:t>
            </w:r>
            <w:r>
              <w:rPr>
                <w:b/>
                <w:i/>
              </w:rPr>
              <w:t>ir privāti ieguldījumi un publiskā un privātā sektora partnerības, kas ļauj palielināt kapitālu un atvieglot uzņēmumu piekļuvi finansējumam</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3.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uzsver, ka ES būtu jācenšas atvieglot uzņēmējdarbības vidi Eiropas uzņēmējiem </w:t>
            </w:r>
            <w:r>
              <w:rPr>
                <w:b/>
                <w:i/>
              </w:rPr>
              <w:t>un radīt</w:t>
            </w:r>
            <w:r>
              <w:t xml:space="preserve"> augošo uzņēmumu ekosistēmu, kas galvenokārt balstās uz privātiem ieguldījumiem;</w:t>
            </w:r>
          </w:p>
        </w:tc>
        <w:tc>
          <w:tcPr>
            <w:tcW w:w="4876" w:type="dxa"/>
            <w:tcBorders>
              <w:top w:val="nil"/>
              <w:left w:val="nil"/>
              <w:bottom w:val="nil"/>
              <w:right w:val="nil"/>
            </w:tcBorders>
          </w:tcPr>
          <w:p>
            <w:pPr>
              <w:pStyle w:val="Normal6a"/>
            </w:pPr>
            <w:r>
              <w:t>3.</w:t>
            </w:r>
            <w:r>
              <w:tab/>
            </w:r>
            <w:r>
              <w:t xml:space="preserve">Uzsver, ka ES būtu jācenšas atvieglot uzņēmējdarbības vidi </w:t>
            </w:r>
            <w:r>
              <w:rPr>
                <w:b/>
                <w:i/>
              </w:rPr>
              <w:t>uzņēmējiem un</w:t>
            </w:r>
            <w:r>
              <w:t xml:space="preserve"> Eiropas uzņēmējiem</w:t>
            </w:r>
            <w:r>
              <w:rPr>
                <w:b/>
                <w:i/>
              </w:rPr>
              <w:t>, likvidējot nevajadzīgus šķēršļus, nodrošinot paredzamu tiesisko regulējumu un izveidojot</w:t>
            </w:r>
            <w:r>
              <w:t xml:space="preserve"> augošo uzņēmumu ekosistēmu, kas galvenokārt balstās uz privātiem ieguldījumiem</w:t>
            </w:r>
            <w:r>
              <w:rPr>
                <w:b/>
                <w:i/>
              </w:rPr>
              <w:t>, kas veicina inovāciju, konkurenci un ekonomikas izaugsmi</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Tsvetelina Penkova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3.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uzsver, ka ES būtu jācenšas atvieglot uzņēmējdarbības vidi Eiropas uzņēmējiem un radīt augošo uzņēmumu ekosistēmu, kas </w:t>
            </w:r>
            <w:r>
              <w:rPr>
                <w:b/>
                <w:i/>
              </w:rPr>
              <w:t>galvenokārt</w:t>
            </w:r>
            <w:r>
              <w:t xml:space="preserve"> balstās uz privātiem ieguldījumiem;</w:t>
            </w:r>
          </w:p>
        </w:tc>
        <w:tc>
          <w:tcPr>
            <w:tcW w:w="4876" w:type="dxa"/>
            <w:tcBorders>
              <w:top w:val="nil"/>
              <w:left w:val="nil"/>
              <w:bottom w:val="nil"/>
              <w:right w:val="nil"/>
            </w:tcBorders>
          </w:tcPr>
          <w:p>
            <w:pPr>
              <w:pStyle w:val="Normal6a"/>
            </w:pPr>
            <w:r>
              <w:t>3.</w:t>
            </w:r>
            <w:r>
              <w:tab/>
            </w:r>
            <w:r>
              <w:t xml:space="preserve">uzsver, ka ES būtu jācenšas atvieglot uzņēmējdarbības vidi Eiropas uzņēmējiem un radīt augošo uzņēmumu ekosistēmu, kas balstās </w:t>
            </w:r>
            <w:r>
              <w:rPr>
                <w:b/>
                <w:i/>
              </w:rPr>
              <w:t>gan</w:t>
            </w:r>
            <w:r>
              <w:t xml:space="preserve"> uz privātiem</w:t>
            </w:r>
            <w:r>
              <w:rPr>
                <w:b/>
                <w:i/>
              </w:rPr>
              <w:t>, gan publiskiem</w:t>
            </w:r>
            <w:r>
              <w:t xml:space="preserve"> ieguldījumiem;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3.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uzsver, ka ES būtu jācenšas atvieglot uzņēmējdarbības vidi Eiropas uzņēmējiem un radīt augošo uzņēmumu ekosistēmu, kas galvenokārt balstās uz privātiem ieguldījumiem;</w:t>
            </w:r>
          </w:p>
        </w:tc>
        <w:tc>
          <w:tcPr>
            <w:tcW w:w="4876" w:type="dxa"/>
            <w:tcBorders>
              <w:top w:val="nil"/>
              <w:left w:val="nil"/>
              <w:bottom w:val="nil"/>
              <w:right w:val="nil"/>
            </w:tcBorders>
          </w:tcPr>
          <w:p>
            <w:pPr>
              <w:pStyle w:val="Normal6a"/>
            </w:pPr>
            <w:r>
              <w:t>3.</w:t>
            </w:r>
            <w:r>
              <w:tab/>
            </w:r>
            <w:r>
              <w:t xml:space="preserve">uzsver, ka ES būtu jācenšas atvieglot uzņēmējdarbības vidi Eiropas uzņēmējiem un radīt augošo uzņēmumu ekosistēmu, kas galvenokārt balstās uz privātiem ieguldījumiem; </w:t>
            </w:r>
            <w:r>
              <w:rPr>
                <w:b/>
                <w:i/>
              </w:rPr>
              <w:t>pieņem zināšanai Komisijas izstrādāto ES jaunuzņēmumu un augošo uzņēmumu stratēģiju;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Jorge Martín Frías, Enikő Győri, Tomáš Kubín, Pierre Pimpie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3.a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uzsver, ka, lai gan Komisijas publicētajā jaunuzņēmumu un augošu uzņēmumu stratēģijā iekļautā diagnostika lielā mērā ir sekmīga, ierosinātajiem pasākumiem ir jābūt vērienīgākiem.</w:t>
            </w:r>
            <w:r>
              <w:t xml:space="preserve"> </w:t>
            </w:r>
            <w:r>
              <w:rPr>
                <w:b/>
                <w:i/>
              </w:rPr>
              <w:t>Būtu jāliek uzsvars uz visu to Eiropas noteikumu atcelšanu, kas rada nevajadzīgus birokrātiskus šķēršļus, kuri kavē uzņēmumu izveidi un paplašināšanos.</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3.a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atzīst privātā sektora centrālo lomu Eiropas Savienības izaugsmē un labklājībā;</w:t>
            </w:r>
            <w:r>
              <w:t xml:space="preserve"> </w:t>
            </w:r>
            <w:r>
              <w:rPr>
                <w:b/>
                <w:i/>
              </w:rPr>
              <w:t>atgādina, ka konkurētspējīga ekonomika, piemēram, Eiropas ekonomika, ir atkarīga no dinamiskas uzņēmējdarbības struktūras un vides, kas stimulē privātos ieguldījumus, uzņēmējdarbību un vērtības radīšanu;</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Tsvetelina Penkova,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3.a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ir pārliecināts, ka īpašas jaunuzņēmumu un augošo uzņēmumu definīcijas palielinās atbalsta iespējas, izmantojot pasākumus, kas ir pielāgoti jaunuzņēmumu un augošo uzņēmumu vajadzībām un īpatnībām, uzlabojot to piekļuvi Eiropas kapitāla tirgiem un privātajiem investoriem;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3.a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atgādina, ka ražīguma pieaugumu galvenokārt varētu panākt, investējot inovatīvās darbībās;</w:t>
            </w:r>
            <w:r>
              <w:t xml:space="preserve"> </w:t>
            </w:r>
            <w:r>
              <w:rPr>
                <w:b/>
                <w:i/>
              </w:rPr>
              <w:t>atzīst, ka ilgtspējīgas ekonomikas veidošana ir svarīga ES ekonomikas konkurētspējas priekšrocība un ES ekonomiskās suverenitātes stūrakmens;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3.a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atzīst, ka banku aizdevumi tradicionāli ir vissvarīgākais MVU finansējuma avots Savienībā, jo banku finansējums veido vairāk nekā trīs ceturtdaļas no MVU finansējuma</w:t>
            </w:r>
            <w:r>
              <w:rPr>
                <w:b/>
                <w:i/>
                <w:vertAlign w:val="superscript"/>
              </w:rPr>
              <w:t>1a</w:t>
            </w:r>
            <w:r>
              <w:rPr>
                <w:b/>
                <w:i/>
              </w:rPr>
              <w:t>, padarot MVU īpaši neaizsargātus pret banku aizdevumu ierobežojumiem;</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ESAO (2024), “Financing SMEs and Entrepreneurs 2024:</w:t>
            </w:r>
            <w:r>
              <w:t xml:space="preserve"> </w:t>
            </w:r>
            <w:r>
              <w:rPr>
                <w:b/>
                <w:i/>
              </w:rPr>
              <w:t>An OECD Scoreboard" (MVU un uzņēmēju finansēšana 2024. gadā — ESAO rezultātu pārskats), OECD Publishing, Parīze, https://doi.org/10.1787/fa521246-en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3.a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apgalvo, ka augošā koncentrācija banku nozarē un pievēršanās uz risku balstītām aizdevumu sistēmām vēl vairāk saasina MVU finansiālo atstumtību, jo īpaši nomaļos ES reģionos ar nepietiekamu pakalpojumu klāstu;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3.b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3.b</w:t>
            </w:r>
            <w:r>
              <w:tab/>
            </w:r>
            <w:r>
              <w:rPr>
                <w:b/>
                <w:i/>
              </w:rPr>
              <w:t>uzsver, ka finansējuma sniegšanā MVU liela un stratēģiska nozīme ir bankām, kuras pārzina konkrēto reģionu un vietējo situāciju, jo tās jau ilgstoši sadarbojas ar minētajiem uzņēmumiem;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3.c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3.c</w:t>
            </w:r>
            <w:r>
              <w:tab/>
            </w:r>
            <w:r>
              <w:rPr>
                <w:b/>
                <w:i/>
              </w:rPr>
              <w:t>uzskata, ka ir būtiski veicināt gan sieviešu, gan jauniešu lomu un pamanāmību MVU nozarē, kur viņu līdzdalība joprojām ir nesamērīgi zema;</w:t>
            </w:r>
            <w:r>
              <w:t xml:space="preserve"> </w:t>
            </w:r>
            <w:r>
              <w:rPr>
                <w:b/>
                <w:i/>
              </w:rPr>
              <w:t>mērķtiecīgiem politikas pasākumiem būtu jāatbalsta šo grupu uzņēmējdarbība un finansiālā iekļaušana, izmantojot pielāgotus finanšu instrumentus, spēju veidošanas programmas, īpašus mentorēšanas tīklus un stimulus riska kapitālam un finanšu starpniekiem, lai atbalstītu sieviešu vadītus un jauniešu vadītus uzņēmumus;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4.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vērš uzmanību uz īpašajām problēmām, ar kurām saskaras Eiropas augošie uzņēmumi saistībā ar vēlīnā posma izaugsmes finansējuma saņemšanu;</w:t>
            </w:r>
            <w:r>
              <w:t xml:space="preserve"> </w:t>
            </w:r>
            <w:r>
              <w:rPr>
                <w:b/>
                <w:i/>
              </w:rPr>
              <w:t>norāda, ka daudzi ES uzņēmumi ar augstu potenciālu joprojām ir atkarīgi no ārvalstu riska kapitāla un ieguldītājiem un ka lielu daļu finansējuma vēlākos posmos nodrošina ieguldītāji ārpus Eiropas;</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4.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vērš uzmanību uz īpašajām problēmām, ar kurām saskaras Eiropas augošie uzņēmumi saistībā ar vēlīnā posma izaugsmes finansējuma saņemšanu;</w:t>
            </w:r>
            <w:r>
              <w:t xml:space="preserve"> </w:t>
            </w:r>
            <w:r>
              <w:rPr>
                <w:b/>
                <w:i/>
              </w:rPr>
              <w:t>norāda, ka daudzi ES uzņēmumi ar augstu potenciālu joprojām ir atkarīgi no ārvalstu riska kapitāla un ieguldītājiem un ka lielu daļu finansējuma vēlākos posmos nodrošina ieguldītāji ārpus Eiropas;</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4.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vērš uzmanību uz īpašajām problēmām, ar kurām saskaras Eiropas augošie uzņēmumi saistībā ar vēlīnā posma izaugsmes finansējuma saņemšanu; norāda, ka daudzi ES uzņēmumi ar augstu potenciālu joprojām </w:t>
            </w:r>
            <w:r>
              <w:rPr>
                <w:b/>
                <w:i/>
              </w:rPr>
              <w:t>ir atkarīgi no ārvalstu</w:t>
            </w:r>
            <w:r>
              <w:t xml:space="preserve"> riska </w:t>
            </w:r>
            <w:r>
              <w:rPr>
                <w:b/>
                <w:i/>
              </w:rPr>
              <w:t>kapitāla un ieguldītājiem un</w:t>
            </w:r>
            <w:r>
              <w:t xml:space="preserve"> ka </w:t>
            </w:r>
            <w:r>
              <w:rPr>
                <w:b/>
                <w:i/>
              </w:rPr>
              <w:t>lielu daļu</w:t>
            </w:r>
            <w:r>
              <w:t xml:space="preserve"> finansējuma </w:t>
            </w:r>
            <w:r>
              <w:rPr>
                <w:b/>
                <w:i/>
              </w:rPr>
              <w:t>vēlākos posmos nodrošina ieguldītāji ārpus Eiropas</w:t>
            </w:r>
            <w:r>
              <w:t>;</w:t>
            </w:r>
          </w:p>
        </w:tc>
        <w:tc>
          <w:tcPr>
            <w:tcW w:w="4876" w:type="dxa"/>
            <w:tcBorders>
              <w:top w:val="nil"/>
              <w:left w:val="nil"/>
              <w:bottom w:val="nil"/>
              <w:right w:val="nil"/>
            </w:tcBorders>
          </w:tcPr>
          <w:p>
            <w:pPr>
              <w:pStyle w:val="Normal6a"/>
            </w:pPr>
            <w:r>
              <w:t>4.</w:t>
            </w:r>
            <w:r>
              <w:tab/>
            </w:r>
            <w:r>
              <w:t xml:space="preserve">vērš uzmanību uz īpašajām problēmām, ar kurām saskaras Eiropas augošie uzņēmumi saistībā ar vēlīnā posma izaugsmes finansējuma saņemšanu; norāda, ka daudzi ES uzņēmumi ar augstu potenciālu joprojām </w:t>
            </w:r>
            <w:r>
              <w:rPr>
                <w:b/>
                <w:i/>
              </w:rPr>
              <w:t>paļaujas uz</w:t>
            </w:r>
            <w:r>
              <w:t xml:space="preserve"> riska </w:t>
            </w:r>
            <w:r>
              <w:rPr>
                <w:b/>
                <w:i/>
              </w:rPr>
              <w:t>kapitālu no ārvalstīm, un tas uzsver nepieciešamību radīt pievilcīgākus apstākļus ieguldījumiem Savienībā;</w:t>
            </w:r>
            <w:r>
              <w:t xml:space="preserve"> </w:t>
            </w:r>
            <w:r>
              <w:rPr>
                <w:b/>
                <w:i/>
              </w:rPr>
              <w:t>uzsver,</w:t>
            </w:r>
            <w:r>
              <w:t xml:space="preserve"> ka finansējuma </w:t>
            </w:r>
            <w:r>
              <w:rPr>
                <w:b/>
                <w:i/>
              </w:rPr>
              <w:t>pieejamības pamatā vajadzētu būt ekonomiskās efektivitātes, rentabilitātes un mērogojamības kritērijiem neatkarīgi no kapitāla avota, un atgādina, ka atvērta un globāla konkurence, lai piesaistītu ieguldījumus, dod labumu uzņēmumiem un inovācijai</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Tsvetelina Penkova,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4.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vērš uzmanību uz īpašajām problēmām, ar kurām saskaras Eiropas augošie uzņēmumi saistībā ar vēlīnā posma izaugsmes finansējuma saņemšanu; norāda, ka daudzi ES uzņēmumi ar augstu potenciālu joprojām ir atkarīgi no ārvalstu riska kapitāla un ieguldītājiem un ka lielu daļu finansējuma vēlākos posmos nodrošina ieguldītāji ārpus Eiropas;</w:t>
            </w:r>
          </w:p>
        </w:tc>
        <w:tc>
          <w:tcPr>
            <w:tcW w:w="4876" w:type="dxa"/>
            <w:tcBorders>
              <w:top w:val="nil"/>
              <w:left w:val="nil"/>
              <w:bottom w:val="nil"/>
              <w:right w:val="nil"/>
            </w:tcBorders>
          </w:tcPr>
          <w:p>
            <w:pPr>
              <w:pStyle w:val="Normal6a"/>
            </w:pPr>
            <w:r>
              <w:t>4.</w:t>
            </w:r>
            <w:r>
              <w:tab/>
            </w:r>
            <w:r>
              <w:t xml:space="preserve">vērš uzmanību uz īpašajām problēmām, ar kurām saskaras Eiropas augošie uzņēmumi saistībā ar vēlīnā posma izaugsmes finansējuma saņemšanu; norāda, ka daudzi ES uzņēmumi ar augstu potenciālu joprojām ir atkarīgi no ārvalstu riska kapitāla un ieguldītājiem un ka lielu daļu finansējuma vēlākos posmos nodrošina ieguldītāji ārpus Eiropas; </w:t>
            </w:r>
            <w:r>
              <w:rPr>
                <w:b/>
                <w:i/>
              </w:rPr>
              <w:t>atzinīgi vērtē to, ka nesen tika pieņemts ES tiesību akts par iekļaušanu biržas sarakstā, kas atvieglos visu lielumu uzņēmumiem, tostarp MVU, iespējas tikt kotētiem Eiropas biržās;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4.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vērš uzmanību uz īpašajām problēmām, ar kurām saskaras Eiropas augošie uzņēmumi saistībā ar vēlīnā posma izaugsmes finansējuma saņemšanu; norāda, ka daudzi ES uzņēmumi ar augstu potenciālu joprojām ir atkarīgi no ārvalstu riska kapitāla un ieguldītājiem un ka </w:t>
            </w:r>
            <w:r>
              <w:rPr>
                <w:b/>
                <w:i/>
              </w:rPr>
              <w:t>lielu daļu finansējuma vēlākos posmos nodrošina ieguldītāji ārpus</w:t>
            </w:r>
            <w:r>
              <w:t xml:space="preserve"> Eiropas;</w:t>
            </w:r>
          </w:p>
        </w:tc>
        <w:tc>
          <w:tcPr>
            <w:tcW w:w="4876" w:type="dxa"/>
            <w:tcBorders>
              <w:top w:val="nil"/>
              <w:left w:val="nil"/>
              <w:bottom w:val="nil"/>
              <w:right w:val="nil"/>
            </w:tcBorders>
          </w:tcPr>
          <w:p>
            <w:pPr>
              <w:pStyle w:val="Normal6a"/>
            </w:pPr>
            <w:r>
              <w:t>4.</w:t>
            </w:r>
            <w:r>
              <w:tab/>
            </w:r>
            <w:r>
              <w:t xml:space="preserve">vērš uzmanību uz īpašajām problēmām, ar kurām saskaras Eiropas augošie uzņēmumi saistībā ar vēlīnā posma izaugsmes finansējuma saņemšanu; norāda, ka daudzi ES uzņēmumi ar augstu potenciālu joprojām ir atkarīgi no ārvalstu riska kapitāla un ieguldītājiem un ka </w:t>
            </w:r>
            <w:r>
              <w:rPr>
                <w:b/>
                <w:i/>
              </w:rPr>
              <w:t>liela daļa no Eiropas uzņēmumiem neatrod finansējumu</w:t>
            </w:r>
            <w:r>
              <w:t xml:space="preserve"> Eiropas </w:t>
            </w:r>
            <w:r>
              <w:rPr>
                <w:b/>
                <w:i/>
              </w:rPr>
              <w:t>robežās, kas liek tiem to meklēt citās jurisdikcijās</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Arba Kokalari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4.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vērš uzmanību uz īpašajām problēmām, ar kurām saskaras Eiropas augošie uzņēmumi saistībā ar vēlīnā posma izaugsmes finansējuma saņemšanu; </w:t>
            </w:r>
            <w:r>
              <w:rPr>
                <w:b/>
                <w:i/>
              </w:rPr>
              <w:t>norāda, ka daudzi ES uzņēmumi ar augstu potenciālu joprojām ir atkarīgi no</w:t>
            </w:r>
            <w:r>
              <w:t xml:space="preserve"> ārvalstu riska kapitāla </w:t>
            </w:r>
            <w:r>
              <w:rPr>
                <w:b/>
                <w:i/>
              </w:rPr>
              <w:t>un ieguldītājiem un ka lielu daļu finansējuma vēlākos posmos nodrošina ieguldītāji ārpus</w:t>
            </w:r>
            <w:r>
              <w:t xml:space="preserve"> Eiropas;</w:t>
            </w:r>
          </w:p>
        </w:tc>
        <w:tc>
          <w:tcPr>
            <w:tcW w:w="4876" w:type="dxa"/>
            <w:tcBorders>
              <w:top w:val="nil"/>
              <w:left w:val="nil"/>
              <w:bottom w:val="nil"/>
              <w:right w:val="nil"/>
            </w:tcBorders>
          </w:tcPr>
          <w:p>
            <w:pPr>
              <w:pStyle w:val="Normal6a"/>
            </w:pPr>
            <w:r>
              <w:t>4.</w:t>
            </w:r>
            <w:r>
              <w:tab/>
            </w:r>
            <w:r>
              <w:t xml:space="preserve">vērš uzmanību uz īpašajām problēmām, ar kurām saskaras Eiropas augošie uzņēmumi saistībā ar vēlīnā posma izaugsmes finansējuma saņemšanu; </w:t>
            </w:r>
            <w:r>
              <w:rPr>
                <w:b/>
                <w:i/>
              </w:rPr>
              <w:t>atzīst</w:t>
            </w:r>
            <w:r>
              <w:t xml:space="preserve"> ārvalstu riska kapitāla </w:t>
            </w:r>
            <w:r>
              <w:rPr>
                <w:b/>
                <w:i/>
              </w:rPr>
              <w:t>kā svarīga</w:t>
            </w:r>
            <w:r>
              <w:t xml:space="preserve"> Eiropas </w:t>
            </w:r>
            <w:r>
              <w:rPr>
                <w:b/>
                <w:i/>
              </w:rPr>
              <w:t>izaugsmes virzītājspēka nozīmi, ņemot vērā to, ka 40 % līdzekļu privātajos tirgos nāk no vietām ārpus 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4.a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uzsver garantiju instrumentu izšķirošo nozīmi MVU finansējuma pieejamības uzlabošanā;</w:t>
            </w:r>
            <w:r>
              <w:t xml:space="preserve"> </w:t>
            </w:r>
            <w:r>
              <w:rPr>
                <w:b/>
                <w:i/>
              </w:rPr>
              <w:t>uzsver, ka šie instrumenti var ievērojami mazināt riskus, kas saistīti ar aizdevumiem mazākiem uzņēmumiem, nodrošinot kredītkvalitātes uzlabojumus un riska dalīšanas mehānismus;</w:t>
            </w:r>
            <w:r>
              <w:t xml:space="preserve"> </w:t>
            </w:r>
            <w:r>
              <w:rPr>
                <w:b/>
                <w:i/>
              </w:rPr>
              <w:t>norāda, ka garantiju instrumenti var piesaistīt plašāku aizdevēju loku, tostarp tos, kas šķietamo risku dēļ var vilcināties, un finansēt plašāku MVU loku;</w:t>
            </w:r>
            <w:r>
              <w:t xml:space="preserve"> </w:t>
            </w:r>
            <w:r>
              <w:rPr>
                <w:b/>
                <w:i/>
              </w:rPr>
              <w:t>aicina Komisiju veicināt garantiju instrumentu plašāku izmantošanu visās dalībvalstīs un pastiprināt garantiju izmantošanu nākamajā plānošanas periodā, ņemot vērā InvestEU panākumus;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ECR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4.a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norāda, ka aptuveni 80 % no Eiropas uzņēmumu ārējā finansējuma nodrošina bankas, salīdzinot ar 20 %, kas nāk no kapitāla tirgiem, savukārt Amerikas Savienotajās Valstīs tikai 30 % no aizdevumiem uzņēmumiem nodrošina bankas, savukārt 70 % tiek finansēti, izmantojot kapitāla tirgus, piemēram, uzņēmumu obligācijas vai kapitāla vērtspapīru emisiju;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4.a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uzsver, ka vienkāršošanai nekad nevajadzētu nozīmēt regulējuma atcelšanu;</w:t>
            </w:r>
            <w:r>
              <w:t xml:space="preserve"> </w:t>
            </w:r>
            <w:r>
              <w:rPr>
                <w:b/>
                <w:i/>
              </w:rPr>
              <w:t>aicina Komisiju un dalībvalstis nodrošināt, ka Eiropas Savienības piedāvātie ieguvumi tiek sniegti uzņēmumiem, kuriem faktiski ir uz tiem tiesības un kuriem tie ir vajadzīgi;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4.a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pauž stingru pārliecību, ka stabila, uzticama un ilgtspējīga finanšu satvara izveide ir būtiska, lai investīcijas novirzītu atbilstoši ES ilgtermiņa mērķiem un piesaistītu starptautiskus investorus;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5.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uzskata, ka finansējuma pieejamību MVU un augošiem uzņēmumiem var atvieglot šādu pasākumu īstenošana:</w:t>
            </w:r>
            <w:r>
              <w:t xml:space="preserve"> </w:t>
            </w:r>
            <w:r>
              <w:rPr>
                <w:b/>
                <w:i/>
              </w:rPr>
              <w:t>i) būtiski jāsamazina birokrātiskais un regulatīvais slogs, ii) jāuzlabo spēja piesaistīt privātās investīcijas un uzkrājumus, iii) jānovērš finansējuma deficīts augošiem uzņēmumiem un iv) jānostiprina konkurētspējīga kapitāla tirgu ekosistēma ES;</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5.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uzskata, ka finansējuma pieejamību MVU un augošiem uzņēmumiem var atvieglot šādu pasākumu īstenošana:</w:t>
            </w:r>
            <w:r>
              <w:t xml:space="preserve"> </w:t>
            </w:r>
            <w:r>
              <w:rPr>
                <w:b/>
                <w:i/>
              </w:rPr>
              <w:t>i) būtiski jāsamazina birokrātiskais un regulatīvais slogs, ii) jāuzlabo spēja piesaistīt privātās investīcijas un uzkrājumus, iii) jānovērš finansējuma deficīts augošiem uzņēmumiem un iv) jānostiprina konkurētspējīga kapitāla tirgu ekosistēma ES;</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Arba Kokalari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5.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uzskata, ka finansējuma pieejamību MVU un augošiem uzņēmumiem var atvieglot šādu pasākumu īstenošana: i) būtiski jāsamazina birokrātiskais un regulatīvais slogs, ii) jāuzlabo spēja piesaistīt privātās investīcijas un uzkrājumus, iii) jānovērš finansējuma deficīts augošiem uzņēmumiem un iv) jānostiprina konkurētspējīga kapitāla tirgu ekosistēma ES;</w:t>
            </w:r>
          </w:p>
        </w:tc>
        <w:tc>
          <w:tcPr>
            <w:tcW w:w="4876" w:type="dxa"/>
            <w:tcBorders>
              <w:top w:val="nil"/>
              <w:left w:val="nil"/>
              <w:bottom w:val="nil"/>
              <w:right w:val="nil"/>
            </w:tcBorders>
          </w:tcPr>
          <w:p>
            <w:pPr>
              <w:pStyle w:val="Normal6a"/>
            </w:pPr>
            <w:r>
              <w:t>5.</w:t>
            </w:r>
            <w:r>
              <w:tab/>
            </w:r>
            <w:r>
              <w:t xml:space="preserve">uzskata, ka finansējuma pieejamību MVU un augošiem uzņēmumiem var atvieglot šādu pasākumu īstenošana: i) būtiski jāsamazina birokrātiskais un regulatīvais slogs, </w:t>
            </w:r>
            <w:r>
              <w:rPr>
                <w:b/>
                <w:i/>
              </w:rPr>
              <w:t>tostarp ilgās atļauju piešķiršanas procedūras, dārgās ziņošanas prasības un normatīvās vides sarežģītība un neparedzamība,</w:t>
            </w:r>
            <w:r>
              <w:t xml:space="preserve"> ii) jāuzlabo spēja piesaistīt privātās investīcijas un uzkrājumus, </w:t>
            </w:r>
            <w:r>
              <w:rPr>
                <w:b/>
                <w:i/>
              </w:rPr>
              <w:t>īstenojot uzkrājumu un investīciju savienību,</w:t>
            </w:r>
            <w:r>
              <w:t xml:space="preserve"> iii) jānovērš finansējuma deficīts augošiem uzņēmumiem</w:t>
            </w:r>
            <w:r>
              <w:rPr>
                <w:b/>
                <w:i/>
              </w:rPr>
              <w:t>, jo īpaši ļaujot institucionālajiem ieguldītājiem būt ilgtermiņa kapitāla ieguldītājiem,</w:t>
            </w:r>
            <w:r>
              <w:t xml:space="preserve"> un iv) jānostiprina konkurētspējīga kapitāla tirgu ekosistēma 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Tsvetelina Penkova,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5.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uzskata, ka finansējuma pieejamību MVU un augošiem uzņēmumiem var atvieglot šādu pasākumu īstenošana: i) </w:t>
            </w:r>
            <w:r>
              <w:rPr>
                <w:b/>
                <w:i/>
              </w:rPr>
              <w:t>būtiski</w:t>
            </w:r>
            <w:r>
              <w:t xml:space="preserve"> jāsamazina birokrātiskais un regulatīvais slogs, ii) jāuzlabo spēja piesaistīt privātās investīcijas un uzkrājumus, iii) jānovērš finansējuma deficīts augošiem uzņēmumiem un iv) jānostiprina konkurētspējīga kapitāla tirgu ekosistēma ES;</w:t>
            </w:r>
          </w:p>
        </w:tc>
        <w:tc>
          <w:tcPr>
            <w:tcW w:w="4876" w:type="dxa"/>
            <w:tcBorders>
              <w:top w:val="nil"/>
              <w:left w:val="nil"/>
              <w:bottom w:val="nil"/>
              <w:right w:val="nil"/>
            </w:tcBorders>
          </w:tcPr>
          <w:p>
            <w:pPr>
              <w:pStyle w:val="Normal6a"/>
            </w:pPr>
            <w:r>
              <w:t>5.</w:t>
            </w:r>
            <w:r>
              <w:tab/>
            </w:r>
            <w:r>
              <w:t xml:space="preserve">uzskata, ka finansējuma pieejamību MVU un augošiem uzņēmumiem var atvieglot šādu pasākumu īstenošana: i) jāsamazina birokrātiskais un regulatīvais slogs, ii) jāuzlabo spēja piesaistīt privātās </w:t>
            </w:r>
            <w:r>
              <w:rPr>
                <w:b/>
                <w:i/>
              </w:rPr>
              <w:t>un publiskās</w:t>
            </w:r>
            <w:r>
              <w:t xml:space="preserve"> investīcijas un uzkrājumus, iii) jānovērš finansējuma deficīts augošiem uzņēmumiem un iv) jānostiprina konkurētspējīga </w:t>
            </w:r>
            <w:r>
              <w:rPr>
                <w:b/>
                <w:i/>
              </w:rPr>
              <w:t>un integrētāka</w:t>
            </w:r>
            <w:r>
              <w:t xml:space="preserve"> kapitāla tirgu ekosistēma</w:t>
            </w:r>
            <w:r>
              <w:rPr>
                <w:b/>
                <w:i/>
              </w:rPr>
              <w:t>, kas ir labi regulēta un pamatojas uz pienācīgu investoru aizsardzību</w:t>
            </w:r>
            <w:r>
              <w:t xml:space="preserve"> 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5.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uzskata, ka finansējuma pieejamību MVU un augošiem uzņēmumiem var atvieglot šādu pasākumu īstenošana: </w:t>
            </w:r>
            <w:r>
              <w:rPr>
                <w:b/>
                <w:i/>
              </w:rPr>
              <w:t>i)</w:t>
            </w:r>
            <w:r>
              <w:t> būtiski jāsamazina birokrātiskais un regulatīvais slogs, ii) jāuzlabo spēja piesaistīt privātās investīcijas un uzkrājumus, iii) jānovērš finansējuma deficīts augošiem uzņēmumiem un iv) jānostiprina konkurētspējīga kapitāla tirgu ekosistēma ES;</w:t>
            </w:r>
          </w:p>
        </w:tc>
        <w:tc>
          <w:tcPr>
            <w:tcW w:w="4876" w:type="dxa"/>
            <w:tcBorders>
              <w:top w:val="nil"/>
              <w:left w:val="nil"/>
              <w:bottom w:val="nil"/>
              <w:right w:val="nil"/>
            </w:tcBorders>
          </w:tcPr>
          <w:p>
            <w:pPr>
              <w:pStyle w:val="Normal6a"/>
            </w:pPr>
            <w:r>
              <w:t>5.</w:t>
            </w:r>
            <w:r>
              <w:tab/>
            </w:r>
            <w:r>
              <w:t xml:space="preserve">uzskata, ka finansējuma pieejamību MVU un augošiem uzņēmumiem var atvieglot šādu pasākumu īstenošana: būtiski </w:t>
            </w:r>
            <w:r>
              <w:rPr>
                <w:b/>
                <w:i/>
              </w:rPr>
              <w:t>un pastāvīgi</w:t>
            </w:r>
            <w:r>
              <w:t xml:space="preserve"> jāsamazina birokrātiskais un regulatīvais slogs, ii) jāuzlabo spēja piesaistīt privātās investīcijas un uzkrājumus, iii) jānovērš finansējuma deficīts augošiem uzņēmumiem un iv) jānostiprina konkurētspējīga kapitāla tirgu ekosistēma 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5.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uzskata, ka finansējuma pieejamību MVU un augošiem uzņēmumiem var atvieglot šādu pasākumu īstenošana: i) </w:t>
            </w:r>
            <w:r>
              <w:rPr>
                <w:b/>
                <w:i/>
              </w:rPr>
              <w:t>būtiski jāsamazina birokrātiskais un regulatīvais slogs, ii) </w:t>
            </w:r>
            <w:r>
              <w:t xml:space="preserve">jāuzlabo spēja piesaistīt privātās investīcijas un uzkrājumus, </w:t>
            </w:r>
            <w:r>
              <w:rPr>
                <w:b/>
                <w:i/>
              </w:rPr>
              <w:t>iii</w:t>
            </w:r>
            <w:r>
              <w:t xml:space="preserve">) jānovērš finansējuma deficīts augošiem uzņēmumiem un </w:t>
            </w:r>
            <w:r>
              <w:rPr>
                <w:b/>
                <w:i/>
              </w:rPr>
              <w:t>iv</w:t>
            </w:r>
            <w:r>
              <w:t>) jānostiprina konkurētspējīga kapitāla tirgu ekosistēma ES;</w:t>
            </w:r>
          </w:p>
        </w:tc>
        <w:tc>
          <w:tcPr>
            <w:tcW w:w="4876" w:type="dxa"/>
            <w:tcBorders>
              <w:top w:val="nil"/>
              <w:left w:val="nil"/>
              <w:bottom w:val="nil"/>
              <w:right w:val="nil"/>
            </w:tcBorders>
          </w:tcPr>
          <w:p>
            <w:pPr>
              <w:pStyle w:val="Normal6a"/>
            </w:pPr>
            <w:r>
              <w:t>5.</w:t>
            </w:r>
            <w:r>
              <w:tab/>
            </w:r>
            <w:r>
              <w:t xml:space="preserve">uzskata, ka finansējuma pieejamību MVU un augošiem uzņēmumiem var atvieglot šādu pasākumu īstenošana: i) jāuzlabo spēja piesaistīt privātās investīcijas un uzkrājumus, </w:t>
            </w:r>
            <w:r>
              <w:rPr>
                <w:b/>
                <w:i/>
              </w:rPr>
              <w:t>ii</w:t>
            </w:r>
            <w:r>
              <w:t xml:space="preserve">) jānovērš finansējuma deficīts augošiem uzņēmumiem un </w:t>
            </w:r>
            <w:r>
              <w:rPr>
                <w:b/>
                <w:i/>
              </w:rPr>
              <w:t>iII</w:t>
            </w:r>
            <w:r>
              <w:t>) jānostiprina konkurētspējīga kapitāla tirgu ekosistēma 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Anouk Van Brug, Billy Kelleher, Stéphanie Yon-Courtin,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5.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uzskata, ka finansējuma pieejamību MVU un augošiem uzņēmumiem var atvieglot šādu pasākumu īstenošana: i) būtiski jāsamazina birokrātiskais un regulatīvais slogs, ii) jāuzlabo spēja piesaistīt privātās investīcijas un uzkrājumus, iii) jānovērš finansējuma deficīts augošiem uzņēmumiem un iv) </w:t>
            </w:r>
            <w:r>
              <w:rPr>
                <w:b/>
                <w:i/>
              </w:rPr>
              <w:t>jānostiprina konkurētspējīga kapitāla tirgu ekosistēma ES</w:t>
            </w:r>
            <w:r>
              <w:t>;</w:t>
            </w:r>
          </w:p>
        </w:tc>
        <w:tc>
          <w:tcPr>
            <w:tcW w:w="4876" w:type="dxa"/>
            <w:tcBorders>
              <w:top w:val="nil"/>
              <w:left w:val="nil"/>
              <w:bottom w:val="nil"/>
              <w:right w:val="nil"/>
            </w:tcBorders>
          </w:tcPr>
          <w:p>
            <w:pPr>
              <w:pStyle w:val="Normal6a"/>
            </w:pPr>
            <w:r>
              <w:t>5.</w:t>
            </w:r>
            <w:r>
              <w:tab/>
            </w:r>
            <w:r>
              <w:t>uzskata, ka finansējuma pieejamību MVU un augošiem uzņēmumiem var atvieglot šādu pasākumu īstenošana: i) būtiski jāsamazina birokrātiskais un regulatīvais slogs, ii) jāuzlabo spēja piesaistīt privātās investīcijas un uzkrājumus, iii) jānovērš finansējuma deficīts augošiem uzņēmumiem un iv) </w:t>
            </w:r>
            <w:r>
              <w:rPr>
                <w:b/>
                <w:i/>
              </w:rPr>
              <w:t>jāpabeidz uzkrājumu un investīciju savienības izveide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5.a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uzsver, ka MVU finansējums būtu jāpiešķir tur, kur ir labvēlīgāki apstākļi to izaugsmei un mērogojamībai neatkarīgi no kapitāla ģeogrāfiskās izcelsmes;</w:t>
            </w:r>
            <w:r>
              <w:t xml:space="preserve"> </w:t>
            </w:r>
            <w:r>
              <w:rPr>
                <w:b/>
                <w:i/>
              </w:rPr>
              <w:t>uzskata, ka jebkāda politiska ievirze, kurā prioritāte tiek piešķirta finanšu nacionālismam vai „Eiropas” kapitāla prioritātei, nevis ekonomiskās efektivitātes, rentabilitātes un riska profila kritērijiem, nav produktīva;</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5.a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uzsver EIB intervences nozīmi MVU un jaunuzņēmumu atbalstīšanā, jo īpaši stratēģiskās nozarēs;</w:t>
            </w:r>
            <w:r>
              <w:t xml:space="preserve"> </w:t>
            </w:r>
            <w:r>
              <w:rPr>
                <w:b/>
                <w:i/>
              </w:rPr>
              <w:t>uzsver, ka šie aizdevumi ir būtiski mūsu ekonomikas attīstībai, jo īpaši ekonomiski depresīvās un marginalizētās teritorijās, un tos nedrīkst novirzīt militārām vai divējāda lietojuma tehnoloģijām;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Danuše Nerudová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5.a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aicina Komisiju un EIB grupu nodrošināt, ka InvestEU MVU sadaļai ir pietiekami resursi un saglabāta spēja atbalstīt inovatīvus, agrīnā posma un augstāka riska projektus, lai izvairītos no to uzņēmumu izslēgšanas, kuriem ir liels izaugsmes potenciāls;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5.a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atzīst, ka klimata krīzes dēļ miljoniem MVU ES ir jāpāriet uz neto nulles emisiju līmeni;</w:t>
            </w:r>
            <w:r>
              <w:t xml:space="preserve"> </w:t>
            </w:r>
            <w:r>
              <w:rPr>
                <w:b/>
                <w:i/>
              </w:rPr>
              <w:t>aicina Komisiju un dalībvalstis pastiprināt centienus, lai ilgtspējīgu finansējumu vairāk piemērotu MVU vajadzībām;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Danuše Nerudová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5.b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5.b</w:t>
            </w:r>
            <w:r>
              <w:tab/>
            </w:r>
            <w:r>
              <w:rPr>
                <w:b/>
                <w:i/>
              </w:rPr>
              <w:t>aicina sistemātiski novērtēt visus jaunos ES tiesību aktus attiecībā uz to iespējamo ietekmi uz MVU, jo īpaši administratīvā sloga ziņā, un šajos novērtējumos ņemt vērā tiesību aktu izstrādi tā, lai izvairītos no nesamērīgas ietekmes;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 apakšvirsraksts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Birokrātiskā un regulatīvā sloga samazināšana</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 apakšvirsraksts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Birokrātiskā un regulatīvā sloga samazināšana</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 apakšvirsraksts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Birokrātiskā un regulatīvā sloga samazināšana</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Tsvetelina Penkova,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2.a apakšvirsraksts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uzsver, ka vienkāršošanas centienu dēļ nevajadzētu atcelt būtiskus noteikumus, ar ko atbalsta MVU, jo šādi noteikumi ir svarīgi, lai palīdzētu MVU uzlabot konkurētspēju un mazināt neefektivitāti;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2.a apakšvirsraksts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MVU un jaunās tehnoloģijas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6.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w:t>
            </w:r>
            <w:r>
              <w:tab/>
            </w:r>
            <w:r>
              <w:rPr>
                <w:b/>
                <w:i/>
              </w:rPr>
              <w:t>atgādina, ka daudzi daudzsološi Eiropas jaunuzņēmumi un augoši uzņēmumi pārceļas uz valstīm ārpus ES apgrūtinošas, lēnas un neprognozējamas Eiropas regulatīvās vides dēļ;</w:t>
            </w:r>
            <w:r>
              <w:t xml:space="preserve"> </w:t>
            </w:r>
            <w:r>
              <w:rPr>
                <w:b/>
                <w:i/>
              </w:rPr>
              <w:t>uzsver, ka, ja vien šī tendence netiks mainīta, veicot būtisku vienkāršošanu, Eiropa turpinās zaudēt uzņēmumus to stratēģiskākajā izaugsmes posmā;</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6.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w:t>
            </w:r>
            <w:r>
              <w:tab/>
            </w:r>
            <w:r>
              <w:rPr>
                <w:b/>
                <w:i/>
              </w:rPr>
              <w:t>atgādina, ka daudzi daudzsološi Eiropas jaunuzņēmumi un augoši uzņēmumi pārceļas uz valstīm ārpus ES apgrūtinošas, lēnas un neprognozējamas Eiropas regulatīvās vides dēļ;</w:t>
            </w:r>
            <w:r>
              <w:t xml:space="preserve"> </w:t>
            </w:r>
            <w:r>
              <w:rPr>
                <w:b/>
                <w:i/>
              </w:rPr>
              <w:t>uzsver, ka, ja vien šī tendence netiks mainīta, veicot būtisku vienkāršošanu, Eiropa turpinās zaudēt uzņēmumus to stratēģiskākajā izaugsmes posmā;</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6.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w:t>
            </w:r>
            <w:r>
              <w:tab/>
            </w:r>
            <w:r>
              <w:rPr>
                <w:b/>
                <w:i/>
              </w:rPr>
              <w:t>atgādina, ka daudzi daudzsološi Eiropas jaunuzņēmumi un augoši uzņēmumi pārceļas uz valstīm ārpus ES apgrūtinošas, lēnas un neprognozējamas Eiropas regulatīvās vides dēļ;</w:t>
            </w:r>
            <w:r>
              <w:t xml:space="preserve"> </w:t>
            </w:r>
            <w:r>
              <w:rPr>
                <w:b/>
                <w:i/>
              </w:rPr>
              <w:t>uzsver, ka, ja vien šī tendence netiks mainīta, veicot būtisku vienkāršošanu, Eiropa turpinās zaudēt uzņēmumus to stratēģiskākajā izaugsmes posmā;</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Arba Kokalari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6.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atgādina, ka daudzi daudzsološi Eiropas jaunuzņēmumi un augoši uzņēmumi pārceļas uz valstīm ārpus ES </w:t>
            </w:r>
            <w:r>
              <w:rPr>
                <w:b/>
                <w:i/>
              </w:rPr>
              <w:t>apgrūtinošas, lēnas un neprognozējamas Eiropas regulatīvās vides</w:t>
            </w:r>
            <w:r>
              <w:t xml:space="preserve"> dēļ; uzsver, ka, ja vien šī tendence netiks mainīta, veicot būtisku vienkāršošanu, Eiropa turpinās zaudēt uzņēmumus to stratēģiskākajā izaugsmes posmā;</w:t>
            </w:r>
          </w:p>
        </w:tc>
        <w:tc>
          <w:tcPr>
            <w:tcW w:w="4876" w:type="dxa"/>
            <w:tcBorders>
              <w:top w:val="nil"/>
              <w:left w:val="nil"/>
              <w:bottom w:val="nil"/>
              <w:right w:val="nil"/>
            </w:tcBorders>
          </w:tcPr>
          <w:p>
            <w:pPr>
              <w:pStyle w:val="Normal6a"/>
            </w:pPr>
            <w:r>
              <w:t>6.</w:t>
            </w:r>
            <w:r>
              <w:tab/>
            </w:r>
            <w:r>
              <w:t>Atgādina, ka daudzi daudzsološi Eiropas jaunuzņēmumi un augoši uzņēmumi pārceļas uz valstīm ārpus ES </w:t>
            </w:r>
            <w:r>
              <w:rPr>
                <w:b/>
                <w:i/>
              </w:rPr>
              <w:t>apgrūtinoša ES tiesiskā regulējuma un dziļu un vienotu kapitāla tirgu trūkuma</w:t>
            </w:r>
            <w:r>
              <w:t xml:space="preserve"> dēļ; uzsver, ka, ja vien šī tendence netiks mainīta, veicot būtisku vienkāršošanu </w:t>
            </w:r>
            <w:r>
              <w:rPr>
                <w:b/>
                <w:i/>
              </w:rPr>
              <w:t>un izveidojot uzkrājumu un investīciju savienību</w:t>
            </w:r>
            <w:r>
              <w:t>, Eiropa turpinās zaudēt uzņēmumus to stratēģiskākajā izaugsmes posmā;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6.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atgādina, ka daudzi daudzsološi Eiropas jaunuzņēmumi un augoši uzņēmumi pārceļas uz valstīm ārpus ES apgrūtinošas, lēnas un neprognozējamas Eiropas regulatīvās vides dēļ; uzsver, ka, ja vien šī tendence netiks mainīta, veicot būtisku vienkāršošanu, Eiropa turpinās zaudēt uzņēmumus to stratēģiskākajā izaugsmes posmā;</w:t>
            </w:r>
          </w:p>
        </w:tc>
        <w:tc>
          <w:tcPr>
            <w:tcW w:w="4876" w:type="dxa"/>
            <w:tcBorders>
              <w:top w:val="nil"/>
              <w:left w:val="nil"/>
              <w:bottom w:val="nil"/>
              <w:right w:val="nil"/>
            </w:tcBorders>
          </w:tcPr>
          <w:p>
            <w:pPr>
              <w:pStyle w:val="Normal6a"/>
            </w:pPr>
            <w:r>
              <w:t>6.</w:t>
            </w:r>
            <w:r>
              <w:tab/>
            </w:r>
            <w:r>
              <w:t xml:space="preserve">atgādina, ka daudzi daudzsološi Eiropas jaunuzņēmumi un augoši uzņēmumi pārceļas uz valstīm ārpus ES apgrūtinošas, lēnas un neprognozējamas Eiropas regulatīvās vides dēļ; uzsver, ka, ja vien šī tendence netiks mainīta, veicot būtisku vienkāršošanu, Eiropa turpinās zaudēt uzņēmumus to stratēģiskākajā izaugsmes posmā; </w:t>
            </w:r>
            <w:r>
              <w:rPr>
                <w:b/>
                <w:i/>
              </w:rPr>
              <w:t>uzsver, ka šis inovatīvu un strauji augošu uzņēmumu zudums samazina jaunu darbvietu radīšanu un palēnina ekonomikas izaugsmi 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Danuše Nerudová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6.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atgādina, ka daudzi daudzsološi Eiropas jaunuzņēmumi un augoši uzņēmumi </w:t>
            </w:r>
            <w:r>
              <w:rPr>
                <w:b/>
                <w:i/>
              </w:rPr>
              <w:t>pārceļas</w:t>
            </w:r>
            <w:r>
              <w:t xml:space="preserve"> uz valstīm ārpus ES </w:t>
            </w:r>
            <w:r>
              <w:rPr>
                <w:b/>
                <w:i/>
              </w:rPr>
              <w:t>apgrūtinošas, lēnas un neprognozējamas Eiropas</w:t>
            </w:r>
            <w:r>
              <w:t xml:space="preserve"> regulatīvās vides dēļ; uzsver, ka</w:t>
            </w:r>
            <w:r>
              <w:rPr>
                <w:b/>
                <w:i/>
              </w:rPr>
              <w:t>, ja vien šī tendence netiks mainīta, veicot būtisku vienkāršošanu, Eiropa turpinās</w:t>
            </w:r>
            <w:r>
              <w:t xml:space="preserve"> zaudēt uzņēmumus to </w:t>
            </w:r>
            <w:r>
              <w:rPr>
                <w:b/>
                <w:i/>
              </w:rPr>
              <w:t>stratēģiskākajā izaugsmes</w:t>
            </w:r>
            <w:r>
              <w:t xml:space="preserve"> posmā;</w:t>
            </w:r>
          </w:p>
        </w:tc>
        <w:tc>
          <w:tcPr>
            <w:tcW w:w="4876" w:type="dxa"/>
            <w:tcBorders>
              <w:top w:val="nil"/>
              <w:left w:val="nil"/>
              <w:bottom w:val="nil"/>
              <w:right w:val="nil"/>
            </w:tcBorders>
          </w:tcPr>
          <w:p>
            <w:pPr>
              <w:pStyle w:val="Normal6a"/>
            </w:pPr>
            <w:r>
              <w:t>6.</w:t>
            </w:r>
            <w:r>
              <w:tab/>
            </w:r>
            <w:r>
              <w:t xml:space="preserve">atgādina, ka daudzi daudzsološi Eiropas jaunuzņēmumi un augoši uzņēmumi </w:t>
            </w:r>
            <w:r>
              <w:rPr>
                <w:b/>
                <w:i/>
              </w:rPr>
              <w:t>arvien vairāk cenšas pārcelties vai paplašināties</w:t>
            </w:r>
            <w:r>
              <w:t xml:space="preserve"> uz valstīm ārpus ES </w:t>
            </w:r>
            <w:r>
              <w:rPr>
                <w:b/>
                <w:i/>
              </w:rPr>
              <w:t>galvenokārt tādas</w:t>
            </w:r>
            <w:r>
              <w:t xml:space="preserve"> regulatīvās vides dēļ</w:t>
            </w:r>
            <w:r>
              <w:rPr>
                <w:b/>
                <w:i/>
              </w:rPr>
              <w:t>, kas tiek uzskatīta par apgrūtinošu, sadrumstalotu un neparedzamu</w:t>
            </w:r>
            <w:r>
              <w:t xml:space="preserve">; uzsver, ka </w:t>
            </w:r>
            <w:r>
              <w:rPr>
                <w:b/>
                <w:i/>
              </w:rPr>
              <w:t>bez jēgpilniem un savlaicīgiem vienkāršošanas centieniem ES riskē</w:t>
            </w:r>
            <w:r>
              <w:t xml:space="preserve"> zaudēt </w:t>
            </w:r>
            <w:r>
              <w:rPr>
                <w:b/>
                <w:i/>
              </w:rPr>
              <w:t>straujas izaugsmes</w:t>
            </w:r>
            <w:r>
              <w:t xml:space="preserve"> uzņēmumus to </w:t>
            </w:r>
            <w:r>
              <w:rPr>
                <w:b/>
                <w:i/>
              </w:rPr>
              <w:t>vissvarīgākajā attīstības</w:t>
            </w:r>
            <w:r>
              <w:t xml:space="preserve"> posmā</w:t>
            </w:r>
            <w:r>
              <w:rPr>
                <w:b/>
                <w:i/>
              </w:rPr>
              <w:t>, kā arī ar tiem saistīto inovāciju, darbvietas un ieguldījumus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Tsvetelina Penkova,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6.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atgādina, ka daudzi daudzsološi Eiropas jaunuzņēmumi un augoši uzņēmumi pārceļas uz valstīm ārpus ES </w:t>
            </w:r>
            <w:r>
              <w:rPr>
                <w:b/>
                <w:i/>
              </w:rPr>
              <w:t>apgrūtinošas, lēnas un neprognozējamas</w:t>
            </w:r>
            <w:r>
              <w:t xml:space="preserve"> Eiropas </w:t>
            </w:r>
            <w:r>
              <w:rPr>
                <w:b/>
                <w:i/>
              </w:rPr>
              <w:t>regulatīvās vides dēļ;</w:t>
            </w:r>
            <w:r>
              <w:t xml:space="preserve"> </w:t>
            </w:r>
            <w:r>
              <w:rPr>
                <w:b/>
                <w:i/>
              </w:rPr>
              <w:t>uzsver, ka, ja vien šī tendence netiks mainīta, veicot būtisku vienkāršošanu, Eiropa turpinās zaudēt uzņēmumus to stratēģiskākajā izaugsmes posmā</w:t>
            </w:r>
            <w:r>
              <w:t>;</w:t>
            </w:r>
          </w:p>
        </w:tc>
        <w:tc>
          <w:tcPr>
            <w:tcW w:w="4876" w:type="dxa"/>
            <w:tcBorders>
              <w:top w:val="nil"/>
              <w:left w:val="nil"/>
              <w:bottom w:val="nil"/>
              <w:right w:val="nil"/>
            </w:tcBorders>
          </w:tcPr>
          <w:p>
            <w:pPr>
              <w:pStyle w:val="Normal6a"/>
            </w:pPr>
            <w:r>
              <w:t>6.</w:t>
            </w:r>
            <w:r>
              <w:tab/>
            </w:r>
            <w:r>
              <w:t>atgādina, ka daudzi daudzsološi Eiropas jaunuzņēmumi un augoši uzņēmumi pārceļas uz valstīm ārpus ES</w:t>
            </w:r>
            <w:r>
              <w:rPr>
                <w:b/>
                <w:i/>
              </w:rPr>
              <w:t>, jo</w:t>
            </w:r>
            <w:r>
              <w:t xml:space="preserve"> Eiropas </w:t>
            </w:r>
            <w:r>
              <w:rPr>
                <w:b/>
                <w:i/>
              </w:rPr>
              <w:t>Savienībā nav pietiekami integrētu kapitāla tirgu un tie ir nepietiekami attīstīti;</w:t>
            </w:r>
            <w:r>
              <w:t xml:space="preserve"> </w:t>
            </w:r>
            <w:r>
              <w:rPr>
                <w:b/>
                <w:i/>
              </w:rPr>
              <w:t>aicina Komisiju turpināt strādāt pie tādas ES kapitāla tirgu savienības izveides, kas uzlabotu uzņēmumu piekļuvi finansējumam un iedzīvotājiem un ieguldītājiem piedāvātu pievilcīgākas ieguldījumu iespējas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Anouk Van Brug, Billy Kelleher, Stéphanie Yon-Courtin,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6.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atgādina, ka daudzi daudzsološi Eiropas jaunuzņēmumi un augoši uzņēmumi pārceļas uz valstīm ārpus ES </w:t>
            </w:r>
            <w:r>
              <w:rPr>
                <w:b/>
                <w:i/>
              </w:rPr>
              <w:t>apgrūtinošas, lēnas un neprognozējamas Eiropas regulatīvās vides</w:t>
            </w:r>
            <w:r>
              <w:t xml:space="preserve"> dēļ; uzsver, ka, ja vien </w:t>
            </w:r>
            <w:r>
              <w:rPr>
                <w:b/>
                <w:i/>
              </w:rPr>
              <w:t>šī tendence</w:t>
            </w:r>
            <w:r>
              <w:t xml:space="preserve"> netiks </w:t>
            </w:r>
            <w:r>
              <w:rPr>
                <w:b/>
                <w:i/>
              </w:rPr>
              <w:t>mainīta</w:t>
            </w:r>
            <w:r>
              <w:t>, veicot būtisku vienkāršošanu, Eiropa turpinās zaudēt uzņēmumus to stratēģiskākajā izaugsmes posmā;</w:t>
            </w:r>
          </w:p>
        </w:tc>
        <w:tc>
          <w:tcPr>
            <w:tcW w:w="4876" w:type="dxa"/>
            <w:tcBorders>
              <w:top w:val="nil"/>
              <w:left w:val="nil"/>
              <w:bottom w:val="nil"/>
              <w:right w:val="nil"/>
            </w:tcBorders>
          </w:tcPr>
          <w:p>
            <w:pPr>
              <w:pStyle w:val="Normal6a"/>
            </w:pPr>
            <w:r>
              <w:t>6.</w:t>
            </w:r>
            <w:r>
              <w:tab/>
            </w:r>
            <w:r>
              <w:t xml:space="preserve">atgādina, ka daudzi daudzsološi Eiropas jaunuzņēmumi un augoši uzņēmumi pārceļas uz valstīm ārpus ES </w:t>
            </w:r>
            <w:r>
              <w:rPr>
                <w:b/>
                <w:i/>
              </w:rPr>
              <w:t>būtiska administratīvā sloga</w:t>
            </w:r>
            <w:r>
              <w:t xml:space="preserve"> dēļ; uzsver, ka, ja vien </w:t>
            </w:r>
            <w:r>
              <w:rPr>
                <w:b/>
                <w:i/>
              </w:rPr>
              <w:t>šis jautājums</w:t>
            </w:r>
            <w:r>
              <w:t xml:space="preserve"> netiks </w:t>
            </w:r>
            <w:r>
              <w:rPr>
                <w:b/>
                <w:i/>
              </w:rPr>
              <w:t>risināts</w:t>
            </w:r>
            <w:r>
              <w:t>, veicot būtisku vienkāršošanu, Eiropa turpinās zaudēt uzņēmumus to stratēģiskākajā izaugsmes posmā;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6.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atgādina, ka daudzi daudzsološi Eiropas jaunuzņēmumi un augoši uzņēmumi pārceļas uz valstīm </w:t>
            </w:r>
            <w:r>
              <w:rPr>
                <w:b/>
                <w:i/>
              </w:rPr>
              <w:t>ārpus ES apgrūtinošas, lēnas un neprognozējamas Eiropas regulatīvās vides dēļ;</w:t>
            </w:r>
            <w:r>
              <w:t xml:space="preserve"> </w:t>
            </w:r>
            <w:r>
              <w:rPr>
                <w:b/>
                <w:i/>
              </w:rPr>
              <w:t>uzsver, ka, ja vien šī tendence netiks mainīta, veicot būtisku vienkāršošanu, Eiropa turpinās zaudēt uzņēmumus to stratēģiskākajā izaugsmes posmā</w:t>
            </w:r>
            <w:r>
              <w:t>;</w:t>
            </w:r>
          </w:p>
        </w:tc>
        <w:tc>
          <w:tcPr>
            <w:tcW w:w="4876" w:type="dxa"/>
            <w:tcBorders>
              <w:top w:val="nil"/>
              <w:left w:val="nil"/>
              <w:bottom w:val="nil"/>
              <w:right w:val="nil"/>
            </w:tcBorders>
          </w:tcPr>
          <w:p>
            <w:pPr>
              <w:pStyle w:val="Normal6a"/>
            </w:pPr>
            <w:r>
              <w:t>6.</w:t>
            </w:r>
            <w:r>
              <w:tab/>
            </w:r>
            <w:r>
              <w:t xml:space="preserve">atgādina, ka daudzi daudzsološi Eiropas jaunuzņēmumi un augoši uzņēmumi pārceļas uz </w:t>
            </w:r>
            <w:r>
              <w:rPr>
                <w:b/>
                <w:i/>
              </w:rPr>
              <w:t>trešām</w:t>
            </w:r>
            <w:r>
              <w:t xml:space="preserve"> valstīm </w:t>
            </w:r>
            <w:r>
              <w:rPr>
                <w:b/>
                <w:i/>
              </w:rPr>
              <w:t>lielā regulatīvā sloga dēļ, kas dažos gadījumos rada nenoteiktību un attur no uzņēmumu skaita pieaugšanas;</w:t>
            </w:r>
            <w:r>
              <w:t xml:space="preserve"> </w:t>
            </w:r>
            <w:r>
              <w:rPr>
                <w:b/>
                <w:i/>
              </w:rPr>
              <w:t>atgādina, ka iepriekšējam Parlamenta sasaukumam bija raksturīgs liels regulatīvais slogs, kas būs jāpiemēro šā sasaukuma laikā</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6.a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aicina Eiropas Komisiju un dalībvalstis pastiprināt centienus, lai likvidētu šķēršļus un traucēkļus, kas sadrumstalo vienoto tirgu un mazina MVU un augošo uzņēmumu spēju konsolidēt un nostiprināt savu darbību attiecīgajās teritorijās;</w:t>
            </w:r>
            <w:r>
              <w:t xml:space="preserve"> </w:t>
            </w:r>
            <w:r>
              <w:rPr>
                <w:b/>
                <w:i/>
              </w:rPr>
              <w:t>īpaši uzsver, ka ir steidzami jārīkojas, lai novērstu nesamērīgu administratīvo slogu, nodokļu režīmu atšķirības starp dalībvalstīm, ar vidi saistīto prasību radīto slogu, pārmērīgi ilgus termiņus atļauju un licenču saņemšanai, kā arī grūtības piekļūt finansējumam;</w:t>
            </w:r>
            <w:r>
              <w:t xml:space="preserve"> </w:t>
            </w:r>
            <w:r>
              <w:rPr>
                <w:b/>
                <w:i/>
              </w:rPr>
              <w:t>norāda, ka šādi apstākļi apdraud Eiropas MVU konkurētspēju un izaugsmes spēju, jo īpaši to attīstības trauslākajos posmos;</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Tsvetelina Penkova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6.a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mudina Komisiju izstrādāt un pieņemt jaunuzņēmumu testu, kas būtu līdzīgs MVU testam, ko tā pieņēma 2021. gadā, lai labāk novērtētu to tiesību aktu ietekmi, kuri vērsti uz inovāciju, finansēšanu un konkurētspēju; pieņem zināšanai Komisijas priekšsēdētājas priekšlikumu izveidot konkurētspējas pārbaudi jauniem ES tiesību aktiem, kas jāveic neatkarīgai padomei;</w:t>
            </w:r>
            <w:r>
              <w:t xml:space="preserve"> </w:t>
            </w:r>
            <w:r>
              <w:rPr>
                <w:b/>
                <w:i/>
              </w:rPr>
              <w:t>uzskata, ka šajā konkurētspējas pārbaudē būtu jāparedz īpašs regulējums attiecībā uz jaunuzņēmumiem, augošiem uzņēmumiem un MVU, lai nodrošinātu, ka regulējums stimulē jaunu uzņēmumu dibināšanu Eiropā;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6.a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norāda, ka uzņēmējdarbības izaugsmi ierobežo ne tikai finansējuma trūkums vēlīnās stadijās, bet arī tādu regulatīvo šķēršļu uzkrāšanās, kuros paredzēti sodi par uzņēmējdarbības izvēršanu;</w:t>
            </w:r>
            <w:r>
              <w:t xml:space="preserve"> </w:t>
            </w:r>
            <w:r>
              <w:rPr>
                <w:b/>
                <w:i/>
              </w:rPr>
              <w:t>jo īpaši uzsver administratīvo slogu, kas saistīts ar ziņošanas pienākumiem, kā arī nodokļu un regulatīvās robežvērtības, kas attur no uzņēmējdarbības izaugsmes, piemērojot apgrūtinošākus režīmus pēc tam, kad ir pārsniegti noteikti apjomi vai rēķinu līmeņi;</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6.a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sagaida, ka Komisija, izvērtējot atbrīvojumus no valsts atbalsta noteikumiem, apvienošanās kontroles noteikumiem un konkurences politikas noteikumu mīkstināšanu, maksimāli rūpēsies par jaunuzņēmumu un augošo uzņēmumu interesēm attiecībā uz konkurētspējīgu piekļuvi tirgum;</w:t>
            </w:r>
            <w:r>
              <w:t xml:space="preserve"> </w:t>
            </w:r>
            <w:r>
              <w:rPr>
                <w:b/>
                <w:i/>
              </w:rPr>
              <w:t>aicina izstrādāt konkurētspējas rīcības programmu, kas būtu vērsta uz novatoriem, galveno uzmanību pievēršot tam, lai samazinātu izmaksas ienākšanai tirgū, veicinātu dibinātāju un talantu pārrobežu mobilitāti un atbalstītu uzņēmumu digitālo un zaļo pārkārtošanos;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6.a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uzsver, cik svarīga ir jaunu mākslīgā intelekta tehnoloģiju pieejamība MVU;</w:t>
            </w:r>
            <w:r>
              <w:t xml:space="preserve"> </w:t>
            </w:r>
            <w:r>
              <w:rPr>
                <w:b/>
                <w:i/>
              </w:rPr>
              <w:t>aicina izstrādāt publisku digitālo infrastruktūru un platformas, kas atvieglotu arī piekļuvi zinātībai un publiskai demokrātiskai kontrolei digitālajā nozarē;</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6.a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aicina Komisiju novērst ekonomisko, finansiālo, regulatīvo un juridisko sadrumstalotību ES, lai likvidētu šķēršļus MVU un augošo uzņēmumu izaugsmei;</w:t>
            </w:r>
            <w:r>
              <w:t xml:space="preserve"> </w:t>
            </w:r>
            <w:r>
              <w:rPr>
                <w:b/>
                <w:i/>
              </w:rPr>
              <w:t>uzsver, ka īstens vienotais tirgus palīdzēs atturēt augošos uzņēmumus no darbības pārcelšanas uz trešām valstīm;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ECR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6.a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atgādina, ka saskaņā ar Eiropas zaļo kursu tika ieviests pārmērīgs MVU ziņošanas slogs un ka tā mazināšanai būtu jāiet roku rokā ar visas ES zaļās programmas pārskatīšanu;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Tsvetelina Penkova,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6.b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6.b</w:t>
            </w:r>
            <w:r>
              <w:tab/>
            </w:r>
            <w:r>
              <w:rPr>
                <w:b/>
                <w:i/>
              </w:rPr>
              <w:t>atzinīgi vērtē Komisijas mērķi par 25 % samazināt ar ziņošanas prasībām saistīto slogu, neapdraudot politikas mērķus;</w:t>
            </w:r>
            <w:r>
              <w:t xml:space="preserve"> </w:t>
            </w:r>
            <w:r>
              <w:rPr>
                <w:b/>
                <w:i/>
              </w:rPr>
              <w:t>uzskata, ka Komisijai šajā sakarībā būtu jāņem vērā jaunuzņēmumu un augošo uzņēmumu īpašie un strukturālie ierobežojumi nolūkā samazināt izmaksu radīto spiedienu un veicināt konkurētspēju;</w:t>
            </w:r>
            <w:r>
              <w:t xml:space="preserve"> </w:t>
            </w:r>
            <w:r>
              <w:rPr>
                <w:b/>
                <w:i/>
              </w:rPr>
              <w:t>aicina īstenot līdzsvarotu pieeju ES tiesību aktiem attiecībā uz izaugsmes, uzņēmējdarbības un divējādās pārkārtošanās veicināšanu;</w:t>
            </w:r>
            <w:r>
              <w:t xml:space="preserve"> </w:t>
            </w:r>
            <w:r>
              <w:rPr>
                <w:b/>
                <w:i/>
              </w:rPr>
              <w:t>aicina iekšējās apspriedēs konsekventi piemērot principu „vispirms domāt par mazajiem uzņēmumiem” un iestrādāt to attiecīgajos tiesību aktu priekšlikumos un politikas iniciatīvās;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Tsvetelina Penkova,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6.c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6.c</w:t>
            </w:r>
            <w:r>
              <w:tab/>
            </w:r>
            <w:r>
              <w:rPr>
                <w:b/>
                <w:i/>
              </w:rPr>
              <w:t>aicina paredzēt jaunuzņēmumiem labvēlīgus noteikumus un sistēmas, kas veicina jaunuzņēmumu un augošo uzņēmumu izaugsmi, mērogojamību un pārrobežu darbību un vienlaikus nodrošina patērētāju aizsardzību, datu privātumu un godīgu konkurenci;</w:t>
            </w:r>
            <w:r>
              <w:t xml:space="preserve"> </w:t>
            </w:r>
            <w:r>
              <w:rPr>
                <w:b/>
                <w:i/>
              </w:rPr>
              <w:t>uzsver, ka ir svarīgi ierobežot jaunuzņēmumu un augošo uzņēmumu atbilstības nodrošināšanas izmaksas;</w:t>
            </w:r>
            <w:r>
              <w:t xml:space="preserve"> </w:t>
            </w:r>
            <w:r>
              <w:rPr>
                <w:b/>
                <w:i/>
              </w:rPr>
              <w:t>aicina Komisiju paplašināt atbalstu MVU, jaunuzņēmumiem un augošiem uzņēmumiem, lai tie spētu tik galā ar regulējuma sarežģītību;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7.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aicina turpināt vienkāršošanas centienus, kas ir plašāki nekā 2025. gada 26. februārī publicētajā Komisijas vispārējā vienkāršošanas paketē;</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7.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aicina turpināt vienkāršošanas centienus, kas ir plašāki nekā 2025. gada 26. februārī publicētajā Komisijas vispārējā vienkāršošanas paketē;</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7.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aicina turpināt vienkāršošanas centienus, kas ir plašāki nekā 2025. gada 26. februārī publicētajā Komisijas vispārējā vienkāršošanas paketē;</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7.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aicina turpināt vienkāršošanas centienus, kas ir plašāki nekā 2025. gada 26. februārī publicētajā Komisijas vispārējā vienkāršošanas paketē;</w:t>
            </w:r>
          </w:p>
        </w:tc>
        <w:tc>
          <w:tcPr>
            <w:tcW w:w="4876" w:type="dxa"/>
            <w:tcBorders>
              <w:top w:val="nil"/>
              <w:left w:val="nil"/>
              <w:bottom w:val="nil"/>
              <w:right w:val="nil"/>
            </w:tcBorders>
          </w:tcPr>
          <w:p>
            <w:pPr>
              <w:pStyle w:val="Normal6a"/>
            </w:pPr>
            <w:r>
              <w:t>7.</w:t>
            </w:r>
            <w:r>
              <w:tab/>
            </w:r>
            <w:r>
              <w:t xml:space="preserve">aicina turpināt vienkāršošanas centienus, kas ir plašāki nekā 2025. gada 26. februārī publicētajā Komisijas vispārējā vienkāršošanas paketē; </w:t>
            </w:r>
            <w:r>
              <w:rPr>
                <w:b/>
                <w:i/>
              </w:rPr>
              <w:t>jo īpaši Komisija tiek mudināta iesniegt jaunu tiesību aktu kopumu par ilgtspēju, padarot to par fakultatīvu režīmu, tādējādi piedāvājot uzņēmumiem, kas brīvprātīgi vēlas pielietot ilgtspējas marķējumu, kurš apliecina atbilstību Eiropas Savienības vides un cilvēktiesību standartiem;</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7.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aicina turpināt vienkāršošanas centienus, kas ir plašāki nekā 2025. gada 26. februārī publicētajā Komisijas vispārējā vienkāršošanas paketē;</w:t>
            </w:r>
          </w:p>
        </w:tc>
        <w:tc>
          <w:tcPr>
            <w:tcW w:w="4876" w:type="dxa"/>
            <w:tcBorders>
              <w:top w:val="nil"/>
              <w:left w:val="nil"/>
              <w:bottom w:val="nil"/>
              <w:right w:val="nil"/>
            </w:tcBorders>
          </w:tcPr>
          <w:p>
            <w:pPr>
              <w:pStyle w:val="Normal6a"/>
            </w:pPr>
            <w:r>
              <w:t>7.</w:t>
            </w:r>
            <w:r>
              <w:tab/>
            </w:r>
            <w:r>
              <w:t xml:space="preserve">aicina turpināt vienkāršošanas centienus, kas ir plašāki nekā 2025. gada 26. februārī publicētajā Komisijas vispārējā vienkāršošanas paketē; </w:t>
            </w:r>
            <w:r>
              <w:rPr>
                <w:b/>
                <w:i/>
              </w:rPr>
              <w:t>aicina sistemātiski pārbaudīt acquis communitaire attiecībā uz pasākumiem, kas kavē MVU piekļuvi finansējumam, un novērst konstatētos šķēršļus;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Lídia Pereira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7.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aicina turpināt vienkāršošanas centienus, kas ir plašāki nekā </w:t>
            </w:r>
            <w:r>
              <w:rPr>
                <w:b/>
                <w:i/>
              </w:rPr>
              <w:t>2025. gada 26. februārī</w:t>
            </w:r>
            <w:r>
              <w:t xml:space="preserve"> publicētajā Komisijas vispārējā vienkāršošanas paketē;</w:t>
            </w:r>
          </w:p>
        </w:tc>
        <w:tc>
          <w:tcPr>
            <w:tcW w:w="4876" w:type="dxa"/>
            <w:tcBorders>
              <w:top w:val="nil"/>
              <w:left w:val="nil"/>
              <w:bottom w:val="nil"/>
              <w:right w:val="nil"/>
            </w:tcBorders>
          </w:tcPr>
          <w:p>
            <w:pPr>
              <w:pStyle w:val="Normal6a"/>
            </w:pPr>
            <w:r>
              <w:t>7.</w:t>
            </w:r>
            <w:r>
              <w:tab/>
            </w:r>
            <w:r>
              <w:t xml:space="preserve">aicina turpināt vienkāršošanas centienus, kas ir plašāki nekā </w:t>
            </w:r>
            <w:r>
              <w:rPr>
                <w:b/>
                <w:i/>
              </w:rPr>
              <w:t>nesen</w:t>
            </w:r>
            <w:r>
              <w:t xml:space="preserve"> publicētajā Komisijas vispārējā vienkāršošanas paketē </w:t>
            </w:r>
            <w:r>
              <w:rPr>
                <w:b/>
                <w:i/>
              </w:rPr>
              <w:t>paredzētie pasākumi</w:t>
            </w:r>
            <w:r>
              <w:t xml:space="preserve">; </w:t>
            </w:r>
            <w:r>
              <w:rPr>
                <w:b/>
                <w:i/>
              </w:rPr>
              <w:t>atgādina par Komisijas apņemšanos samazināt birokrātiju, izmantojot horizontālu pieeju visās jomās;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Jonás Fernández, Tsvetelina Penkova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7.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aicina turpināt vienkāršošanas centienus, kas ir plašāki nekā 2025. gada 26. februārī publicētajā Komisijas vispārējā vienkāršošanas paketē;</w:t>
            </w:r>
          </w:p>
        </w:tc>
        <w:tc>
          <w:tcPr>
            <w:tcW w:w="4876" w:type="dxa"/>
            <w:tcBorders>
              <w:top w:val="nil"/>
              <w:left w:val="nil"/>
              <w:bottom w:val="nil"/>
              <w:right w:val="nil"/>
            </w:tcBorders>
          </w:tcPr>
          <w:p>
            <w:pPr>
              <w:pStyle w:val="Normal6a"/>
            </w:pPr>
            <w:r>
              <w:t>7.</w:t>
            </w:r>
            <w:r>
              <w:tab/>
            </w:r>
            <w:r>
              <w:t xml:space="preserve">aicina turpināt vienkāršošanas centienus, kas ir plašāki nekā 2025. gada 26. februārī publicētajā Komisijas vispārējā vienkāršošanas paketē; </w:t>
            </w:r>
            <w:r>
              <w:rPr>
                <w:b/>
                <w:i/>
              </w:rPr>
              <w:t>uzsver, ka vienkāršošanai nevajadzētu izraisīt regulējuma atcelšanu;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Anouk Van Brug, Billy Kelleher, Stéphanie Yon-Courtin,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7.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rPr>
                <w:b/>
                <w:i/>
              </w:rPr>
              <w:t>aicina turpināt</w:t>
            </w:r>
            <w:r>
              <w:t xml:space="preserve"> vienkāršošanas </w:t>
            </w:r>
            <w:r>
              <w:rPr>
                <w:b/>
                <w:i/>
              </w:rPr>
              <w:t>centienus</w:t>
            </w:r>
            <w:r>
              <w:t xml:space="preserve">, kas ir plašāki nekā </w:t>
            </w:r>
            <w:r>
              <w:rPr>
                <w:b/>
                <w:i/>
              </w:rPr>
              <w:t>2025. gada 26. februārī publicētajā</w:t>
            </w:r>
            <w:r>
              <w:t xml:space="preserve"> Komisijas vispārējā vienkāršošanas paketē;</w:t>
            </w:r>
          </w:p>
        </w:tc>
        <w:tc>
          <w:tcPr>
            <w:tcW w:w="4876" w:type="dxa"/>
            <w:tcBorders>
              <w:top w:val="nil"/>
              <w:left w:val="nil"/>
              <w:bottom w:val="nil"/>
              <w:right w:val="nil"/>
            </w:tcBorders>
          </w:tcPr>
          <w:p>
            <w:pPr>
              <w:pStyle w:val="Normal6a"/>
            </w:pPr>
            <w:r>
              <w:t>7.</w:t>
            </w:r>
            <w:r>
              <w:tab/>
            </w:r>
            <w:r>
              <w:rPr>
                <w:b/>
                <w:i/>
              </w:rPr>
              <w:t>pauž atbalstu pašreizējiem</w:t>
            </w:r>
            <w:r>
              <w:t xml:space="preserve"> vienkāršošanas </w:t>
            </w:r>
            <w:r>
              <w:rPr>
                <w:b/>
                <w:i/>
              </w:rPr>
              <w:t>centieniem;</w:t>
            </w:r>
            <w:r>
              <w:t xml:space="preserve"> </w:t>
            </w:r>
            <w:r>
              <w:rPr>
                <w:b/>
                <w:i/>
              </w:rPr>
              <w:t>mudina Komisiju nākt klajā ar turpmākiem priekšlikumiem</w:t>
            </w:r>
            <w:r>
              <w:t>, kas ir plašāki nekā Komisijas vispārējā vienkāršošanas paketē</w:t>
            </w:r>
            <w:r>
              <w:rPr>
                <w:b/>
                <w:i/>
              </w:rPr>
              <w:t> paredzētie pasākumi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7.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rPr>
                <w:b/>
                <w:i/>
              </w:rPr>
              <w:t>aicina turpināt vienkāršošanas centienus, kas ir plašāki nekā</w:t>
            </w:r>
            <w:r>
              <w:t xml:space="preserve"> 2025. gada 26. februārī </w:t>
            </w:r>
            <w:r>
              <w:rPr>
                <w:b/>
                <w:i/>
              </w:rPr>
              <w:t>publicētajā Komisijas vispārējā</w:t>
            </w:r>
            <w:r>
              <w:t xml:space="preserve"> vienkāršošanas </w:t>
            </w:r>
            <w:r>
              <w:rPr>
                <w:b/>
                <w:i/>
              </w:rPr>
              <w:t>paketē</w:t>
            </w:r>
            <w:r>
              <w:t>;</w:t>
            </w:r>
          </w:p>
        </w:tc>
        <w:tc>
          <w:tcPr>
            <w:tcW w:w="4876" w:type="dxa"/>
            <w:tcBorders>
              <w:top w:val="nil"/>
              <w:left w:val="nil"/>
              <w:bottom w:val="nil"/>
              <w:right w:val="nil"/>
            </w:tcBorders>
          </w:tcPr>
          <w:p>
            <w:pPr>
              <w:pStyle w:val="Normal6a"/>
            </w:pPr>
            <w:r>
              <w:t>7.</w:t>
            </w:r>
            <w:r>
              <w:tab/>
            </w:r>
            <w:r>
              <w:rPr>
                <w:b/>
                <w:i/>
              </w:rPr>
              <w:t>atzinīgi vērtē Komisijas</w:t>
            </w:r>
            <w:r>
              <w:t xml:space="preserve"> 2025. gada 26. februārī </w:t>
            </w:r>
            <w:r>
              <w:rPr>
                <w:b/>
                <w:i/>
              </w:rPr>
              <w:t>publicētos Omnibus</w:t>
            </w:r>
            <w:r>
              <w:t xml:space="preserve"> vienkāršošanas </w:t>
            </w:r>
            <w:r>
              <w:rPr>
                <w:b/>
                <w:i/>
              </w:rPr>
              <w:t>centienus</w:t>
            </w:r>
            <w:r>
              <w:t xml:space="preserve">; </w:t>
            </w:r>
            <w:r>
              <w:rPr>
                <w:b/>
                <w:i/>
              </w:rPr>
              <w:t>atgādina, ka Komisija ir paziņojusi, ka tā pieņems vēl citas Omnibus paketes;</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7.a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gaida, ka Komisija mudinās augošos jaunuzņēmumus un uzņēmumus paplašināt darbību un kotēt savas akcijas ES biržās;</w:t>
            </w:r>
            <w:r>
              <w:t xml:space="preserve"> </w:t>
            </w:r>
            <w:r>
              <w:rPr>
                <w:b/>
                <w:i/>
              </w:rPr>
              <w:t>uzsver risku par labu trešo valstu tirgiem zaudēt tehnoloģiskās priekšrocības un inovācijas, ko attīsta ES uzņēmumi, un tādēļ atzinīgi vērtē koncentrēšanos uz finansējumu ES jaunuzņēmumu un augošo uzņēmumu stratēģijai, kuras mērķis ir novērst šo uzņēmumu pārvietošanu uz trešām valstīm;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7.a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uzsver, ka pēc tam, kad Komisija ir pieņēmusi otro Omnibus paketi, ir jāracionalizē programmas InvestEU īstenošana, lai nodrošinātu, ka MVU, tostarp vismazākie MVU, var vieglāk piekļūt finansiālajam atbalstam, kas tiem vajadzīgs izaugsmei un inovācijai;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7.a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atbalsta valsts vadītu inovācijas ekosistēmu un reģionālo kopu paplašināšanu, kas var mazināt šķēršļus tehnoloģiski atpalikušu MVU ienākšanai tirgū;</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8.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w:t>
            </w:r>
            <w:r>
              <w:tab/>
            </w:r>
            <w:r>
              <w:rPr>
                <w:b/>
                <w:i/>
              </w:rPr>
              <w:t>mudina Komisiju izvērtēt pašreizējos regulatīvos pienākumus, kas apgrūtina uzņēmumus, piemēram, ilgtspējīga finansējuma sistēmu, un izstrādāt proporcionalitātes robežvērtības, lai atbrīvotu MVU no pārmērīgiem pienākumiem;</w:t>
            </w:r>
            <w:r>
              <w:t xml:space="preserve"> </w:t>
            </w:r>
            <w:r>
              <w:rPr>
                <w:b/>
                <w:i/>
              </w:rPr>
              <w:t>atzinīgi vērtē ierosināto jauno MVU konkurētspējas pārbaudi;</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8.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w:t>
            </w:r>
            <w:r>
              <w:tab/>
            </w:r>
            <w:r>
              <w:rPr>
                <w:b/>
                <w:i/>
              </w:rPr>
              <w:t>mudina Komisiju izvērtēt pašreizējos regulatīvos pienākumus, kas apgrūtina uzņēmumus, piemēram, ilgtspējīga finansējuma sistēmu, un izstrādāt proporcionalitātes robežvērtības, lai atbrīvotu MVU no pārmērīgiem pienākumiem;</w:t>
            </w:r>
            <w:r>
              <w:t xml:space="preserve"> </w:t>
            </w:r>
            <w:r>
              <w:rPr>
                <w:b/>
                <w:i/>
              </w:rPr>
              <w:t>atzinīgi vērtē ierosināto jauno MVU konkurētspējas pārbaudi;</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8.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w:t>
            </w:r>
            <w:r>
              <w:tab/>
            </w:r>
            <w:r>
              <w:rPr>
                <w:b/>
                <w:i/>
              </w:rPr>
              <w:t>mudina Komisiju izvērtēt pašreizējos regulatīvos pienākumus, kas apgrūtina uzņēmumus, piemēram, ilgtspējīga finansējuma sistēmu, un izstrādāt proporcionalitātes robežvērtības, lai atbrīvotu MVU no pārmērīgiem pienākumiem;</w:t>
            </w:r>
            <w:r>
              <w:t xml:space="preserve"> </w:t>
            </w:r>
            <w:r>
              <w:rPr>
                <w:b/>
                <w:i/>
              </w:rPr>
              <w:t>atzinīgi vērtē ierosināto jauno MVU konkurētspējas pārbaudi;</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Tsvetelina Penkova,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8.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mudina Komisiju izvērtēt pašreizējos regulatīvos pienākumus, kas apgrūtina uzņēmumus, piemēram, ilgtspējīga finansējuma sistēmu, un izstrādāt proporcionalitātes robežvērtības, lai atbrīvotu MVU no pārmērīgiem pienākumiem; atzinīgi vērtē ierosināto jauno MVU konkurētspējas pārbaudi;</w:t>
            </w:r>
          </w:p>
        </w:tc>
        <w:tc>
          <w:tcPr>
            <w:tcW w:w="4876" w:type="dxa"/>
            <w:tcBorders>
              <w:top w:val="nil"/>
              <w:left w:val="nil"/>
              <w:bottom w:val="nil"/>
              <w:right w:val="nil"/>
            </w:tcBorders>
          </w:tcPr>
          <w:p>
            <w:pPr>
              <w:pStyle w:val="Normal6a"/>
            </w:pPr>
            <w:r>
              <w:t>8.</w:t>
            </w:r>
            <w:r>
              <w:tab/>
            </w:r>
            <w:r>
              <w:t xml:space="preserve">mudina Komisiju izvērtēt pašreizējos regulatīvos pienākumus, kas apgrūtina uzņēmumus, piemēram, ilgtspējīga finansējuma sistēmu, un izstrādāt proporcionalitātes robežvērtības, lai atbrīvotu MVU </w:t>
            </w:r>
            <w:r>
              <w:rPr>
                <w:b/>
                <w:i/>
              </w:rPr>
              <w:t>un jaunuzņēmumus</w:t>
            </w:r>
            <w:r>
              <w:t xml:space="preserve"> no pārmērīgiem pienākumiem; atzinīgi vērtē ierosināto jauno MVU konkurētspējas pārbaudi; </w:t>
            </w:r>
            <w:r>
              <w:rPr>
                <w:b/>
                <w:i/>
              </w:rPr>
              <w:t>uzsver, ka ilgtspējas informācijas pieejamībai ir izšķiroša nozīme MVU kredītu piešķiršanas procesā;</w:t>
            </w:r>
            <w:r>
              <w:t xml:space="preserve"> </w:t>
            </w:r>
            <w:r>
              <w:rPr>
                <w:b/>
                <w:i/>
              </w:rPr>
              <w:t>šajā sakarībā atgādina, ka kredītiestādes, pieņemot lēmumus par kredītiem, cita starpā paļaujas uz Kapitāla prasību regulas (KPR) 449.a pantā prasīto informāciju uzņēmuma ilgtspējas risku novērtēšanai;</w:t>
            </w:r>
            <w:r>
              <w:t xml:space="preserve"> </w:t>
            </w:r>
            <w:r>
              <w:rPr>
                <w:b/>
                <w:i/>
              </w:rPr>
              <w:t>tādēļ uzskata, ka ir ļoti svarīgi, lai MVU ziņošanas pienākumi atbilstu informācijai, kas ieguldītājiem vajadzīga, pieņemot lēmumus par kredītu piešķiršanu;</w:t>
            </w:r>
            <w:r>
              <w:t xml:space="preserve"> </w:t>
            </w:r>
            <w:r>
              <w:rPr>
                <w:b/>
                <w:i/>
              </w:rPr>
              <w:t>pauž dziļu nožēlu par to, ka Eiropas Komisijas priekšlikums “Omnibus I” lielā mērā izslēdz MVU un tā vietā liek ieguldītājiem paļauties uz neprecīzu brīvprātīgi sniegtu informāciju, jo tas acīmredzami neatbilst citām informācijas prasībām finanšu tirgus dalībniekiem un līdz ar to apdraud ilgtspējīga finansējuma satvaru, kā arī MVU piekļuvi finansējumam;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Danuše Nerudová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8.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mudina Komisiju izvērtēt pašreizējos regulatīvos pienākumus, kas apgrūtina uzņēmumus, piemēram, ilgtspējīga finansējuma sistēmu, un izstrādāt proporcionalitātes robežvērtības, lai atbrīvotu MVU no pārmērīgiem pienākumiem; atzinīgi vērtē ierosināto jauno MVU konkurētspējas pārbaudi;</w:t>
            </w:r>
          </w:p>
        </w:tc>
        <w:tc>
          <w:tcPr>
            <w:tcW w:w="4876" w:type="dxa"/>
            <w:tcBorders>
              <w:top w:val="nil"/>
              <w:left w:val="nil"/>
              <w:bottom w:val="nil"/>
              <w:right w:val="nil"/>
            </w:tcBorders>
          </w:tcPr>
          <w:p>
            <w:pPr>
              <w:pStyle w:val="Normal6a"/>
            </w:pPr>
            <w:r>
              <w:t>8.</w:t>
            </w:r>
            <w:r>
              <w:tab/>
            </w:r>
            <w:r>
              <w:t xml:space="preserve">mudina Komisiju izvērtēt pašreizējos regulatīvos pienākumus, kas apgrūtina uzņēmumus, piemēram, ilgtspējīga finansējuma sistēmu, un izstrādāt proporcionalitātes robežvērtības, lai atbrīvotu MVU no pārmērīgiem pienākumiem; atzinīgi vērtē ierosināto jauno MVU konkurētspējas pārbaudi; </w:t>
            </w:r>
            <w:r>
              <w:rPr>
                <w:b/>
                <w:i/>
              </w:rPr>
              <w:t>turklāt aicina laikus panākt virzību attiecībā uz vienkāršotiem un brīvprātīgiem ilgtspējas ziņojumu sniegšanas standartiem, kas pielāgoti MVU, un pārskatīt 3. pīlāra banku informācijas publiskošanasprasības, kas var netieši radīt nesamērīgas datu prasības MVU klientiem;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8.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mudina Komisiju izvērtēt pašreizējos regulatīvos pienākumus, kas apgrūtina uzņēmumus, piemēram, ilgtspējīga finansējuma sistēmu, un izstrādāt proporcionalitātes robežvērtības, lai atbrīvotu MVU no pārmērīgiem pienākumiem; atzinīgi vērtē ierosināto jauno MVU konkurētspējas pārbaudi;</w:t>
            </w:r>
          </w:p>
        </w:tc>
        <w:tc>
          <w:tcPr>
            <w:tcW w:w="4876" w:type="dxa"/>
            <w:tcBorders>
              <w:top w:val="nil"/>
              <w:left w:val="nil"/>
              <w:bottom w:val="nil"/>
              <w:right w:val="nil"/>
            </w:tcBorders>
          </w:tcPr>
          <w:p>
            <w:pPr>
              <w:pStyle w:val="Normal6a"/>
            </w:pPr>
            <w:r>
              <w:t>8.</w:t>
            </w:r>
            <w:r>
              <w:tab/>
            </w:r>
            <w:r>
              <w:t xml:space="preserve">mudina Komisiju </w:t>
            </w:r>
            <w:r>
              <w:rPr>
                <w:b/>
                <w:i/>
              </w:rPr>
              <w:t>sistemātiski</w:t>
            </w:r>
            <w:r>
              <w:t xml:space="preserve"> izvērtēt pašreizējos regulatīvos pienākumus, kas apgrūtina uzņēmumus, piemēram, ilgtspējīga finansējuma sistēmu, un izstrādāt proporcionalitātes robežvērtības, lai atbrīvotu MVU no pārmērīgiem pienākumiem; atzinīgi vērtē ierosināto jauno MVU konkurētspējas pārbaudi;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Georgios Aftias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8. punkts – 1. daļa (jauna)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 aicina izveidot aizsargātu, no konfiskācijas atbrīvotu MVU bankas kontu, kas būtu piesaistīts daļai no to apgrozījuma, lai nodrošinātu darbības likviditāti un novērstu sistemātiskus ikdienas uzņēmējdarbības traucējumus finanšu izpildes pasākumu dēļ;</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8.a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pauž nožēlu par to, ka daudzi ES iedibināti uzņēmēji izjūt nepieciešamību pārcelt uzņēmējdarbību, lai vieglāk piekļūtu finansējumam un resursiem;</w:t>
            </w:r>
            <w:r>
              <w:t xml:space="preserve"> </w:t>
            </w:r>
            <w:r>
              <w:rPr>
                <w:b/>
                <w:i/>
              </w:rPr>
              <w:t>pauž nožēlu arī par to, ka viņi vēršas pie riska kapitāla nodrošinātājiem ārpus ES un izvērš savu darbību ārvalstu tirgos;</w:t>
            </w:r>
            <w:r>
              <w:t xml:space="preserve"> </w:t>
            </w:r>
            <w:r>
              <w:rPr>
                <w:b/>
                <w:i/>
              </w:rPr>
              <w:t>piekrīt Draghi un Letta ziņojumos minētajam, ka ES vajadzētu turpināt attīstīt riska kapitāla tirgus;</w:t>
            </w:r>
            <w:r>
              <w:t xml:space="preserve"> </w:t>
            </w:r>
            <w:r>
              <w:rPr>
                <w:b/>
                <w:i/>
              </w:rPr>
              <w:t>tomēr uzsver, ka valsts atbalsts riska kapitāla tirgiem būtu jāvērš tikai uz projektiem, kas saskaņoti ar zaļā kursa mērķiem un rada pozitīvu sociālo ietekmi;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Danuše Nerudová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8.a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uzsver, ka ir svarīgi nodrošināt, lai tiesiskais regulējums un ES finansētie instrumenti būtu samērīgi ar MVU lielumu un administratīvo spēju un lai tie būtu pienācīgi pielāgoti, nevis balstīti uz prasībām, kas pārņemtas no prasībām lielākiem uzņēmumiem;</w:t>
            </w:r>
            <w:r>
              <w:t xml:space="preserve"> </w:t>
            </w:r>
            <w:r>
              <w:rPr>
                <w:b/>
                <w:i/>
              </w:rPr>
              <w:t>mudina Komisiju publicēt īstenošanas pamatnostādnes vismaz divus gadus pirms jauno pienākumu stāšanās spēkā un nodrošināt to pieejamību visās oficiālajās ES valodās, lai MVU dotu pietiekami daudz laika sagatavoties un pielāgoties;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8.a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atzinīgi vērtē Komisijas mērķi samazināt MVU ziņošanas pienākumus vismaz par 35 %;</w:t>
            </w:r>
            <w:r>
              <w:t xml:space="preserve"> </w:t>
            </w:r>
            <w:r>
              <w:rPr>
                <w:b/>
                <w:i/>
              </w:rPr>
              <w:t>uzsver, ka šādam mērķim jābūt izmērāmam un rezultātiem jābūt izsekojamiem;</w:t>
            </w:r>
            <w:r>
              <w:t xml:space="preserve"> </w:t>
            </w:r>
            <w:r>
              <w:rPr>
                <w:b/>
                <w:i/>
              </w:rPr>
              <w:t>aicina Komisiju noteikt skaidru grafiku un noteikt galvenos snieguma rādītājus, kā arī metodiku to izsekošanai;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8.b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8.b</w:t>
            </w:r>
            <w:r>
              <w:tab/>
            </w:r>
            <w:r>
              <w:rPr>
                <w:b/>
                <w:i/>
              </w:rPr>
              <w:t>norāda, ka regulējumam nevajadzētu radīt pārāk lielus šķēršļus, pārejot no vienas lieluma kategorijas uz citu vai no biržā kotētiem uz biržā nekotētiem uzņēmumiem;</w:t>
            </w:r>
            <w:r>
              <w:t xml:space="preserve"> </w:t>
            </w:r>
            <w:r>
              <w:rPr>
                <w:b/>
                <w:i/>
              </w:rPr>
              <w:t>tādēļ uzskata, ka priekšroka būtu dodama pakāpeniskai pieejai, kurai atbilstīgi pakāpeniski nosaka stingrākas regulatīvās prasības;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8.c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8.c</w:t>
            </w:r>
            <w:r>
              <w:tab/>
            </w:r>
            <w:r>
              <w:rPr>
                <w:b/>
                <w:i/>
              </w:rPr>
              <w:t>uzsver, ka ES ilgtspējīga finansējuma satvars ir slikti piemērots Eiropas MVU, jo tas bieži vien ir saistīts ar lielu administratīvo un ziņošanas slogu, kā arī augstām īstenošanas un atbilstības nodrošināšanas izmaksām;</w:t>
            </w:r>
            <w:r>
              <w:t xml:space="preserve"> </w:t>
            </w:r>
            <w:r>
              <w:rPr>
                <w:b/>
                <w:i/>
              </w:rPr>
              <w:t>aicina Eiropas Komisiju pārskatīt ES ilgtspējīga finansējuma satvaru, lai to padarītu mazāk birokrātisku, lētāku un labvēlīgāku MVU;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9.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rPr>
                <w:b/>
                <w:i/>
              </w:rPr>
              <w:t>uzsver, ka ar pieeju „viens pieņemts — viens atcelts” nepietiek, un aicina Komisiju ierosināt vērienīgu vienkāršošanas stratēģiju;</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9.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rPr>
                <w:b/>
                <w:i/>
              </w:rPr>
              <w:t>uzsver, ka ar pieeju „viens pieņemts — viens atcelts” nepietiek, un aicina Komisiju ierosināt vērienīgu vienkāršošanas stratēģiju;</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Jonás Fernández, Tsvetelina Penkova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9.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rPr>
                <w:b/>
                <w:i/>
              </w:rPr>
              <w:t>uzsver, ka ar pieeju „viens pieņemts — viens atcelts” nepietiek, un aicina Komisiju ierosināt vērienīgu vienkāršošanas stratēģiju;</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9.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rPr>
                <w:b/>
                <w:i/>
              </w:rPr>
              <w:t>uzsver, ka ar pieeju „viens pieņemts — viens atcelts” nepietiek, un aicina Komisiju ierosināt vērienīgu vienkāršošanas stratēģiju;</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9.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rPr>
                <w:b/>
                <w:i/>
              </w:rPr>
              <w:t>uzsver, ka ar pieeju „viens pieņemts — viens atcelts” nepietiek, un aicina Komisiju ierosināt vērienīgu vienkāršošanas stratēģiju;</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Lídia Pereira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9.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uzsver, ka ar pieeju </w:t>
            </w:r>
            <w:r>
              <w:rPr>
                <w:b/>
                <w:i/>
              </w:rPr>
              <w:t>„</w:t>
            </w:r>
            <w:r>
              <w:t>viens pieņemts — viens atcelts” nepietiek, un aicina Komisiju ierosināt vērienīgu vienkāršošanas stratēģiju;</w:t>
            </w:r>
          </w:p>
        </w:tc>
        <w:tc>
          <w:tcPr>
            <w:tcW w:w="4876" w:type="dxa"/>
            <w:tcBorders>
              <w:top w:val="nil"/>
              <w:left w:val="nil"/>
              <w:bottom w:val="nil"/>
              <w:right w:val="nil"/>
            </w:tcBorders>
          </w:tcPr>
          <w:p>
            <w:pPr>
              <w:pStyle w:val="Normal6a"/>
            </w:pPr>
            <w:r>
              <w:t>9.</w:t>
            </w:r>
            <w:r>
              <w:tab/>
            </w:r>
            <w:r>
              <w:t xml:space="preserve">uzsver, ka ar pieeju </w:t>
            </w:r>
            <w:r>
              <w:rPr>
                <w:b/>
                <w:i/>
              </w:rPr>
              <w:t>“</w:t>
            </w:r>
            <w:r>
              <w:t>viens pieņemts — viens atcelts” nepietiek, un aicina Komisiju ierosināt vērienīgu vienkāršošanas stratēģiju</w:t>
            </w:r>
            <w:r>
              <w:rPr>
                <w:b/>
                <w:i/>
              </w:rPr>
              <w:t>, kas aizsargātu ES politiskos mērķus un vienlaikus samazinātu regulatīvo un administratīvo slogu uzņēmumiem, proti, MVU</w:t>
            </w:r>
            <w:r>
              <w:t xml:space="preserve">; </w:t>
            </w:r>
            <w:r>
              <w:rPr>
                <w:b/>
                <w:i/>
              </w:rPr>
              <w:t>uzsver, ka ES tiesiskajā regulējumā ir jāgarantē sistemātiska tiesiskā un regulatīvā saskaņotība, nodrošinot juridisko noteiktību, drošību un paredzamību;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9.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uzsver, ka ar pieeju </w:t>
            </w:r>
            <w:r>
              <w:rPr>
                <w:b/>
                <w:i/>
              </w:rPr>
              <w:t>„</w:t>
            </w:r>
            <w:r>
              <w:t xml:space="preserve">viens pieņemts — viens atcelts” nepietiek, un aicina Komisiju ierosināt </w:t>
            </w:r>
            <w:r>
              <w:rPr>
                <w:b/>
                <w:i/>
              </w:rPr>
              <w:t>vērienīgu</w:t>
            </w:r>
            <w:r>
              <w:t xml:space="preserve"> vienkāršošanas stratēģiju;</w:t>
            </w:r>
          </w:p>
        </w:tc>
        <w:tc>
          <w:tcPr>
            <w:tcW w:w="4876" w:type="dxa"/>
            <w:tcBorders>
              <w:top w:val="nil"/>
              <w:left w:val="nil"/>
              <w:bottom w:val="nil"/>
              <w:right w:val="nil"/>
            </w:tcBorders>
          </w:tcPr>
          <w:p>
            <w:pPr>
              <w:pStyle w:val="Normal6a"/>
            </w:pPr>
            <w:r>
              <w:t>9.</w:t>
            </w:r>
            <w:r>
              <w:tab/>
            </w:r>
            <w:r>
              <w:t xml:space="preserve">uzsver, ka ar pieeju </w:t>
            </w:r>
            <w:r>
              <w:rPr>
                <w:b/>
                <w:i/>
              </w:rPr>
              <w:t>“</w:t>
            </w:r>
            <w:r>
              <w:t xml:space="preserve">viens pieņemts — viens atcelts” nepietiek, un aicina Komisiju ierosināt </w:t>
            </w:r>
            <w:r>
              <w:rPr>
                <w:b/>
                <w:i/>
              </w:rPr>
              <w:t>vērienīgāku</w:t>
            </w:r>
            <w:r>
              <w:t xml:space="preserve"> vienkāršošanas stratēģiju</w:t>
            </w:r>
            <w:r>
              <w:rPr>
                <w:b/>
                <w:i/>
              </w:rPr>
              <w:t>, kas aptvertu ne tikai direktīvas un regulas, bet arī 2. un 3. līmeņa tiesību aktus, kā arī pasākumu, piemēram, pieejas “viens pieņemts — viens atcelts”, kvalitatīvo ietekmi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Gilles Boyer, Billy Kelleher, Stéphanie Yon-Courtin, Pascal Canfin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9.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rPr>
                <w:b/>
                <w:i/>
              </w:rPr>
              <w:t>uzsver, ka ar pieeju „viens pieņemts — viens atcelts” nepietiek, un</w:t>
            </w:r>
            <w:r>
              <w:t xml:space="preserve"> aicina Komisiju ierosināt vērienīgu vienkāršošanas stratēģiju;</w:t>
            </w:r>
          </w:p>
        </w:tc>
        <w:tc>
          <w:tcPr>
            <w:tcW w:w="4876" w:type="dxa"/>
            <w:tcBorders>
              <w:top w:val="nil"/>
              <w:left w:val="nil"/>
              <w:bottom w:val="nil"/>
              <w:right w:val="nil"/>
            </w:tcBorders>
          </w:tcPr>
          <w:p>
            <w:pPr>
              <w:pStyle w:val="Normal6a"/>
            </w:pPr>
            <w:r>
              <w:t>9.</w:t>
            </w:r>
            <w:r>
              <w:tab/>
            </w:r>
            <w:r>
              <w:t xml:space="preserve">aicina Komisiju ierosināt vērienīgu vienkāršošanas stratēģiju </w:t>
            </w:r>
            <w:r>
              <w:rPr>
                <w:b/>
                <w:i/>
              </w:rPr>
              <w:t>jomās, kurās vienkāršošana sniegs konkrētus rezultātus, nevājinot tiesību aktu mērķi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Anouk Van Brug, Billy Kelleher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9.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uzsver, ka </w:t>
            </w:r>
            <w:r>
              <w:rPr>
                <w:b/>
                <w:i/>
              </w:rPr>
              <w:t>ar pieeju</w:t>
            </w:r>
            <w:r>
              <w:t xml:space="preserve"> „viens pieņemts — viens atcelts” </w:t>
            </w:r>
            <w:r>
              <w:rPr>
                <w:b/>
                <w:i/>
              </w:rPr>
              <w:t>nepietiek</w:t>
            </w:r>
            <w:r>
              <w:t>, un aicina Komisiju ierosināt vērienīgu vienkāršošanas stratēģiju;</w:t>
            </w:r>
          </w:p>
        </w:tc>
        <w:tc>
          <w:tcPr>
            <w:tcW w:w="4876" w:type="dxa"/>
            <w:tcBorders>
              <w:top w:val="nil"/>
              <w:left w:val="nil"/>
              <w:bottom w:val="nil"/>
              <w:right w:val="nil"/>
            </w:tcBorders>
          </w:tcPr>
          <w:p>
            <w:pPr>
              <w:pStyle w:val="Normal6a"/>
            </w:pPr>
            <w:r>
              <w:t>9.</w:t>
            </w:r>
            <w:r>
              <w:tab/>
            </w:r>
            <w:r>
              <w:t xml:space="preserve">uzsver, ka </w:t>
            </w:r>
            <w:r>
              <w:rPr>
                <w:b/>
                <w:i/>
              </w:rPr>
              <w:t>pieeja</w:t>
            </w:r>
            <w:r>
              <w:t xml:space="preserve"> „viens pieņemts — viens atcelts” </w:t>
            </w:r>
            <w:r>
              <w:rPr>
                <w:b/>
                <w:i/>
              </w:rPr>
              <w:t>netiek pietiekami īstenota praksē</w:t>
            </w:r>
            <w:r>
              <w:t xml:space="preserve">, un aicina Komisiju </w:t>
            </w:r>
            <w:r>
              <w:rPr>
                <w:b/>
                <w:i/>
              </w:rPr>
              <w:t>šajā sakarībā</w:t>
            </w:r>
            <w:r>
              <w:t xml:space="preserve"> ierosināt vērienīgu vienkāršošanas stratēģiju;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9.a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atgādina par katalizatora lomu, kāda ir mērķtiecīgam publiskam atbalstam dotāciju, pašu kapitāla aizdevumu vai aizdevumu garantiju veidā, lai novērstu finansējuma trūkumu jaunuzņēmumu un augošo uzņēmumu infrastruktūrai un ražošanas jaudai, jo īpaši gadījumos, kad privātie ieguldījumi ir nepietiekami vai nav pieejami;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ECR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9.a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norāda, ka vienkāršošanas nolūkā ieviestie noteikumi bieži vien ir sarežģīti, un tādēļ būtu jāapsver iespēja pilnībā atcelt daudzus spēkā esošos noteikumus, kas palielina administratīvo slogu, jo īpaši zaļās ziņošanas pienākumus;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Danuše Nerudová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9.a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atkārtoti norāda, ka ar atbilstību saistītajām prasībām arī turpmāk vajadzētu būt samērīgām attiecībā uz MVU; mudina izstrādāt standartizētas bezmaksas veidnes un skaidrus, samērīgus informācijas atklāšanas pienākumus, kas atspoguļo mazāku uzņēmumu spējas;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Anouk Van Brug, Stéphanie Yon-Courtin,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9.a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aicina Komisiju izpētīt priekšrocības, ko sniedz pastiprināta centralizēta uzraudzība ES finanšu tirgos, lai mazinātu nesaskaņas, kuras joprojām attur no pārrobežu ieguldījumiem, un izvērtēt iespēju ieviest vienotu noteikumu kopumu tirgus dalībniekiem;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9.a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aicina Komisiju izveidot centralizētu digitālo portālu, lai palīdzētu MVU apzināt ES finansējuma iespējas;</w:t>
            </w:r>
            <w:r>
              <w:t xml:space="preserve"> </w:t>
            </w:r>
            <w:r>
              <w:rPr>
                <w:b/>
                <w:i/>
              </w:rPr>
              <w:t>šim portālam vajadzētu būt pieejamās valodās, MI iespējotam un mobilam;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3. apakšvirsraksts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Privātā kapitāla un uzkrājumu sekmēšana</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3. apakšvirsraksts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Privātā kapitāla un uzkrājumu sekmēšana</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3.a apakšvirsraksts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Atbalsts Eiropas MVU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10.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10.</w:t>
            </w:r>
            <w:r>
              <w:tab/>
            </w:r>
            <w:r>
              <w:rPr>
                <w:b/>
                <w:i/>
              </w:rPr>
              <w:t>norāda, ka Komisijas mērķis ir īstenot uzkrājumu un ieguldījumu savienību, kurā jāiekļauj ne tikai rīcība ES līmenī, bet arī tādu instrumentu, risinājumu un paraugprakses izstrāde, kas respektē un atbalsta dalībvalstu darbības valstu līmenī;</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10.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10.</w:t>
            </w:r>
            <w:r>
              <w:tab/>
            </w:r>
            <w:r>
              <w:rPr>
                <w:b/>
                <w:i/>
              </w:rPr>
              <w:t>norāda, ka Komisijas mērķis ir īstenot uzkrājumu un ieguldījumu savienību, kurā jāiekļauj ne tikai rīcība ES līmenī, bet arī tādu instrumentu, risinājumu un paraugprakses izstrāde, kas respektē un atbalsta dalībvalstu darbības valstu līmenī;</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10.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norāda, ka Komisijas mērķis ir īstenot uzkrājumu un ieguldījumu savienību, kurā jāiekļauj ne tikai rīcība ES līmenī, bet arī tādu instrumentu, risinājumu un paraugprakses izstrāde, kas respektē un atbalsta dalībvalstu darbības valstu līmenī;</w:t>
            </w:r>
          </w:p>
        </w:tc>
        <w:tc>
          <w:tcPr>
            <w:tcW w:w="4876" w:type="dxa"/>
            <w:tcBorders>
              <w:top w:val="nil"/>
              <w:left w:val="nil"/>
              <w:bottom w:val="nil"/>
              <w:right w:val="nil"/>
            </w:tcBorders>
          </w:tcPr>
          <w:p>
            <w:pPr>
              <w:pStyle w:val="Normal6a"/>
            </w:pPr>
            <w:r>
              <w:t>10.</w:t>
            </w:r>
            <w:r>
              <w:tab/>
            </w:r>
            <w:r>
              <w:t xml:space="preserve">norāda, ka Komisijas mērķis ir īstenot uzkrājumu un ieguldījumu savienību, kurā jāiekļauj ne tikai rīcība ES līmenī, bet arī tādu instrumentu, risinājumu un paraugprakses izstrāde, kas respektē un atbalsta dalībvalstu darbības valstu līmenī; </w:t>
            </w:r>
            <w:r>
              <w:rPr>
                <w:b/>
                <w:i/>
              </w:rPr>
              <w:t>uzsver, ka uzkrājumu un ieguldījumu savienība būs sekmīga MVU finansēšanas situācijas uzlabošanā tikai tad, ja ES dalībvalstis patiesi to atbalstīs;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10.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norāda, ka Komisijas mērķis ir īstenot uzkrājumu un ieguldījumu savienību, kurā jāiekļauj ne tikai rīcība ES līmenī, bet arī tādu instrumentu, risinājumu un paraugprakses izstrāde, kas respektē un atbalsta dalībvalstu darbības valstu līmenī;</w:t>
            </w:r>
          </w:p>
        </w:tc>
        <w:tc>
          <w:tcPr>
            <w:tcW w:w="4876" w:type="dxa"/>
            <w:tcBorders>
              <w:top w:val="nil"/>
              <w:left w:val="nil"/>
              <w:bottom w:val="nil"/>
              <w:right w:val="nil"/>
            </w:tcBorders>
          </w:tcPr>
          <w:p>
            <w:pPr>
              <w:pStyle w:val="Normal6a"/>
            </w:pPr>
            <w:r>
              <w:t>10.</w:t>
            </w:r>
            <w:r>
              <w:tab/>
            </w:r>
            <w:r>
              <w:t>norāda, ka Komisijas mērķis ir īstenot uzkrājumu un ieguldījumu savienību, kurā jāiekļauj ne tikai rīcība ES līmenī, bet arī tādu instrumentu, risinājumu un paraugprakses izstrāde, kas respektē un atbalsta dalībvalstu darbības valstu līmenī</w:t>
            </w:r>
            <w:r>
              <w:rPr>
                <w:b/>
                <w:i/>
              </w:rPr>
              <w:t>, un galvenokārt sekmē pārrobežu konsekvenci, lai novērstu regulatīvās atšķirības dalībvalstu vidū</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Anouk Van Brug, Billy Kelleher, Stéphanie Yon-Courtin,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10.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norāda, ka </w:t>
            </w:r>
            <w:r>
              <w:rPr>
                <w:b/>
                <w:i/>
              </w:rPr>
              <w:t>Komisijas mērķis ir īstenot</w:t>
            </w:r>
            <w:r>
              <w:t xml:space="preserve"> uzkrājumu un ieguldījumu savienību, </w:t>
            </w:r>
            <w:r>
              <w:rPr>
                <w:b/>
                <w:i/>
              </w:rPr>
              <w:t>kurā jāiekļauj ne tikai rīcība ES līmenī, bet arī tādu instrumentu, risinājumu un paraugprakses izstrāde, kas respektē un atbalsta dalībvalstu darbības</w:t>
            </w:r>
            <w:r>
              <w:t xml:space="preserve"> valstu </w:t>
            </w:r>
            <w:r>
              <w:rPr>
                <w:b/>
                <w:i/>
              </w:rPr>
              <w:t>līmenī</w:t>
            </w:r>
            <w:r>
              <w:t>;</w:t>
            </w:r>
          </w:p>
        </w:tc>
        <w:tc>
          <w:tcPr>
            <w:tcW w:w="4876" w:type="dxa"/>
            <w:tcBorders>
              <w:top w:val="nil"/>
              <w:left w:val="nil"/>
              <w:bottom w:val="nil"/>
              <w:right w:val="nil"/>
            </w:tcBorders>
          </w:tcPr>
          <w:p>
            <w:pPr>
              <w:pStyle w:val="Normal6a"/>
            </w:pPr>
            <w:r>
              <w:t>10.</w:t>
            </w:r>
            <w:r>
              <w:tab/>
            </w:r>
            <w:r>
              <w:t xml:space="preserve">norāda, ka </w:t>
            </w:r>
            <w:r>
              <w:rPr>
                <w:b/>
                <w:i/>
              </w:rPr>
              <w:t>ES mājsaimniecībām ir augsts uzkrājumu līmenis zema ienesīguma instrumentos;</w:t>
            </w:r>
            <w:r>
              <w:t xml:space="preserve"> </w:t>
            </w:r>
            <w:r>
              <w:rPr>
                <w:b/>
                <w:i/>
              </w:rPr>
              <w:t>stingri mudina turpināt attīstīt</w:t>
            </w:r>
            <w:r>
              <w:t xml:space="preserve"> uzkrājumu un ieguldījumu savienību, </w:t>
            </w:r>
            <w:r>
              <w:rPr>
                <w:b/>
                <w:i/>
              </w:rPr>
              <w:t>kas var palīdzēt novirzīt ilgtermiņa uzkrājumus uz kapitāla tirgiem un papildināt</w:t>
            </w:r>
            <w:r>
              <w:t xml:space="preserve"> valstu </w:t>
            </w:r>
            <w:r>
              <w:rPr>
                <w:b/>
                <w:i/>
              </w:rPr>
              <w:t>centienus padziļināt kapitāla tirgus un palielināt kapitāla pieejamību, jo īpaši attiecībā uz MVU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10.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norāda, ka Komisijas mērķis ir īstenot uzkrājumu un ieguldījumu savienību, kurā jāiekļauj ne tikai rīcība ES līmenī, bet arī tādu instrumentu, risinājumu un paraugprakses izstrāde, kas </w:t>
            </w:r>
            <w:r>
              <w:rPr>
                <w:b/>
                <w:i/>
              </w:rPr>
              <w:t>respektē un</w:t>
            </w:r>
            <w:r>
              <w:t xml:space="preserve"> atbalsta dalībvalstu darbības valstu līmenī;</w:t>
            </w:r>
          </w:p>
        </w:tc>
        <w:tc>
          <w:tcPr>
            <w:tcW w:w="4876" w:type="dxa"/>
            <w:tcBorders>
              <w:top w:val="nil"/>
              <w:left w:val="nil"/>
              <w:bottom w:val="nil"/>
              <w:right w:val="nil"/>
            </w:tcBorders>
          </w:tcPr>
          <w:p>
            <w:pPr>
              <w:pStyle w:val="Normal6a"/>
            </w:pPr>
            <w:r>
              <w:t>10.</w:t>
            </w:r>
            <w:r>
              <w:tab/>
            </w:r>
            <w:r>
              <w:t xml:space="preserve">norāda, ka Komisijas mērķis ir īstenot uzkrājumu un ieguldījumu savienību </w:t>
            </w:r>
            <w:r>
              <w:rPr>
                <w:b/>
                <w:i/>
              </w:rPr>
              <w:t>(UIS)</w:t>
            </w:r>
            <w:r>
              <w:t>, kurā jāiekļauj ne tikai rīcība ES līmenī, bet arī tādu instrumentu, risinājumu un paraugprakses izstrāde, kas atbalsta dalībvalstu darbības valstu līmenī</w:t>
            </w:r>
            <w:r>
              <w:rPr>
                <w:b/>
                <w:i/>
              </w:rPr>
              <w:t>, ja šādas darbības var labāk veicināt UIS īstenošanu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Jonás Fernández, Tsvetelina Penkova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10.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norāda, ka Komisijas mērķis ir īstenot uzkrājumu un ieguldījumu savienību</w:t>
            </w:r>
            <w:r>
              <w:rPr>
                <w:b/>
                <w:i/>
              </w:rPr>
              <w:t>, kurā jāiekļauj ne tikai rīcība ES līmenī, bet arī tādu instrumentu, risinājumu un paraugprakses izstrāde, kas respektē un atbalsta dalībvalstu darbības valstu līmenī</w:t>
            </w:r>
            <w:r>
              <w:t>;</w:t>
            </w:r>
          </w:p>
        </w:tc>
        <w:tc>
          <w:tcPr>
            <w:tcW w:w="4876" w:type="dxa"/>
            <w:tcBorders>
              <w:top w:val="nil"/>
              <w:left w:val="nil"/>
              <w:bottom w:val="nil"/>
              <w:right w:val="nil"/>
            </w:tcBorders>
          </w:tcPr>
          <w:p>
            <w:pPr>
              <w:pStyle w:val="Normal6a"/>
            </w:pPr>
            <w:r>
              <w:t>10.</w:t>
            </w:r>
            <w:r>
              <w:tab/>
            </w:r>
            <w:r>
              <w:t>norāda, ka Komisijas mērķis ir īstenot uzkrājumu un ieguldījumu savienību</w:t>
            </w:r>
            <w:r>
              <w:rPr>
                <w:b/>
                <w:i/>
              </w:rPr>
              <w:t>;</w:t>
            </w:r>
            <w:r>
              <w:t xml:space="preserve"> </w:t>
            </w:r>
            <w:r>
              <w:rPr>
                <w:b/>
                <w:i/>
              </w:rPr>
              <w:t>uzsver, ka uzkrājumu un ieguldījumu savienības izveidei ir nepieciešama pilnīga kapitāla tirgu integrācija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Arba Kokalari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10.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norāda, ka Komisijas mērķis ir īstenot uzkrājumu un ieguldījumu savienību, kurā jāiekļauj ne tikai rīcība ES līmenī, bet </w:t>
            </w:r>
            <w:r>
              <w:rPr>
                <w:b/>
                <w:i/>
              </w:rPr>
              <w:t>arī</w:t>
            </w:r>
            <w:r>
              <w:t xml:space="preserve"> tādu instrumentu, risinājumu un paraugprakses izstrāde, kas respektē un atbalsta dalībvalstu darbības valstu līmenī;</w:t>
            </w:r>
          </w:p>
        </w:tc>
        <w:tc>
          <w:tcPr>
            <w:tcW w:w="4876" w:type="dxa"/>
            <w:tcBorders>
              <w:top w:val="nil"/>
              <w:left w:val="nil"/>
              <w:bottom w:val="nil"/>
              <w:right w:val="nil"/>
            </w:tcBorders>
          </w:tcPr>
          <w:p>
            <w:pPr>
              <w:pStyle w:val="Normal6a"/>
            </w:pPr>
            <w:r>
              <w:t>10.</w:t>
            </w:r>
            <w:r>
              <w:tab/>
            </w:r>
            <w:r>
              <w:t>norāda, ka Komisijas mērķis ir īstenot uzkrājumu un ieguldījumu savienību, kurā jāiekļauj ne tikai rīcība ES līmenī, bet</w:t>
            </w:r>
            <w:r>
              <w:rPr>
                <w:b/>
                <w:i/>
              </w:rPr>
              <w:t>, kas ir vēl svarīgāk,</w:t>
            </w:r>
            <w:r>
              <w:t xml:space="preserve"> tādu instrumentu, risinājumu un paraugprakses izstrāde, kas respektē un atbalsta dalībvalstu darbības valstu līmenī;</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10.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norāda, ka Komisijas mērķis ir īstenot uzkrājumu un ieguldījumu savienību, kurā jāiekļauj ne tikai rīcība ES līmenī, bet arī </w:t>
            </w:r>
            <w:r>
              <w:rPr>
                <w:b/>
                <w:i/>
              </w:rPr>
              <w:t>tādu</w:t>
            </w:r>
            <w:r>
              <w:t xml:space="preserve"> instrumentu, risinājumu un paraugprakses izstrāde</w:t>
            </w:r>
            <w:r>
              <w:rPr>
                <w:b/>
                <w:i/>
              </w:rPr>
              <w:t>, kas respektē un atbalsta</w:t>
            </w:r>
            <w:r>
              <w:t xml:space="preserve"> dalībvalstu </w:t>
            </w:r>
            <w:r>
              <w:rPr>
                <w:b/>
                <w:i/>
              </w:rPr>
              <w:t>darbības valstu</w:t>
            </w:r>
            <w:r>
              <w:t xml:space="preserve"> līmenī;</w:t>
            </w:r>
          </w:p>
        </w:tc>
        <w:tc>
          <w:tcPr>
            <w:tcW w:w="4876" w:type="dxa"/>
            <w:tcBorders>
              <w:top w:val="nil"/>
              <w:left w:val="nil"/>
              <w:bottom w:val="nil"/>
              <w:right w:val="nil"/>
            </w:tcBorders>
          </w:tcPr>
          <w:p>
            <w:pPr>
              <w:pStyle w:val="Normal6a"/>
            </w:pPr>
            <w:r>
              <w:t>10.</w:t>
            </w:r>
            <w:r>
              <w:tab/>
            </w:r>
            <w:r>
              <w:t>norāda, ka Komisijas mērķis ir īstenot uzkrājumu un ieguldījumu savienību, kurā jāiekļauj ne tikai rīcība ES līmenī, bet arī instrumentu, risinājumu un paraugprakses izstrāde dalībvalstu līmenī;</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10.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norāda, ka Komisijas mērķis ir īstenot uzkrājumu un ieguldījumu savienību, kurā jāiekļauj </w:t>
            </w:r>
            <w:r>
              <w:rPr>
                <w:b/>
                <w:i/>
              </w:rPr>
              <w:t>ne tikai</w:t>
            </w:r>
            <w:r>
              <w:t xml:space="preserve"> rīcība ES līmenī, </w:t>
            </w:r>
            <w:r>
              <w:rPr>
                <w:b/>
                <w:i/>
              </w:rPr>
              <w:t>bet arī tādu instrumentu, risinājumu un paraugprakses izstrāde</w:t>
            </w:r>
            <w:r>
              <w:t xml:space="preserve">, kas respektē un atbalsta dalībvalstu darbības </w:t>
            </w:r>
            <w:r>
              <w:rPr>
                <w:b/>
                <w:i/>
              </w:rPr>
              <w:t>valstu līmenī</w:t>
            </w:r>
            <w:r>
              <w:t>;</w:t>
            </w:r>
          </w:p>
        </w:tc>
        <w:tc>
          <w:tcPr>
            <w:tcW w:w="4876" w:type="dxa"/>
            <w:tcBorders>
              <w:top w:val="nil"/>
              <w:left w:val="nil"/>
              <w:bottom w:val="nil"/>
              <w:right w:val="nil"/>
            </w:tcBorders>
          </w:tcPr>
          <w:p>
            <w:pPr>
              <w:pStyle w:val="Normal6a"/>
            </w:pPr>
            <w:r>
              <w:t>10.</w:t>
            </w:r>
            <w:r>
              <w:tab/>
            </w:r>
            <w:r>
              <w:t xml:space="preserve">norāda, ka Komisijas mērķis ir īstenot uzkrājumu un ieguldījumu savienību, kurā jāiekļauj rīcība ES līmenī, </w:t>
            </w:r>
            <w:r>
              <w:rPr>
                <w:b/>
                <w:i/>
              </w:rPr>
              <w:t>un arī instrumenti, risinājumi un paraugprakse</w:t>
            </w:r>
            <w:r>
              <w:t xml:space="preserve">, kas respektē </w:t>
            </w:r>
            <w:r>
              <w:rPr>
                <w:b/>
                <w:i/>
              </w:rPr>
              <w:t>valstu kompetenci</w:t>
            </w:r>
            <w:r>
              <w:t xml:space="preserve"> un atbalsta dalībvalstu darbības;</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244</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10.a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aicina Komisiju izpētīt jaunus finansēšanas instrumentus un pielāgot tos mikrouzņēmumu un mazo uzņēmumu vajadzībām, samazinot maksas un palielinot riska segumu zaļajiem, sociālajiem un kooperatīvajiem MVU un īpašu uzmanību pievēršot ekonomiski atpalikušu un marginalizētu reģionu atbalstam un bezdarba un reģionālās nevienlīdzības apkarošanai;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245</w:t>
      </w:r>
      <w:r>
        <w:rPr>
          <w:rStyle w:val="HideTWBExt"/>
        </w:rPr>
        <w:t>&lt;/NumAm&gt;</w:t>
      </w:r>
    </w:p>
    <w:p>
      <w:pPr>
        <w:pStyle w:val="NormalBold"/>
      </w:pPr>
      <w:r>
        <w:rPr>
          <w:rStyle w:val="HideTWBExt"/>
          <w:b w:val="0"/>
        </w:rPr>
        <w:t>&lt;RepeatBlock-By&gt;</w:t>
      </w:r>
      <w:r>
        <w:rPr>
          <w:rStyle w:val="HideTWBExt"/>
          <w:b w:val="0"/>
        </w:rPr>
        <w:t>&lt;Members&gt;</w:t>
      </w:r>
      <w:r>
        <w:t>Gilles Boyer, Stéphanie Yon-Courtin, Pascal Canfin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10.a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atzinīgi vērtē marķējuma “Finance Europe” ieviešanu ar tā īpašo iezīmju sarakstu, kas jāievēro fondiem, kuri izmanto šo marķējumu, jo tas ļaus piesaistīt noguldītājus, kuri vēlas ieguldīt savus uzkrājumus Eiropas uzņēmumos un tādējādi tieši piedalīties Savienības ekonomikas finansēšanā;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246</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10.a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norāda, ka ekonomiskās un monetārās savienības, kapitāla tirgu savienības (KTS) un banku savienības izveides pabeigšana un stiprināšana, jo īpaši pašreizējā ASV dolāra ietekmes iespējamās mazināšanās kontekstā, varētu palielināt euro izmantošanu starptautiskā mērogā, kas nāktu par labu MVU;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247</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11.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11.</w:t>
            </w:r>
            <w:r>
              <w:tab/>
            </w:r>
            <w:r>
              <w:rPr>
                <w:b/>
                <w:i/>
              </w:rPr>
              <w:t>aicina Komisiju uzlabot ieguldītāju piekļuvi informācijai un aizsardzību un vienlaikus izmantot vienkāršotu mazumtirdzniecības produktu potenciālu, lai kapitāla tirgiem piesaistītu vairāk uzkrājumu;</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248</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11.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11.</w:t>
            </w:r>
            <w:r>
              <w:tab/>
            </w:r>
            <w:r>
              <w:rPr>
                <w:b/>
                <w:i/>
              </w:rPr>
              <w:t>aicina Komisiju uzlabot ieguldītāju piekļuvi informācijai un aizsardzību un vienlaikus izmantot vienkāršotu mazumtirdzniecības produktu potenciālu, lai kapitāla tirgiem piesaistītu vairāk uzkrājumu;</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249</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11.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aicina Komisiju </w:t>
            </w:r>
            <w:r>
              <w:rPr>
                <w:b/>
                <w:i/>
              </w:rPr>
              <w:t>uzlabot</w:t>
            </w:r>
            <w:r>
              <w:t xml:space="preserve"> ieguldītāju piekļuvi </w:t>
            </w:r>
            <w:r>
              <w:rPr>
                <w:b/>
                <w:i/>
              </w:rPr>
              <w:t>informācijai un aizsardzību un vienlaikus izmantot vienkāršotu mazumtirdzniecības produktu potenciālu, lai kapitāla</w:t>
            </w:r>
            <w:r>
              <w:t xml:space="preserve"> tirgiem </w:t>
            </w:r>
            <w:r>
              <w:rPr>
                <w:b/>
                <w:i/>
              </w:rPr>
              <w:t>piesaistītu vairāk uzkrājumu</w:t>
            </w:r>
            <w:r>
              <w:t>;</w:t>
            </w:r>
          </w:p>
        </w:tc>
        <w:tc>
          <w:tcPr>
            <w:tcW w:w="4876" w:type="dxa"/>
            <w:tcBorders>
              <w:top w:val="nil"/>
              <w:left w:val="nil"/>
              <w:bottom w:val="nil"/>
              <w:right w:val="nil"/>
            </w:tcBorders>
          </w:tcPr>
          <w:p>
            <w:pPr>
              <w:pStyle w:val="Normal6a"/>
            </w:pPr>
            <w:r>
              <w:t>11.</w:t>
            </w:r>
            <w:r>
              <w:tab/>
            </w:r>
            <w:r>
              <w:rPr>
                <w:b/>
                <w:i/>
              </w:rPr>
              <w:t>atzinīgi vērtē ideju noguldītājus pārveidot par ieguldītājiem;</w:t>
            </w:r>
            <w:r>
              <w:t xml:space="preserve"> aicina Komisiju </w:t>
            </w:r>
            <w:r>
              <w:rPr>
                <w:b/>
                <w:i/>
              </w:rPr>
              <w:t>atvieglot privāto</w:t>
            </w:r>
            <w:r>
              <w:t xml:space="preserve"> ieguldītāju piekļuvi </w:t>
            </w:r>
            <w:r>
              <w:rPr>
                <w:b/>
                <w:i/>
              </w:rPr>
              <w:t>finanšu</w:t>
            </w:r>
            <w:r>
              <w:t xml:space="preserve"> tirgiem</w:t>
            </w:r>
            <w:r>
              <w:rPr>
                <w:b/>
                <w:i/>
              </w:rPr>
              <w:t>;</w:t>
            </w:r>
            <w:r>
              <w:t xml:space="preserve"> </w:t>
            </w:r>
            <w:r>
              <w:rPr>
                <w:b/>
                <w:i/>
              </w:rPr>
              <w:t>uzsver, ka, lai uzkrājumus novirzītu jaunuzņēmumiem vai augošiem uzņēmumiem, būtiska nozīme ir tādiem starpniekiem kā pensiju fondi un apdrošināšanas sabiedrības</w:t>
            </w:r>
            <w:r>
              <w:t xml:space="preserve">; </w:t>
            </w:r>
            <w:r>
              <w:rPr>
                <w:b/>
                <w:i/>
              </w:rPr>
              <w:t>aicina Komisiju izveidot tiesisko regulējumu, kas šādām struktūrām padarītu pievilcīgu minētās starpnieka lomas uzņemšanos;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250</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11.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aicina Komisiju uzlabot ieguldītāju piekļuvi informācijai un aizsardzību un vienlaikus izmantot vienkāršotu mazumtirdzniecības produktu potenciālu, lai kapitāla tirgiem piesaistītu vairāk uzkrājumu;</w:t>
            </w:r>
          </w:p>
        </w:tc>
        <w:tc>
          <w:tcPr>
            <w:tcW w:w="4876" w:type="dxa"/>
            <w:tcBorders>
              <w:top w:val="nil"/>
              <w:left w:val="nil"/>
              <w:bottom w:val="nil"/>
              <w:right w:val="nil"/>
            </w:tcBorders>
          </w:tcPr>
          <w:p>
            <w:pPr>
              <w:pStyle w:val="Normal6a"/>
            </w:pPr>
            <w:r>
              <w:t>11.</w:t>
            </w:r>
            <w:r>
              <w:tab/>
            </w:r>
            <w:r>
              <w:t xml:space="preserve">aicina Komisiju uzlabot ieguldītāju piekļuvi informācijai un aizsardzību un vienlaikus izmantot vienkāršotu mazumtirdzniecības produktu potenciālu, lai kapitāla tirgiem piesaistītu vairāk uzkrājumu; </w:t>
            </w:r>
            <w:r>
              <w:rPr>
                <w:b/>
                <w:i/>
              </w:rPr>
              <w:t>aicina Komisiju veicināt brīvprātīgus Eiropas standartus, lai uzlabotu MVU paredzēto finanšu produktu pārredzamību, salīdzināmību un skaidru noformējumu nolūkā atvieglot uzņēmēju spējas pieņemt uz informāciju balstītu lēmumus;</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251</w:t>
      </w:r>
      <w:r>
        <w:rPr>
          <w:rStyle w:val="HideTWBExt"/>
        </w:rPr>
        <w:t>&lt;/NumAm&gt;</w:t>
      </w:r>
    </w:p>
    <w:p>
      <w:pPr>
        <w:pStyle w:val="NormalBold"/>
      </w:pPr>
      <w:r>
        <w:rPr>
          <w:rStyle w:val="HideTWBExt"/>
          <w:b w:val="0"/>
        </w:rPr>
        <w:t>&lt;RepeatBlock-By&gt;</w:t>
      </w:r>
      <w:r>
        <w:rPr>
          <w:rStyle w:val="HideTWBExt"/>
          <w:b w:val="0"/>
        </w:rPr>
        <w:t>&lt;Members&gt;</w:t>
      </w:r>
      <w:r>
        <w:t>Arba Kokalari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11.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aicina Komisiju </w:t>
            </w:r>
            <w:r>
              <w:rPr>
                <w:b/>
                <w:i/>
              </w:rPr>
              <w:t>uzlabot</w:t>
            </w:r>
            <w:r>
              <w:t xml:space="preserve"> ieguldītāju </w:t>
            </w:r>
            <w:r>
              <w:rPr>
                <w:b/>
                <w:i/>
              </w:rPr>
              <w:t>piekļuvi informācijai un aizsardzību</w:t>
            </w:r>
            <w:r>
              <w:t xml:space="preserve"> un vienlaikus izmantot vienkāršotu mazumtirdzniecības produktu potenciālu, lai kapitāla tirgiem piesaistītu vairāk uzkrājumu;</w:t>
            </w:r>
          </w:p>
        </w:tc>
        <w:tc>
          <w:tcPr>
            <w:tcW w:w="4876" w:type="dxa"/>
            <w:tcBorders>
              <w:top w:val="nil"/>
              <w:left w:val="nil"/>
              <w:bottom w:val="nil"/>
              <w:right w:val="nil"/>
            </w:tcBorders>
          </w:tcPr>
          <w:p>
            <w:pPr>
              <w:pStyle w:val="Normal6a"/>
            </w:pPr>
            <w:r>
              <w:t>11.</w:t>
            </w:r>
            <w:r>
              <w:tab/>
            </w:r>
            <w:r>
              <w:t xml:space="preserve">aicina Komisiju </w:t>
            </w:r>
            <w:r>
              <w:rPr>
                <w:b/>
                <w:i/>
              </w:rPr>
              <w:t>stiprināt privāto</w:t>
            </w:r>
            <w:r>
              <w:t xml:space="preserve"> ieguldītāju </w:t>
            </w:r>
            <w:r>
              <w:rPr>
                <w:b/>
                <w:i/>
              </w:rPr>
              <w:t>līdzdalību kapitāla tirgos, izmantojot dažādus līdzekļus,</w:t>
            </w:r>
            <w:r>
              <w:t xml:space="preserve"> un vienlaikus izmantot vienkāršotu mazumtirdzniecības produktu potenciālu, lai kapitāla tirgiem piesaistītu vairāk uzkrājumu </w:t>
            </w:r>
            <w:r>
              <w:rPr>
                <w:b/>
                <w:i/>
              </w:rPr>
              <w:t>un, kas ir vēl svarīgāk, piedāvātu ES iedzīvotājiem pievilcīgāku peļņu no viņu uzkrājumiem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252</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11.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aicina Komisiju uzlabot ieguldītāju piekļuvi informācijai un aizsardzību un vienlaikus izmantot </w:t>
            </w:r>
            <w:r>
              <w:rPr>
                <w:b/>
                <w:i/>
              </w:rPr>
              <w:t>vienkāršotu</w:t>
            </w:r>
            <w:r>
              <w:t xml:space="preserve"> mazumtirdzniecības produktu potenciālu, lai kapitāla tirgiem piesaistītu vairāk uzkrājumu;</w:t>
            </w:r>
          </w:p>
        </w:tc>
        <w:tc>
          <w:tcPr>
            <w:tcW w:w="4876" w:type="dxa"/>
            <w:tcBorders>
              <w:top w:val="nil"/>
              <w:left w:val="nil"/>
              <w:bottom w:val="nil"/>
              <w:right w:val="nil"/>
            </w:tcBorders>
          </w:tcPr>
          <w:p>
            <w:pPr>
              <w:pStyle w:val="Normal6a"/>
            </w:pPr>
            <w:r>
              <w:t>11.</w:t>
            </w:r>
            <w:r>
              <w:tab/>
            </w:r>
            <w:r>
              <w:t>aicina Komisiju uzlabot ieguldītāju piekļuvi informācijai un aizsardzību un vienlaikus izmantot mazumtirdzniecības produktu potenciālu, lai kapitāla tirgiem piesaistītu vairāk uzkrājumu;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253</w:t>
      </w:r>
      <w:r>
        <w:rPr>
          <w:rStyle w:val="HideTWBExt"/>
        </w:rPr>
        <w:t>&lt;/NumAm&gt;</w:t>
      </w:r>
    </w:p>
    <w:p>
      <w:pPr>
        <w:pStyle w:val="NormalBold"/>
      </w:pPr>
      <w:r>
        <w:rPr>
          <w:rStyle w:val="HideTWBExt"/>
          <w:b w:val="0"/>
        </w:rPr>
        <w:t>&lt;RepeatBlock-By&gt;</w:t>
      </w:r>
      <w:r>
        <w:rPr>
          <w:rStyle w:val="HideTWBExt"/>
          <w:b w:val="0"/>
        </w:rPr>
        <w:t>&lt;Members&gt;</w:t>
      </w:r>
      <w:r>
        <w:t>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11.a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pauž nožēlu, ka EuVECA regula ((ES) Nr. 345/2013) nav būtiski pozitīvi ietekmējusi vietējos riska kapitāla tirgus;</w:t>
            </w:r>
            <w:r>
              <w:t xml:space="preserve"> </w:t>
            </w:r>
            <w:r>
              <w:rPr>
                <w:b/>
                <w:i/>
              </w:rPr>
              <w:t>atzinīgi vērtē to, ka paziņojumā par uzkrājumu un investīciju savienību (SIU) ir īpaši aplūkoti riska kapitāla ieguldījumi mazos, biržā nekotētos uzņēmumos, kas ideālā gadījumā ir jauni un inovatīvi, taču pauž nožēlu, ka Komisijas priekšlikums par EuVECA regulu ir atlikts līdz 2026. gada 3. ceturksnim;</w:t>
            </w:r>
            <w:r>
              <w:t xml:space="preserve"> </w:t>
            </w:r>
            <w:r>
              <w:rPr>
                <w:b/>
                <w:i/>
              </w:rPr>
              <w:t>aicina Komisiju apsvērt iespēju ļaut privātajiem noguldītājiem ieguldīt alternatīvos fondos un no EuVECA regulas svītrot minimālā ieguldījuma summu 100 000 EUR apmērā;</w:t>
            </w:r>
            <w:r>
              <w:t xml:space="preserve"> </w:t>
            </w:r>
            <w:r>
              <w:rPr>
                <w:b/>
                <w:i/>
              </w:rPr>
              <w:t>aicina Komisiju mudināt dalībvalstis piešķirt nodokļu atvieglojumus riska kapitāla fondiem, kas iegulda MVU;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254</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11.a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uzsver, ka uzkrājumu piesaistei ieguldījumiem būtu jānotiek vienlaikus ar tādas vides radīšanu, kas ir piemērota Eiropas MVU un augošiem uzņēmumiem, lai tie būtu pietiekami rentabli, un tādējādi jārada ekonomisks pamatojums tam, lai cilvēki varētu brīvi ieguldīt naudu Eiropas uzņēmumos;</w:t>
            </w:r>
            <w:r>
              <w:t xml:space="preserve"> </w:t>
            </w:r>
            <w:r>
              <w:rPr>
                <w:b/>
                <w:i/>
              </w:rPr>
              <w:t>tādēļ norāda, ka atbalsts ražīgumam, inovācijai un konkurētspējai un regulatīvā sloga būtiska samazināšana ir svarīgs priekšnoteikums privātā kapitāla un uzkrājumu atraisīšanai;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255</w:t>
      </w:r>
      <w:r>
        <w:rPr>
          <w:rStyle w:val="HideTWBExt"/>
        </w:rPr>
        <w:t>&lt;/NumAm&gt;</w:t>
      </w:r>
    </w:p>
    <w:p>
      <w:pPr>
        <w:pStyle w:val="NormalBold"/>
      </w:pPr>
      <w:r>
        <w:rPr>
          <w:rStyle w:val="HideTWBExt"/>
          <w:b w:val="0"/>
        </w:rPr>
        <w:t>&lt;RepeatBlock-By&gt;</w:t>
      </w:r>
      <w:r>
        <w:rPr>
          <w:rStyle w:val="HideTWBExt"/>
          <w:b w:val="0"/>
        </w:rPr>
        <w:t>&lt;Members&gt;</w:t>
      </w:r>
      <w:r>
        <w:t>Arba Kokalari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11.a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atzīmē, ka Draghi ziņojumā ir norādīts, ka priekšfinansēto valsts, arodpensiju un privāto pensiju shēmu nepietiekama attīstība ES dalībvalstīs ir būtisks kapitāla tirgu attīstību ierobežojošs faktors;</w:t>
            </w:r>
            <w:r>
              <w:t xml:space="preserve"> </w:t>
            </w:r>
            <w:r>
              <w:rPr>
                <w:b/>
                <w:i/>
              </w:rPr>
              <w:t>uzsver, ka priekšfinansētām pensiju shēmām, kurās noteiktas iemaksas tiek ieguldītas kapitāla tirgos, nevis sadalītas atbilstīgi paaudžu solidaritātes pensiju sistēmai, ir izšķiroša nozīme, lai ilgtermiņa investīcijas novirzītu uz reālo ekonomiku;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256</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11.a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aicina Komisiju par prioritāti noteikt KTS programmu, kas atbalsta finanšu stabilitāti un patērētāju aizsardzību, veicina piekļuvi riska kapitālam un kapitāla ieguldījumiem un samazina pārmērīgu paļaušanos uz banku aizdevumiem, kā arī vienlaikus sniedz skaidrus stimulus ilgtspējīgām darbībām un virzībai prom no darbībām, kuras būtiski kaitē kādam no taksonomijas mērķiem;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257</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ECR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11.a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uzskata, ka privātā kapitāla atraisīšana un tā aktīvāka piesaiste ieguldījumiem ir uzdevums, kas ievērojami pārsniedz regulējuma jomu, jo ir jāmaina uzkrājumu un ieguldījumu ieradumi, kas savukārt prasa ievērojami palielināt zināšanas un izpratni par ekonomiku;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258</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11.a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aicina Eiropas un valstu attīstības bankas palielināt tiešos aizdevumus un līdzdalību MVU pašu kapitālā, īpašu uzmanību pievēršot finansējumam agrīnā posmā un kopienām ar nepietiekamu pakalpojumu klāstu;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259</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12.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12.</w:t>
            </w:r>
            <w:r>
              <w:tab/>
            </w:r>
            <w:r>
              <w:rPr>
                <w:b/>
                <w:i/>
              </w:rPr>
              <w:t>uzsver nepieciešamību uzlabot ES iedzīvotāju un uzņēmēju finanšpratību;</w:t>
            </w:r>
            <w:r>
              <w:t xml:space="preserve"> </w:t>
            </w:r>
            <w:r>
              <w:rPr>
                <w:b/>
                <w:i/>
              </w:rPr>
              <w:t>aicina Komisiju iekļaut uzņēmējdarbību jaunās finanšpratības stratēģijas darbības jomā un instrumentu kopumā, kas paredzēts dalībvalstīm, lai uzlabotu koordināciju šajā jomā;</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260</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12.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12.</w:t>
            </w:r>
            <w:r>
              <w:tab/>
            </w:r>
            <w:r>
              <w:rPr>
                <w:b/>
                <w:i/>
              </w:rPr>
              <w:t>uzsver nepieciešamību uzlabot ES iedzīvotāju un uzņēmēju finanšpratību;</w:t>
            </w:r>
            <w:r>
              <w:t xml:space="preserve"> </w:t>
            </w:r>
            <w:r>
              <w:rPr>
                <w:b/>
                <w:i/>
              </w:rPr>
              <w:t>aicina Komisiju iekļaut uzņēmējdarbību jaunās finanšpratības stratēģijas darbības jomā un instrumentu kopumā, kas paredzēts dalībvalstīm, lai uzlabotu koordināciju šajā jomā;</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261</w:t>
      </w:r>
      <w:r>
        <w:rPr>
          <w:rStyle w:val="HideTWBExt"/>
        </w:rPr>
        <w:t>&lt;/NumAm&gt;</w:t>
      </w:r>
    </w:p>
    <w:p>
      <w:pPr>
        <w:pStyle w:val="NormalBold"/>
      </w:pPr>
      <w:r>
        <w:rPr>
          <w:rStyle w:val="HideTWBExt"/>
          <w:b w:val="0"/>
        </w:rPr>
        <w:t>&lt;RepeatBlock-By&gt;</w:t>
      </w:r>
      <w:r>
        <w:rPr>
          <w:rStyle w:val="HideTWBExt"/>
          <w:b w:val="0"/>
        </w:rPr>
        <w:t>&lt;Members&gt;</w:t>
      </w:r>
      <w:r>
        <w:t>Anouk Van Brug, Billy Kelleher, Stéphanie Yon-Courtin,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12.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uzsver nepieciešamību uzlabot ES iedzīvotāju un uzņēmēju finanšpratību; aicina Komisiju iekļaut uzņēmējdarbību jaunās finanšpratības stratēģijas darbības jomā un instrumentu kopumā, kas paredzēts dalībvalstīm, lai uzlabotu koordināciju šajā jomā;</w:t>
            </w:r>
          </w:p>
        </w:tc>
        <w:tc>
          <w:tcPr>
            <w:tcW w:w="4876" w:type="dxa"/>
            <w:tcBorders>
              <w:top w:val="nil"/>
              <w:left w:val="nil"/>
              <w:bottom w:val="nil"/>
              <w:right w:val="nil"/>
            </w:tcBorders>
          </w:tcPr>
          <w:p>
            <w:pPr>
              <w:pStyle w:val="Normal6a"/>
            </w:pPr>
            <w:r>
              <w:t>12.</w:t>
            </w:r>
            <w:r>
              <w:tab/>
            </w:r>
            <w:r>
              <w:rPr>
                <w:b/>
                <w:i/>
              </w:rPr>
              <w:t>stingri</w:t>
            </w:r>
            <w:r>
              <w:t xml:space="preserve"> uzsver nepieciešamību uzlabot ES iedzīvotāju un uzņēmēju finanšpratību; aicina Komisiju iekļaut uzņēmējdarbību jaunās finanšpratības stratēģijas darbības jomā un instrumentu kopumā, kas paredzēts dalībvalstīm, lai uzlabotu koordināciju šajā jomā; </w:t>
            </w:r>
            <w:r>
              <w:rPr>
                <w:b/>
                <w:i/>
              </w:rPr>
              <w:t>uzsver priekšrocības, ko sniedz uzlabota finanšpratība, lai iedzīvotāji neatkarīgi varētu pieņemt pārdomātākus finanšu lēmumus;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262</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12.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uzsver nepieciešamību uzlabot ES iedzīvotāju un uzņēmēju </w:t>
            </w:r>
            <w:r>
              <w:rPr>
                <w:b/>
                <w:i/>
              </w:rPr>
              <w:t>finanšpratību</w:t>
            </w:r>
            <w:r>
              <w:t xml:space="preserve">; aicina Komisiju iekļaut uzņēmējdarbību jaunās </w:t>
            </w:r>
            <w:r>
              <w:rPr>
                <w:b/>
                <w:i/>
              </w:rPr>
              <w:t>finanšpratības</w:t>
            </w:r>
            <w:r>
              <w:t xml:space="preserve"> stratēģijas darbības jomā un instrumentu kopumā, kas paredzēts dalībvalstīm, lai uzlabotu koordināciju šajā jomā;</w:t>
            </w:r>
          </w:p>
        </w:tc>
        <w:tc>
          <w:tcPr>
            <w:tcW w:w="4876" w:type="dxa"/>
            <w:tcBorders>
              <w:top w:val="nil"/>
              <w:left w:val="nil"/>
              <w:bottom w:val="nil"/>
              <w:right w:val="nil"/>
            </w:tcBorders>
          </w:tcPr>
          <w:p>
            <w:pPr>
              <w:pStyle w:val="Normal6a"/>
            </w:pPr>
            <w:r>
              <w:t>12.</w:t>
            </w:r>
            <w:r>
              <w:tab/>
            </w:r>
            <w:r>
              <w:t xml:space="preserve">uzsver nepieciešamību uzlabot ES iedzīvotāju un uzņēmēju </w:t>
            </w:r>
            <w:r>
              <w:rPr>
                <w:b/>
                <w:i/>
              </w:rPr>
              <w:t>finanšu izglītību</w:t>
            </w:r>
            <w:r>
              <w:t xml:space="preserve">; aicina Komisiju iekļaut uzņēmējdarbību jaunās </w:t>
            </w:r>
            <w:r>
              <w:rPr>
                <w:b/>
                <w:i/>
              </w:rPr>
              <w:t>finanšu izglītības</w:t>
            </w:r>
            <w:r>
              <w:t xml:space="preserve"> stratēģijas darbības jomā un instrumentu kopumā, kas paredzēts dalībvalstīm, lai uzlabotu koordināciju šajā jomā;</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263</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12.a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uzsver, ka ir jālikvidē pašreizējā novirze attiecībā uz pašu kapitālu un parādsaistībām uzņēmumu nodokļu jomā, kas palielina sviras efektu un mudina izmantot sarežģītus finanšu instrumentus, līdz ar to palielinot sistēmiskos riskus kapitāla tirgos;</w:t>
            </w:r>
            <w:r>
              <w:t xml:space="preserve"> </w:t>
            </w:r>
            <w:r>
              <w:rPr>
                <w:b/>
                <w:i/>
              </w:rPr>
              <w:t>uzskata, ka šādi nodokļu izkropļojumi būtu jānovērš, ierobežojot procentu atskaitījumus no nodokļiem, nevis ieviešot jaunus uzņēmumu ienākuma nodokļa atskaitījumus par pašu kapitāla izmaksām, kas radītu lielākus uzņēmumu ienākuma nodokļa ieņēmumu zaudējumus bez reālas ietekmes uz vērtības radīšanu;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264</w:t>
      </w:r>
      <w:r>
        <w:rPr>
          <w:rStyle w:val="HideTWBExt"/>
        </w:rPr>
        <w:t>&lt;/NumAm&gt;</w:t>
      </w:r>
    </w:p>
    <w:p>
      <w:pPr>
        <w:pStyle w:val="NormalBold"/>
      </w:pPr>
      <w:r>
        <w:rPr>
          <w:rStyle w:val="HideTWBExt"/>
          <w:b w:val="0"/>
        </w:rPr>
        <w:t>&lt;RepeatBlock-By&gt;</w:t>
      </w:r>
      <w:r>
        <w:rPr>
          <w:rStyle w:val="HideTWBExt"/>
          <w:b w:val="0"/>
        </w:rPr>
        <w:t>&lt;Members&gt;</w:t>
      </w:r>
      <w:r>
        <w:t>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12.a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stingri uzsver, ka mērķtiecīgi nodokļu atvieglojumi ir būtiski svarīgs instruments mazo un vidējo uzņēmumu un augošo uzņēmumu attīstības, konkurētspējas un izaugsmes veicināšanai;</w:t>
            </w:r>
            <w:r>
              <w:t xml:space="preserve"> </w:t>
            </w:r>
            <w:r>
              <w:rPr>
                <w:b/>
                <w:i/>
              </w:rPr>
              <w:t>tādēļ aicina Komisiju atbalstīt dalībvalstis un radīt tām stimulus īstenot strukturētu un vērienīgu beznodokļu politiku, kā arī ieviest fiskālus un regulatīvus atvieglojumus inovatīvās nozarēs ar augstu izaugsmes potenciālu;</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265</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12.a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aicina izstrādāt Eiropas stratēģiju, lai atbalstītu kooperatīvas un kopienā balstītas finanšu iestādes (piemēram, krājaizdevu sabiedrības, savstarpējās apdrošināšanas bankas) kā galvenos dalībniekus iekļaujošā MVU finansējumā, ņemot vērā to labākas iespējas palīdzēt MVU ar vietējām zināšanām un sociālajām pilnvarām;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266</w:t>
      </w:r>
      <w:r>
        <w:rPr>
          <w:rStyle w:val="HideTWBExt"/>
        </w:rPr>
        <w:t>&lt;/NumAm&gt;</w:t>
      </w:r>
    </w:p>
    <w:p>
      <w:pPr>
        <w:pStyle w:val="NormalBold"/>
      </w:pPr>
      <w:r>
        <w:rPr>
          <w:rStyle w:val="HideTWBExt"/>
          <w:b w:val="0"/>
        </w:rPr>
        <w:t>&lt;RepeatBlock-By&gt;</w:t>
      </w:r>
      <w:r>
        <w:rPr>
          <w:rStyle w:val="HideTWBExt"/>
          <w:b w:val="0"/>
        </w:rPr>
        <w:t>&lt;Members&gt;</w:t>
      </w:r>
      <w:r>
        <w:t>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13.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13.</w:t>
            </w:r>
            <w:r>
              <w:tab/>
            </w:r>
            <w:r>
              <w:rPr>
                <w:b/>
                <w:i/>
              </w:rPr>
              <w:t>prasa, lai publiskais finansējums netiktu izmantots kā subsīdijas, bet drīzāk kā katalizators privāto ieguldījumu mobilizēšanai un lielāka privātā finansējuma pieejamības nodrošināšanai uzņēmumiem;</w:t>
            </w:r>
            <w:r>
              <w:t xml:space="preserve"> </w:t>
            </w:r>
            <w:r>
              <w:rPr>
                <w:b/>
                <w:i/>
              </w:rPr>
              <w:t>uzsver arī nodokļu stimulu nozīmi šajā sakarībā;</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267</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13.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13.</w:t>
            </w:r>
            <w:r>
              <w:tab/>
            </w:r>
            <w:r>
              <w:rPr>
                <w:b/>
                <w:i/>
              </w:rPr>
              <w:t>prasa, lai publiskais finansējums netiktu izmantots kā subsīdijas, bet drīzāk kā katalizators privāto ieguldījumu mobilizēšanai un lielāka privātā finansējuma pieejamības nodrošināšanai uzņēmumiem;</w:t>
            </w:r>
            <w:r>
              <w:t xml:space="preserve"> </w:t>
            </w:r>
            <w:r>
              <w:rPr>
                <w:b/>
                <w:i/>
              </w:rPr>
              <w:t>uzsver arī nodokļu stimulu nozīmi šajā sakarībā;</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268</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13.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13.</w:t>
            </w:r>
            <w:r>
              <w:tab/>
            </w:r>
            <w:r>
              <w:rPr>
                <w:b/>
                <w:i/>
              </w:rPr>
              <w:t>prasa, lai publiskais finansējums netiktu izmantots kā subsīdijas, bet drīzāk kā katalizators privāto ieguldījumu mobilizēšanai un lielāka privātā finansējuma pieejamības nodrošināšanai uzņēmumiem;</w:t>
            </w:r>
            <w:r>
              <w:t xml:space="preserve"> </w:t>
            </w:r>
            <w:r>
              <w:rPr>
                <w:b/>
                <w:i/>
              </w:rPr>
              <w:t>uzsver arī nodokļu stimulu nozīmi šajā sakarībā;</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269</w:t>
      </w:r>
      <w:r>
        <w:rPr>
          <w:rStyle w:val="HideTWBExt"/>
        </w:rPr>
        <w:t>&lt;/NumAm&gt;</w:t>
      </w:r>
    </w:p>
    <w:p>
      <w:pPr>
        <w:pStyle w:val="NormalBold"/>
      </w:pPr>
      <w:r>
        <w:rPr>
          <w:rStyle w:val="HideTWBExt"/>
          <w:b w:val="0"/>
        </w:rPr>
        <w:t>&lt;RepeatBlock-By&gt;</w:t>
      </w:r>
      <w:r>
        <w:rPr>
          <w:rStyle w:val="HideTWBExt"/>
          <w:b w:val="0"/>
        </w:rPr>
        <w:t>&lt;Members&gt;</w:t>
      </w:r>
      <w:r>
        <w:t>Georgios Aftias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13.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prasa, lai publiskais finansējums netiktu izmantots kā subsīdijas, bet drīzāk kā katalizators privāto ieguldījumu mobilizēšanai un lielāka privātā finansējuma pieejamības nodrošināšanai uzņēmumiem; uzsver arī nodokļu stimulu nozīmi šajā sakarībā;</w:t>
            </w:r>
          </w:p>
        </w:tc>
        <w:tc>
          <w:tcPr>
            <w:tcW w:w="4876" w:type="dxa"/>
            <w:tcBorders>
              <w:top w:val="nil"/>
              <w:left w:val="nil"/>
              <w:bottom w:val="nil"/>
              <w:right w:val="nil"/>
            </w:tcBorders>
          </w:tcPr>
          <w:p>
            <w:pPr>
              <w:pStyle w:val="Normal6a"/>
            </w:pPr>
            <w:r>
              <w:t>13.</w:t>
            </w:r>
            <w:r>
              <w:tab/>
            </w:r>
            <w:r>
              <w:t xml:space="preserve">prasa, lai publiskais finansējums netiktu izmantots kā subsīdijas, bet drīzāk kā katalizators privāto ieguldījumu mobilizēšanai un lielāka privātā finansējuma pieejamības nodrošināšanai uzņēmumiem </w:t>
            </w:r>
            <w:r>
              <w:rPr>
                <w:b/>
                <w:i/>
              </w:rPr>
              <w:t>un mikrouzņēmumiem</w:t>
            </w:r>
            <w:r>
              <w:t xml:space="preserve">; uzsver arī nodokļu stimulu nozīmi šajā sakarībā </w:t>
            </w:r>
            <w:r>
              <w:rPr>
                <w:b/>
                <w:i/>
              </w:rPr>
              <w:t>un aicina Komisiju atzīt strukturālo neaizsargātību un nepieciešamību pēc iekļaujošas un taisnīgas konkurētspējas visu lielumu uzņēmumiem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270</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13.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prasa, lai publiskais finansējums netiktu izmantots kā subsīdijas, bet drīzāk kā katalizators privāto ieguldījumu mobilizēšanai un lielāka privātā finansējuma pieejamības nodrošināšanai uzņēmumiem; uzsver arī nodokļu stimulu nozīmi šajā sakarībā;</w:t>
            </w:r>
          </w:p>
        </w:tc>
        <w:tc>
          <w:tcPr>
            <w:tcW w:w="4876" w:type="dxa"/>
            <w:tcBorders>
              <w:top w:val="nil"/>
              <w:left w:val="nil"/>
              <w:bottom w:val="nil"/>
              <w:right w:val="nil"/>
            </w:tcBorders>
          </w:tcPr>
          <w:p>
            <w:pPr>
              <w:pStyle w:val="Normal6a"/>
            </w:pPr>
            <w:r>
              <w:t>13.</w:t>
            </w:r>
            <w:r>
              <w:tab/>
            </w:r>
            <w:r>
              <w:t xml:space="preserve">prasa, lai publiskais finansējums netiktu izmantots kā subsīdijas, bet drīzāk kā katalizators privāto ieguldījumu mobilizēšanai un lielāka privātā finansējuma pieejamības nodrošināšanai uzņēmumiem; uzsver arī nodokļu stimulu nozīmi šajā sakarībā; </w:t>
            </w:r>
            <w:r>
              <w:rPr>
                <w:b/>
                <w:i/>
              </w:rPr>
              <w:t>uzskata, ka lielākajai daļai ieguldījumu būtu jānāk no privātā sektora;</w:t>
            </w:r>
            <w:r>
              <w:t xml:space="preserve"> </w:t>
            </w:r>
            <w:r>
              <w:rPr>
                <w:b/>
                <w:i/>
              </w:rPr>
              <w:t>uzsver, ka tam ir vajadzīgs stabils un pievilcīgs nodokļu un tiesiskais regulējums profesionāliem un privātiem ieguldītājiem;</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271</w:t>
      </w:r>
      <w:r>
        <w:rPr>
          <w:rStyle w:val="HideTWBExt"/>
        </w:rPr>
        <w:t>&lt;/NumAm&gt;</w:t>
      </w:r>
    </w:p>
    <w:p>
      <w:pPr>
        <w:pStyle w:val="NormalBold"/>
      </w:pPr>
      <w:r>
        <w:rPr>
          <w:rStyle w:val="HideTWBExt"/>
          <w:b w:val="0"/>
        </w:rPr>
        <w:t>&lt;RepeatBlock-By&gt;</w:t>
      </w:r>
      <w:r>
        <w:rPr>
          <w:rStyle w:val="HideTWBExt"/>
          <w:b w:val="0"/>
        </w:rPr>
        <w:t>&lt;Members&gt;</w:t>
      </w:r>
      <w:r>
        <w:t>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13.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prasa, lai publiskais finansējums netiktu izmantots kā subsīdijas, bet drīzāk kā katalizators privāto ieguldījumu mobilizēšanai un lielāka privātā finansējuma pieejamības nodrošināšanai uzņēmumiem; uzsver </w:t>
            </w:r>
            <w:r>
              <w:rPr>
                <w:b/>
                <w:i/>
              </w:rPr>
              <w:t>arī nodokļu stimulu</w:t>
            </w:r>
            <w:r>
              <w:t xml:space="preserve"> nozīmi </w:t>
            </w:r>
            <w:r>
              <w:rPr>
                <w:b/>
                <w:i/>
              </w:rPr>
              <w:t>šajā sakarībā</w:t>
            </w:r>
            <w:r>
              <w:t>;</w:t>
            </w:r>
          </w:p>
        </w:tc>
        <w:tc>
          <w:tcPr>
            <w:tcW w:w="4876" w:type="dxa"/>
            <w:tcBorders>
              <w:top w:val="nil"/>
              <w:left w:val="nil"/>
              <w:bottom w:val="nil"/>
              <w:right w:val="nil"/>
            </w:tcBorders>
          </w:tcPr>
          <w:p>
            <w:pPr>
              <w:pStyle w:val="Normal6a"/>
            </w:pPr>
            <w:r>
              <w:t>13.</w:t>
            </w:r>
            <w:r>
              <w:tab/>
            </w:r>
            <w:r>
              <w:t xml:space="preserve">prasa, lai publiskais finansējums netiktu izmantots kā subsīdijas, bet drīzāk kā katalizators privāto ieguldījumu mobilizēšanai un lielāka privātā finansējuma pieejamības nodrošināšanai uzņēmumiem; uzsver </w:t>
            </w:r>
            <w:r>
              <w:rPr>
                <w:b/>
                <w:i/>
              </w:rPr>
              <w:t>garantiju instrumentu</w:t>
            </w:r>
            <w:r>
              <w:t xml:space="preserve"> nozīmi </w:t>
            </w:r>
            <w:r>
              <w:rPr>
                <w:b/>
                <w:i/>
              </w:rPr>
              <w:t>ierobežoto publisko resursu piesaistīšanā, lai stimulētu privātā sektora ieguldījumus, tādējādi samazinot risku privātajiem ieguldītājiem un veicinot lielāku līdzdalību MVU finansēšanā</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272</w:t>
      </w:r>
      <w:r>
        <w:rPr>
          <w:rStyle w:val="HideTWBExt"/>
        </w:rPr>
        <w:t>&lt;/NumAm&gt;</w:t>
      </w:r>
    </w:p>
    <w:p>
      <w:pPr>
        <w:pStyle w:val="NormalBold"/>
      </w:pPr>
      <w:r>
        <w:rPr>
          <w:rStyle w:val="HideTWBExt"/>
          <w:b w:val="0"/>
        </w:rPr>
        <w:t>&lt;RepeatBlock-By&gt;</w:t>
      </w:r>
      <w:r>
        <w:rPr>
          <w:rStyle w:val="HideTWBExt"/>
          <w:b w:val="0"/>
        </w:rPr>
        <w:t>&lt;Members&gt;</w:t>
      </w:r>
      <w:r>
        <w:t>Danuše Nerudová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13.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prasa, lai publiskais finansējums netiktu izmantots kā subsīdijas, bet drīzāk kā katalizators privāto ieguldījumu mobilizēšanai un lielāka privātā finansējuma pieejamības nodrošināšanai uzņēmumiem; uzsver </w:t>
            </w:r>
            <w:r>
              <w:rPr>
                <w:b/>
                <w:i/>
              </w:rPr>
              <w:t>arī nodokļu stimulu nozīmi</w:t>
            </w:r>
            <w:r>
              <w:t xml:space="preserve"> šajā sakarībā;</w:t>
            </w:r>
          </w:p>
        </w:tc>
        <w:tc>
          <w:tcPr>
            <w:tcW w:w="4876" w:type="dxa"/>
            <w:tcBorders>
              <w:top w:val="nil"/>
              <w:left w:val="nil"/>
              <w:bottom w:val="nil"/>
              <w:right w:val="nil"/>
            </w:tcBorders>
          </w:tcPr>
          <w:p>
            <w:pPr>
              <w:pStyle w:val="Normal6a"/>
            </w:pPr>
            <w:r>
              <w:t>13.</w:t>
            </w:r>
            <w:r>
              <w:tab/>
            </w:r>
            <w:r>
              <w:t>prasa, lai publiskais finansējums netiktu izmantots kā subsīdijas, bet drīzāk kā katalizators privāto ieguldījumu mobilizēšanai un lielāka privātā finansējuma pieejamības nodrošināšanai uzņēmumiem; uzsver</w:t>
            </w:r>
            <w:r>
              <w:rPr>
                <w:b/>
                <w:i/>
              </w:rPr>
              <w:t>, ka ir svarīgi izmantot publiskos instrumentus, piemēram, garantijas, kapitālieguldījumus un apvienoto finansējumu, lai maksimāli piesaistītu privāto kapitālu;</w:t>
            </w:r>
            <w:r>
              <w:t xml:space="preserve"> </w:t>
            </w:r>
            <w:r>
              <w:rPr>
                <w:b/>
                <w:i/>
              </w:rPr>
              <w:t>uzsver, ka</w:t>
            </w:r>
            <w:r>
              <w:t xml:space="preserve"> šajā sakarībā </w:t>
            </w:r>
            <w:r>
              <w:rPr>
                <w:b/>
                <w:i/>
              </w:rPr>
              <w:t>būtiska nozīme ir nodokļu stimuliem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273</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13.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prasa, lai publiskais finansējums netiktu izmantots kā subsīdijas, bet drīzāk kā katalizators privāto ieguldījumu mobilizēšanai un lielāka privātā finansējuma pieejamības nodrošināšanai uzņēmumiem; uzsver arī nodokļu stimulu nozīmi šajā sakarībā;</w:t>
            </w:r>
          </w:p>
        </w:tc>
        <w:tc>
          <w:tcPr>
            <w:tcW w:w="4876" w:type="dxa"/>
            <w:tcBorders>
              <w:top w:val="nil"/>
              <w:left w:val="nil"/>
              <w:bottom w:val="nil"/>
              <w:right w:val="nil"/>
            </w:tcBorders>
          </w:tcPr>
          <w:p>
            <w:pPr>
              <w:pStyle w:val="Normal6a"/>
            </w:pPr>
            <w:r>
              <w:t>13.</w:t>
            </w:r>
            <w:r>
              <w:tab/>
            </w:r>
            <w:r>
              <w:t xml:space="preserve">prasa, lai publiskais finansējums netiktu izmantots kā subsīdijas, bet drīzāk kā katalizators privāto ieguldījumu mobilizēšanai un lielāka privātā finansējuma pieejamības nodrošināšanai uzņēmumiem; uzsver arī nodokļu stimulu </w:t>
            </w:r>
            <w:r>
              <w:rPr>
                <w:b/>
                <w:i/>
              </w:rPr>
              <w:t>pozitīvo</w:t>
            </w:r>
            <w:r>
              <w:t xml:space="preserve"> nozīmi šajā sakarībā;</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274</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13.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prasa, lai publiskais finansējums </w:t>
            </w:r>
            <w:r>
              <w:rPr>
                <w:b/>
                <w:i/>
              </w:rPr>
              <w:t>netiktu</w:t>
            </w:r>
            <w:r>
              <w:t xml:space="preserve"> izmantots </w:t>
            </w:r>
            <w:r>
              <w:rPr>
                <w:b/>
                <w:i/>
              </w:rPr>
              <w:t>kā subsīdijas, bet drīzāk</w:t>
            </w:r>
            <w:r>
              <w:t xml:space="preserve"> kā katalizators privāto ieguldījumu mobilizēšanai un lielāka privātā finansējuma pieejamības nodrošināšanai uzņēmumiem; uzsver arī nodokļu stimulu nozīmi šajā sakarībā;</w:t>
            </w:r>
          </w:p>
        </w:tc>
        <w:tc>
          <w:tcPr>
            <w:tcW w:w="4876" w:type="dxa"/>
            <w:tcBorders>
              <w:top w:val="nil"/>
              <w:left w:val="nil"/>
              <w:bottom w:val="nil"/>
              <w:right w:val="nil"/>
            </w:tcBorders>
          </w:tcPr>
          <w:p>
            <w:pPr>
              <w:pStyle w:val="Normal6a"/>
            </w:pPr>
            <w:r>
              <w:t>13.</w:t>
            </w:r>
            <w:r>
              <w:tab/>
            </w:r>
            <w:r>
              <w:t xml:space="preserve">prasa, lai publiskais finansējums </w:t>
            </w:r>
            <w:r>
              <w:rPr>
                <w:b/>
                <w:i/>
              </w:rPr>
              <w:t>tiktu</w:t>
            </w:r>
            <w:r>
              <w:t xml:space="preserve"> izmantots kā katalizators privāto ieguldījumu mobilizēšanai un lielāka privātā finansējuma pieejamības nodrošināšanai uzņēmumiem; uzsver arī nodokļu stimulu nozīmi šajā sakarībā;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275</w:t>
      </w:r>
      <w:r>
        <w:rPr>
          <w:rStyle w:val="HideTWBExt"/>
        </w:rPr>
        <w:t>&lt;/NumAm&gt;</w:t>
      </w:r>
    </w:p>
    <w:p>
      <w:pPr>
        <w:pStyle w:val="NormalBold"/>
      </w:pPr>
      <w:r>
        <w:rPr>
          <w:rStyle w:val="HideTWBExt"/>
          <w:b w:val="0"/>
        </w:rPr>
        <w:t>&lt;RepeatBlock-By&gt;</w:t>
      </w:r>
      <w:r>
        <w:rPr>
          <w:rStyle w:val="HideTWBExt"/>
          <w:b w:val="0"/>
        </w:rPr>
        <w:t>&lt;Members&gt;</w:t>
      </w:r>
      <w:r>
        <w:t>Georgios Aftias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13. punkts – 1. daļa (jauna)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 xml:space="preserve"> </w:t>
            </w:r>
            <w:r>
              <w:rPr>
                <w:b/>
                <w:i/>
              </w:rPr>
              <w:t>mudina Komisiju izskatīt iespēju izveidot MVU paredzētu pastāvīgu likviditātes atbalsta mehānismu, kas būtu veidots atbilstīgi efektīviem pagaidu pasākumiem, piemēram, atmaksājamiem avansiem, kuri nesenajās krīzēs apliecināja būtiskus rezultātus, apejot šķēršļus tradicionālajā banku sistēmā;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276</w:t>
      </w:r>
      <w:r>
        <w:rPr>
          <w:rStyle w:val="HideTWBExt"/>
        </w:rPr>
        <w:t>&lt;/NumAm&gt;</w:t>
      </w:r>
    </w:p>
    <w:p>
      <w:pPr>
        <w:pStyle w:val="NormalBold"/>
      </w:pPr>
      <w:r>
        <w:rPr>
          <w:rStyle w:val="HideTWBExt"/>
          <w:b w:val="0"/>
        </w:rPr>
        <w:t>&lt;RepeatBlock-By&gt;</w:t>
      </w:r>
      <w:r>
        <w:rPr>
          <w:rStyle w:val="HideTWBExt"/>
          <w:b w:val="0"/>
        </w:rPr>
        <w:t>&lt;Members&gt;</w:t>
      </w:r>
      <w:r>
        <w:t>Jorge Martín Frías, Enikő Győri, Tomáš Kubín, Pierre Pimpie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13. punkts – 1. daļa (jauna)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aicina Komisiju iekļaut lauksaimniecības un autobūves nozares prioritārajās nozarēs, kas identificētas jaunuzņēmumu un augošo uzņēmumu stratēģijā.</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277</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13.a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uzsver, ka jāaizsargā un jāveicina jaunuzņēmumu un augošo uzņēmumu piekļuve publiskā iepirkuma procedūrām saistībā ar valsts pārvaldes iestāžu digitalizāciju, lai sekmētu dinamiskas un konkurētspējīgas Eiropas digitālās nozares izveidi;</w:t>
            </w:r>
            <w:r>
              <w:t xml:space="preserve"> </w:t>
            </w:r>
            <w:r>
              <w:rPr>
                <w:b/>
                <w:i/>
              </w:rPr>
              <w:t>šajā sakarībā aicina piešķirt vismaz 10 % no Savienības digitālā publiskā iepirkuma līgumiem jaunuzņēmumiem un augošiem uzņēmumiem;</w:t>
            </w:r>
            <w:r>
              <w:t xml:space="preserve"> </w:t>
            </w:r>
            <w:r>
              <w:rPr>
                <w:b/>
                <w:i/>
              </w:rPr>
              <w:t>ņemot vērā centienus panākt Eiropas stratēģisko autonomiju, atbalsta centienus panākt tehnoloģisko suverenitāti;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278</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13.a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norāda, ka publiskajam sektoram var būt efektīva katalizatora loma privātā kapitāla mobilizēšanā, jo īpaši nozarēs ar lielu informācijas asimetriju vai reģionos ar jaunietekmes finanšu tirgiem;</w:t>
            </w:r>
            <w:r>
              <w:t xml:space="preserve"> </w:t>
            </w:r>
            <w:r>
              <w:rPr>
                <w:b/>
                <w:i/>
              </w:rPr>
              <w:t>aicina publiskos instrumentus izstrādāt, ņemot vērā efektivitātes, neitrālas konkurētspējas kritērijus un orientēšanos uz ietekmi, maksimāli palielinot sviras efektu uz privātajiem ieguldījumiem;</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279</w:t>
      </w:r>
      <w:r>
        <w:rPr>
          <w:rStyle w:val="HideTWBExt"/>
        </w:rPr>
        <w:t>&lt;/NumAm&gt;</w:t>
      </w:r>
    </w:p>
    <w:p>
      <w:pPr>
        <w:pStyle w:val="NormalBold"/>
      </w:pPr>
      <w:r>
        <w:rPr>
          <w:rStyle w:val="HideTWBExt"/>
          <w:b w:val="0"/>
        </w:rPr>
        <w:t>&lt;RepeatBlock-By&gt;</w:t>
      </w:r>
      <w:r>
        <w:rPr>
          <w:rStyle w:val="HideTWBExt"/>
          <w:b w:val="0"/>
        </w:rPr>
        <w:t>&lt;Members&gt;</w:t>
      </w:r>
      <w:r>
        <w:t>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13.a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uzsver, ka Eiropas Investīciju bankas (EIB) grupas potenciāls ir pilnībā jāizmanto, lai piesaistītu privātās investīcijas un novērstu Eiropas investīciju nepietiekamību visās prioritārajās jomās, sākot no dekarbonizācijas līdz aizsardzībai;</w:t>
            </w:r>
            <w:r>
              <w:t xml:space="preserve"> </w:t>
            </w:r>
            <w:r>
              <w:rPr>
                <w:b/>
                <w:i/>
              </w:rPr>
              <w:t>aicina EIB piešķirt vairāk resursu MVU projektiem inovācijas, jaunuzņēmumu un augošu uzņēmumu jomā;</w:t>
            </w:r>
            <w:r>
              <w:t xml:space="preserve"> </w:t>
            </w:r>
            <w:r>
              <w:rPr>
                <w:b/>
                <w:i/>
              </w:rPr>
              <w:t>pauž nožēlu par konkrētu priekšlikumu trūkumu šajā jautājumā;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280</w:t>
      </w:r>
      <w:r>
        <w:rPr>
          <w:rStyle w:val="HideTWBExt"/>
        </w:rPr>
        <w:t>&lt;/NumAm&gt;</w:t>
      </w:r>
    </w:p>
    <w:p>
      <w:pPr>
        <w:pStyle w:val="NormalBold"/>
      </w:pPr>
      <w:r>
        <w:rPr>
          <w:rStyle w:val="HideTWBExt"/>
          <w:b w:val="0"/>
        </w:rPr>
        <w:t>&lt;RepeatBlock-By&gt;</w:t>
      </w:r>
      <w:r>
        <w:rPr>
          <w:rStyle w:val="HideTWBExt"/>
          <w:b w:val="0"/>
        </w:rPr>
        <w:t>&lt;Members&gt;</w:t>
      </w:r>
      <w:r>
        <w:t>Danuše Nerudová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13.a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uzsver, ka ir svarīgi paplašināt Eiropas Reģionālās attīstības fonda līdzfinansēto apgrozāmo finanšu instrumentu izmantošanu kā ilgtspējīgu un efektīvu līdzekli, lai novērstu pastāvīgo MVU finansējuma trūkumu, jo īpaši reģionos ar ierobežotu kredītu pieejamību;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281</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13.a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aicina Komisiju un dalībvalstis efektīvi apkarot nodokļu apiešanu, izvairīšanos no nodokļu maksāšanas un kaitējošu nodokļu praksi, cita starpā ieviešot starptautisku minimālo nodokli korporācijām 25 % apmērā;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282</w:t>
      </w:r>
      <w:r>
        <w:rPr>
          <w:rStyle w:val="HideTWBExt"/>
        </w:rPr>
        <w:t>&lt;/NumAm&gt;</w:t>
      </w:r>
    </w:p>
    <w:p>
      <w:pPr>
        <w:pStyle w:val="NormalBold"/>
      </w:pPr>
      <w:r>
        <w:rPr>
          <w:rStyle w:val="HideTWBExt"/>
          <w:b w:val="0"/>
        </w:rPr>
        <w:t>&lt;RepeatBlock-By&gt;</w:t>
      </w:r>
      <w:r>
        <w:rPr>
          <w:rStyle w:val="HideTWBExt"/>
          <w:b w:val="0"/>
        </w:rPr>
        <w:t>&lt;Members&gt;</w:t>
      </w:r>
      <w:r>
        <w:t>Pascal Canfin, Stéphanie Yon-Courtin, Billy Kelleher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13.a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aicina Eiropas Komisiju ES ilgtermiņa budžeta gaidāmajā pārskatīšanā ievērojamu budžetu paredzēt riska mazināšanai institucionālo investoru privātajām investīcijām inovatīvās tehnoloģijās;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283</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ECR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13.a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norāda, ka aizdevumu izmaksas ES ievērojami atšķiras, un tas rada neizdevīgus konkurences apstākļus dažu dalībvalstu MVU;</w:t>
            </w:r>
            <w:r>
              <w:t xml:space="preserve"> </w:t>
            </w:r>
            <w:r>
              <w:rPr>
                <w:b/>
                <w:i/>
              </w:rPr>
              <w:t>aicina Komisiju izvērtēt iespējas, kas pieejamas šīs problēmas risināšanai;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284</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13.b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13.b</w:t>
            </w:r>
            <w:r>
              <w:tab/>
            </w:r>
            <w:r>
              <w:rPr>
                <w:b/>
                <w:i/>
              </w:rPr>
              <w:t>atgādina, ka strukturālie stimuli aizņemties nelabvēlīgi ietekmē uz inovācijām balstītu izaugsmi un ierobežo uzņēmumu finansiālo noturību;</w:t>
            </w:r>
            <w:r>
              <w:t xml:space="preserve"> </w:t>
            </w:r>
            <w:r>
              <w:rPr>
                <w:b/>
                <w:i/>
              </w:rPr>
              <w:t>uzskata, ka ir jāatsāk debates par nodokļu atskaitījumu pašu kapitālam, lai panāktu labāku fiskālo līdzsvaru starp parādu un pašu kapitālu;</w:t>
            </w:r>
            <w:r>
              <w:t xml:space="preserve"> </w:t>
            </w:r>
            <w:r>
              <w:rPr>
                <w:b/>
                <w:i/>
              </w:rPr>
              <w:t>uzsver, ka pašu kapitāla izmaksas ir ievērojami augstākas nekā parāda izmaksas un ka pašreizējā nodokļu sistēma pastiprina šo tendenci;</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285</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ECR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13.b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13.b</w:t>
            </w:r>
            <w:r>
              <w:tab/>
            </w:r>
            <w:r>
              <w:rPr>
                <w:b/>
                <w:i/>
              </w:rPr>
              <w:t>pauž nožēlu par banku pārmērīgo pakļautību valsts parādam, jo tas kaitē aizņēmējiem, tostarp MVU;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286</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3.a apakšvirsraksts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MVU, augošo uzņēmumu un jaunuzņēmumu finansējuma deficīta novēršana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287</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14.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14.</w:t>
            </w:r>
            <w:r>
              <w:tab/>
            </w:r>
            <w:r>
              <w:rPr>
                <w:b/>
                <w:i/>
              </w:rPr>
              <w:t>aicina Komisiju ieviest elastību “Bāzele III” prasību īstenošanā, lai nodrošinātu, ka MVU un augošiem uzņēmumiem tiek darīti pieejami apjomīgāki aizdevumi;</w:t>
            </w:r>
            <w:r>
              <w:t xml:space="preserve"> </w:t>
            </w:r>
            <w:r>
              <w:rPr>
                <w:b/>
                <w:i/>
              </w:rPr>
              <w:t>norāda, ka pienācīga elastība šajā ziņā varētu atbrīvot finansēšanas spējas un palielināt konkurētspēju salīdzinājumā ar citām jurisdikcijām;</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288</w:t>
      </w:r>
      <w:r>
        <w:rPr>
          <w:rStyle w:val="HideTWBExt"/>
        </w:rPr>
        <w:t>&lt;/NumAm&gt;</w:t>
      </w:r>
    </w:p>
    <w:p>
      <w:pPr>
        <w:pStyle w:val="NormalBold"/>
      </w:pPr>
      <w:r>
        <w:rPr>
          <w:rStyle w:val="HideTWBExt"/>
          <w:b w:val="0"/>
        </w:rPr>
        <w:t>&lt;RepeatBlock-By&gt;</w:t>
      </w:r>
      <w:r>
        <w:rPr>
          <w:rStyle w:val="HideTWBExt"/>
          <w:b w:val="0"/>
        </w:rPr>
        <w:t>&lt;Members&gt;</w:t>
      </w:r>
      <w:r>
        <w:t>Anouk Van Brug, Billy Kelleher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14.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14.</w:t>
            </w:r>
            <w:r>
              <w:tab/>
            </w:r>
            <w:r>
              <w:rPr>
                <w:b/>
                <w:i/>
              </w:rPr>
              <w:t>aicina Komisiju ieviest elastību “Bāzele III” prasību īstenošanā, lai nodrošinātu, ka MVU un augošiem uzņēmumiem tiek darīti pieejami apjomīgāki aizdevumi;</w:t>
            </w:r>
            <w:r>
              <w:t xml:space="preserve"> </w:t>
            </w:r>
            <w:r>
              <w:rPr>
                <w:b/>
                <w:i/>
              </w:rPr>
              <w:t>norāda, ka pienācīga elastība šajā ziņā varētu atbrīvot finansēšanas spējas un palielināt konkurētspēju salīdzinājumā ar citām jurisdikcijām;</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289</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14.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14.</w:t>
            </w:r>
            <w:r>
              <w:tab/>
            </w:r>
            <w:r>
              <w:rPr>
                <w:b/>
                <w:i/>
              </w:rPr>
              <w:t>aicina Komisiju ieviest elastību “Bāzele III” prasību īstenošanā, lai nodrošinātu, ka MVU un augošiem uzņēmumiem tiek darīti pieejami apjomīgāki aizdevumi;</w:t>
            </w:r>
            <w:r>
              <w:t xml:space="preserve"> </w:t>
            </w:r>
            <w:r>
              <w:rPr>
                <w:b/>
                <w:i/>
              </w:rPr>
              <w:t>norāda, ka pienācīga elastība šajā ziņā varētu atbrīvot finansēšanas spējas un palielināt konkurētspēju salīdzinājumā ar citām jurisdikcijām;</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290</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14.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14.</w:t>
            </w:r>
            <w:r>
              <w:tab/>
            </w:r>
            <w:r>
              <w:rPr>
                <w:b/>
                <w:i/>
              </w:rPr>
              <w:t>aicina Komisiju ieviest elastību “Bāzele III” prasību īstenošanā, lai nodrošinātu, ka MVU un augošiem uzņēmumiem tiek darīti pieejami apjomīgāki aizdevumi;</w:t>
            </w:r>
            <w:r>
              <w:t xml:space="preserve"> </w:t>
            </w:r>
            <w:r>
              <w:rPr>
                <w:b/>
                <w:i/>
              </w:rPr>
              <w:t>norāda, ka pienācīga elastība šajā ziņā varētu atbrīvot finansēšanas spējas un palielināt konkurētspēju salīdzinājumā ar citām jurisdikcijām;</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291</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14.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14.</w:t>
            </w:r>
            <w:r>
              <w:tab/>
            </w:r>
            <w:r>
              <w:rPr>
                <w:b/>
                <w:i/>
              </w:rPr>
              <w:t>aicina Komisiju ieviest elastību “Bāzele III” prasību īstenošanā, lai nodrošinātu, ka MVU un augošiem uzņēmumiem tiek darīti pieejami apjomīgāki aizdevumi;</w:t>
            </w:r>
            <w:r>
              <w:t xml:space="preserve"> </w:t>
            </w:r>
            <w:r>
              <w:rPr>
                <w:b/>
                <w:i/>
              </w:rPr>
              <w:t>norāda, ka pienācīga elastība šajā ziņā varētu atbrīvot finansēšanas spējas un palielināt konkurētspēju salīdzinājumā ar citām jurisdikcijām;</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292</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14.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aicina Komisiju ieviest elastību “Bāzele III” prasību īstenošanā, lai nodrošinātu, ka MVU un augošiem uzņēmumiem tiek darīti pieejami apjomīgāki aizdevumi; norāda, ka pienācīga elastība šajā ziņā varētu atbrīvot finansēšanas spējas un palielināt konkurētspēju salīdzinājumā ar citām jurisdikcijām;</w:t>
            </w:r>
          </w:p>
        </w:tc>
        <w:tc>
          <w:tcPr>
            <w:tcW w:w="4876" w:type="dxa"/>
            <w:tcBorders>
              <w:top w:val="nil"/>
              <w:left w:val="nil"/>
              <w:bottom w:val="nil"/>
              <w:right w:val="nil"/>
            </w:tcBorders>
          </w:tcPr>
          <w:p>
            <w:pPr>
              <w:pStyle w:val="Normal6a"/>
            </w:pPr>
            <w:r>
              <w:t>14.</w:t>
            </w:r>
            <w:r>
              <w:tab/>
            </w:r>
            <w:r>
              <w:t xml:space="preserve">aicina Komisiju ieviest elastību “Bāzele III” prasību īstenošanā, lai nodrošinātu, ka MVU un augošiem uzņēmumiem tiek darīti pieejami apjomīgāki aizdevumi; norāda, ka pienācīga elastība šajā ziņā varētu atbrīvot finansēšanas spējas un palielināt konkurētspēju salīdzinājumā ar citām jurisdikcijām; </w:t>
            </w:r>
            <w:r>
              <w:rPr>
                <w:b/>
                <w:i/>
              </w:rPr>
              <w:t>uzsver, ka “Bāzele III” īstenošanas noteikumos ir ietverti daži elementi, piemēram, nelabvēlīga attieksme pret uzņēmumiem bez piešķirta kredītreitinga, kuri varētu būtiski palielināt finansēšanas izmaksas mazajiem un vidējiem uzņēmumiem;</w:t>
            </w:r>
            <w:r>
              <w:t xml:space="preserve"> </w:t>
            </w:r>
            <w:r>
              <w:rPr>
                <w:b/>
                <w:i/>
              </w:rPr>
              <w:t>norāda, ka laiks, ko var iegūt, izmantojot pārejas režīmu uzņēmumiem, kuriem nav piešķirts kredītreitings, ir jāizmanto, lai rastu pastāvīgākus risinājumus;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293</w:t>
      </w:r>
      <w:r>
        <w:rPr>
          <w:rStyle w:val="HideTWBExt"/>
        </w:rPr>
        <w:t>&lt;/NumAm&gt;</w:t>
      </w:r>
    </w:p>
    <w:p>
      <w:pPr>
        <w:pStyle w:val="NormalBold"/>
      </w:pPr>
      <w:r>
        <w:rPr>
          <w:rStyle w:val="HideTWBExt"/>
          <w:b w:val="0"/>
        </w:rPr>
        <w:t>&lt;RepeatBlock-By&gt;</w:t>
      </w:r>
      <w:r>
        <w:rPr>
          <w:rStyle w:val="HideTWBExt"/>
          <w:b w:val="0"/>
        </w:rPr>
        <w:t>&lt;Members&gt;</w:t>
      </w:r>
      <w:r>
        <w:t>Georgios Aftias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14.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aicina Komisiju ieviest elastību “Bāzele III” prasību īstenošanā, lai nodrošinātu, ka MVU un augošiem uzņēmumiem tiek darīti pieejami apjomīgāki aizdevumi; norāda, ka pienācīga elastība šajā ziņā varētu atbrīvot finansēšanas spējas un palielināt konkurētspēju salīdzinājumā ar citām jurisdikcijām;</w:t>
            </w:r>
          </w:p>
        </w:tc>
        <w:tc>
          <w:tcPr>
            <w:tcW w:w="4876" w:type="dxa"/>
            <w:tcBorders>
              <w:top w:val="nil"/>
              <w:left w:val="nil"/>
              <w:bottom w:val="nil"/>
              <w:right w:val="nil"/>
            </w:tcBorders>
          </w:tcPr>
          <w:p>
            <w:pPr>
              <w:pStyle w:val="Normal6a"/>
            </w:pPr>
            <w:r>
              <w:t>14.</w:t>
            </w:r>
            <w:r>
              <w:tab/>
            </w:r>
            <w:r>
              <w:t xml:space="preserve">aicina Komisiju ieviest elastību “Bāzele III” prasību īstenošanā, lai nodrošinātu, ka MVU un augošiem uzņēmumiem tiek darīti pieejami apjomīgāki aizdevumi; norāda, ka pienācīga elastība šajā ziņā varētu atbrīvot finansēšanas spējas un palielināt konkurētspēju salīdzinājumā ar citām jurisdikcijām; </w:t>
            </w:r>
            <w:r>
              <w:rPr>
                <w:b/>
                <w:i/>
              </w:rPr>
              <w:t>šajā nolūkā mudina izveidot inovatīvus finansēšanas modeļus, kas pielāgoti mikrouzņēmumiem, piemēram, kredītu mehānismus, kuru pamatā ir pārdošanas punktu (POS) darījumu vēsture un komercdarbība, lai uzlabotu kredītu pieejamību uzņēmumiem, kuriem nav tradicionālu kredītu profilu vai nodrošinājuma;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294</w:t>
      </w:r>
      <w:r>
        <w:rPr>
          <w:rStyle w:val="HideTWBExt"/>
        </w:rPr>
        <w:t>&lt;/NumAm&gt;</w:t>
      </w:r>
    </w:p>
    <w:p>
      <w:pPr>
        <w:pStyle w:val="NormalBold"/>
      </w:pPr>
      <w:r>
        <w:rPr>
          <w:rStyle w:val="HideTWBExt"/>
          <w:b w:val="0"/>
        </w:rPr>
        <w:t>&lt;RepeatBlock-By&gt;</w:t>
      </w:r>
      <w:r>
        <w:rPr>
          <w:rStyle w:val="HideTWBExt"/>
          <w:b w:val="0"/>
        </w:rPr>
        <w:t>&lt;Members&gt;</w:t>
      </w:r>
      <w:r>
        <w:t>Gilles Boyer, Billy Kelleher, Stéphanie Yon-Courtin, Pascal Canfin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14.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rPr>
                <w:b/>
                <w:i/>
              </w:rPr>
              <w:t>aicina Komisiju ieviest elastību</w:t>
            </w:r>
            <w:r>
              <w:t xml:space="preserve"> “Bāzele III” </w:t>
            </w:r>
            <w:r>
              <w:rPr>
                <w:b/>
                <w:i/>
              </w:rPr>
              <w:t>prasību īstenošanā</w:t>
            </w:r>
            <w:r>
              <w:t xml:space="preserve">, lai nodrošinātu, ka MVU </w:t>
            </w:r>
            <w:r>
              <w:rPr>
                <w:b/>
                <w:i/>
              </w:rPr>
              <w:t>un augošiem uzņēmumiem tiek darīti pieejami apjomīgāki aizdevumi</w:t>
            </w:r>
            <w:r>
              <w:t xml:space="preserve">; </w:t>
            </w:r>
            <w:r>
              <w:rPr>
                <w:b/>
                <w:i/>
              </w:rPr>
              <w:t>norāda, ka pienācīga elastība šajā ziņā varētu atbrīvot finansēšanas spējas un palielināt konkurētspēju salīdzinājumā ar citām jurisdikcijām;</w:t>
            </w:r>
          </w:p>
        </w:tc>
        <w:tc>
          <w:tcPr>
            <w:tcW w:w="4876" w:type="dxa"/>
            <w:tcBorders>
              <w:top w:val="nil"/>
              <w:left w:val="nil"/>
              <w:bottom w:val="nil"/>
              <w:right w:val="nil"/>
            </w:tcBorders>
          </w:tcPr>
          <w:p>
            <w:pPr>
              <w:pStyle w:val="Normal6a"/>
            </w:pPr>
            <w:r>
              <w:t>14.</w:t>
            </w:r>
            <w:r>
              <w:tab/>
            </w:r>
            <w:r>
              <w:rPr>
                <w:b/>
                <w:i/>
              </w:rPr>
              <w:t>atgādina par satvara</w:t>
            </w:r>
            <w:r>
              <w:t xml:space="preserve"> “Bāzele III” </w:t>
            </w:r>
            <w:r>
              <w:rPr>
                <w:b/>
                <w:i/>
              </w:rPr>
              <w:t>īstenošanu ar attiecīgajiem ES tiesību aktiem;</w:t>
            </w:r>
            <w:r>
              <w:t xml:space="preserve"> </w:t>
            </w:r>
            <w:r>
              <w:rPr>
                <w:b/>
                <w:i/>
              </w:rPr>
              <w:t>uzsver, ka tam būs izšķiroši svarīga loma turpmākā ES banku noturības palielināšanā un finanšu stabilitātes uzlabošanā;</w:t>
            </w:r>
            <w:r>
              <w:t xml:space="preserve"> </w:t>
            </w:r>
            <w:r>
              <w:rPr>
                <w:b/>
                <w:i/>
              </w:rPr>
              <w:t>uzsver, ka ir svarīgi nodrošināt ES banku globālo konkurētspēju un vienlīdzīgus konkurences apstākļus starptautiskā mērogā</w:t>
            </w:r>
            <w:r>
              <w:t xml:space="preserve">, lai nodrošinātu, ka </w:t>
            </w:r>
            <w:r>
              <w:rPr>
                <w:b/>
                <w:i/>
              </w:rPr>
              <w:t>Eiropas bankas spēj turpināt finansēt Eiropas</w:t>
            </w:r>
            <w:r>
              <w:t xml:space="preserve"> MVU;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295</w:t>
      </w:r>
      <w:r>
        <w:rPr>
          <w:rStyle w:val="HideTWBExt"/>
        </w:rPr>
        <w:t>&lt;/NumAm&gt;</w:t>
      </w:r>
    </w:p>
    <w:p>
      <w:pPr>
        <w:pStyle w:val="NormalBold"/>
      </w:pPr>
      <w:r>
        <w:rPr>
          <w:rStyle w:val="HideTWBExt"/>
          <w:b w:val="0"/>
        </w:rPr>
        <w:t>&lt;RepeatBlock-By&gt;</w:t>
      </w:r>
      <w:r>
        <w:rPr>
          <w:rStyle w:val="HideTWBExt"/>
          <w:b w:val="0"/>
        </w:rPr>
        <w:t>&lt;Members&gt;</w:t>
      </w:r>
      <w:r>
        <w:t>Tsvetelina Penkova,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14.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aicina Komisiju </w:t>
            </w:r>
            <w:r>
              <w:rPr>
                <w:b/>
                <w:i/>
              </w:rPr>
              <w:t>ieviest elastību</w:t>
            </w:r>
            <w:r>
              <w:t xml:space="preserve"> “Bāzele III” </w:t>
            </w:r>
            <w:r>
              <w:rPr>
                <w:b/>
                <w:i/>
              </w:rPr>
              <w:t>prasību īstenošanā, lai nodrošinātu, ka MVU un augošiem uzņēmumiem tiek darīti pieejami apjomīgāki aizdevumi;</w:t>
            </w:r>
            <w:r>
              <w:t xml:space="preserve"> </w:t>
            </w:r>
            <w:r>
              <w:rPr>
                <w:b/>
                <w:i/>
              </w:rPr>
              <w:t>norāda, ka pienācīga elastība šajā ziņā varētu atbrīvot finansēšanas spējas un palielināt</w:t>
            </w:r>
            <w:r>
              <w:t xml:space="preserve"> konkurētspēju </w:t>
            </w:r>
            <w:r>
              <w:rPr>
                <w:b/>
                <w:i/>
              </w:rPr>
              <w:t>salīdzinājumā ar citām jurisdikcijām</w:t>
            </w:r>
            <w:r>
              <w:t>;</w:t>
            </w:r>
          </w:p>
        </w:tc>
        <w:tc>
          <w:tcPr>
            <w:tcW w:w="4876" w:type="dxa"/>
            <w:tcBorders>
              <w:top w:val="nil"/>
              <w:left w:val="nil"/>
              <w:bottom w:val="nil"/>
              <w:right w:val="nil"/>
            </w:tcBorders>
          </w:tcPr>
          <w:p>
            <w:pPr>
              <w:pStyle w:val="Normal6a"/>
            </w:pPr>
            <w:r>
              <w:t>14.</w:t>
            </w:r>
            <w:r>
              <w:tab/>
            </w:r>
            <w:r>
              <w:t xml:space="preserve">aicina Komisiju </w:t>
            </w:r>
            <w:r>
              <w:rPr>
                <w:b/>
                <w:i/>
              </w:rPr>
              <w:t>un ES dalībvalstis nodrošināt abu likumdevēju pieņemto</w:t>
            </w:r>
            <w:r>
              <w:t xml:space="preserve"> “Bāzele III” </w:t>
            </w:r>
            <w:r>
              <w:rPr>
                <w:b/>
                <w:i/>
              </w:rPr>
              <w:t>standartu pilnīgu un savlaicīgu īstenošanu un noraidīt jebkādus mēģinājumus vājināt spēkā esošos noteikumus vai sākt starptautisku sacensību par pēc iespējas zemāku standartu noteikšanu;</w:t>
            </w:r>
            <w:r>
              <w:t xml:space="preserve"> </w:t>
            </w:r>
            <w:r>
              <w:rPr>
                <w:b/>
                <w:i/>
              </w:rPr>
              <w:t>atgādina, ka labi kapitalizētas un labi uzraudzītas bankas ir būtiskas stabilas un ilgtspējīgas finanšu vides nodrošināšanai, tādējādi aizsargājot Eiropas patērētājus un</w:t>
            </w:r>
            <w:r>
              <w:t xml:space="preserve"> konkurētspēju;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296</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14.a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atzīst, ka banku aizdevumi joprojām ir galvenais ārējais finansējuma avots Savienības MVU;</w:t>
            </w:r>
            <w:r>
              <w:t xml:space="preserve"> </w:t>
            </w:r>
            <w:r>
              <w:rPr>
                <w:b/>
                <w:i/>
              </w:rPr>
              <w:t>uzsver, ka šajā kontekstā svarīga loma ir tradicionālajiem banku darbību modeļiem, tostarp nelielām reģionālajām bankām, krājbankām, kooperatīvām bankām un valsts iestādēm;</w:t>
            </w:r>
            <w:r>
              <w:t xml:space="preserve"> </w:t>
            </w:r>
            <w:r>
              <w:rPr>
                <w:b/>
                <w:i/>
              </w:rPr>
              <w:t>uzsver, ka bankas, kurām ir padziļinātas reģionālās un vietējās zināšanas, bieži vien ilgtermiņa attiecību kontekstā sniedz MVU visefektīvāko atbalstu;</w:t>
            </w:r>
            <w:r>
              <w:t xml:space="preserve"> </w:t>
            </w:r>
            <w:r>
              <w:rPr>
                <w:b/>
                <w:i/>
              </w:rPr>
              <w:t>norāda, ka šādas mazas un vietējas bankas saskaras ar atšķirīgām problēmām salīdzinājumā ar lielākām iestādēm;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297</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14.a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atgādina, ka nebanku finansējuma avoti MVU, piemēram, riska kapitāls un privātie parāda fondi, ir pievilcīgs alternatīvs finansējuma avots;</w:t>
            </w:r>
            <w:r>
              <w:t xml:space="preserve"> </w:t>
            </w:r>
            <w:r>
              <w:rPr>
                <w:b/>
                <w:i/>
              </w:rPr>
              <w:t>aicina Komisiju izpētīt regulatīvās proporcionalitātes pasākumus šajā jomā, kas veicina MVU finansēšanai pielāgotu specializētu dalībnieku attīstību;</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298</w:t>
      </w:r>
      <w:r>
        <w:rPr>
          <w:rStyle w:val="HideTWBExt"/>
        </w:rPr>
        <w:t>&lt;/NumAm&gt;</w:t>
      </w:r>
    </w:p>
    <w:p>
      <w:pPr>
        <w:pStyle w:val="NormalBold"/>
      </w:pPr>
      <w:r>
        <w:rPr>
          <w:rStyle w:val="HideTWBExt"/>
          <w:b w:val="0"/>
        </w:rPr>
        <w:t>&lt;RepeatBlock-By&gt;</w:t>
      </w:r>
      <w:r>
        <w:rPr>
          <w:rStyle w:val="HideTWBExt"/>
          <w:b w:val="0"/>
        </w:rPr>
        <w:t>&lt;Members&gt;</w:t>
      </w:r>
      <w:r>
        <w:t>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14.a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aicina Komisiju izveidot Eiropas mēroga kredītu nodošanas sistēmu attiecībā uz MVU un inovatīviem jaunuzņēmumiem;</w:t>
            </w:r>
            <w:r>
              <w:t xml:space="preserve"> </w:t>
            </w:r>
            <w:r>
              <w:rPr>
                <w:b/>
                <w:i/>
              </w:rPr>
              <w:t>ierosina šo shēmu integrēt pašreizējā Eiropas vienotajā piekļuves punktā (ESAP), kurā MVU var augšupielādēt savus attiecīgos finanšu un nefinanšu datus potenciālo ieguldītāju ievērībai;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299</w:t>
      </w:r>
      <w:r>
        <w:rPr>
          <w:rStyle w:val="HideTWBExt"/>
        </w:rPr>
        <w:t>&lt;/NumAm&gt;</w:t>
      </w:r>
    </w:p>
    <w:p>
      <w:pPr>
        <w:pStyle w:val="NormalBold"/>
      </w:pPr>
      <w:r>
        <w:rPr>
          <w:rStyle w:val="HideTWBExt"/>
          <w:b w:val="0"/>
        </w:rPr>
        <w:t>&lt;RepeatBlock-By&gt;</w:t>
      </w:r>
      <w:r>
        <w:rPr>
          <w:rStyle w:val="HideTWBExt"/>
          <w:b w:val="0"/>
        </w:rPr>
        <w:t>&lt;Members&gt;</w:t>
      </w:r>
      <w:r>
        <w:t>Danuše Nerudová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14.a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iesaka stiprināt valsts un ES līmeņa valsts garantiju shēmas un pielāgotus aizdevumu instrumentus, lai uzlabotu kredītu pieejamību dzīvotspējīgiem MVU, jo īpaši gadījumos, kad ierobežojoši riska profili vai ierobežoti valsts resursi ierobežo finansēšanas iespējas;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300</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14.a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aicina Komisiju un dalībvalstis nodrošināt, ka jebkāds finansējums uzņēmumiem tiek piešķirts tikai tad, ja tiek ievēroti un nostiprināti vides standarti un darba ņēmēju tiesības, tostarp stiprinot darba koplīguma slēgšanas sarunas un līdzdalības tiesības;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301</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14.a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aicina Komisiju atvieglot augošo uzņēmumu iekļaušanu Eiropas biržu sarakstos, tostarp saskaņojot ziņošanas standartus, prasības kotēšanai biržā un informācijas atklāšanas noteikumus attiecībā uz zemas kapitalizācijas uzņēmumiem un standartiem uzņemšanai biržas sarakstā;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302</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14.b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14.b</w:t>
            </w:r>
            <w:r>
              <w:tab/>
            </w:r>
            <w:r>
              <w:rPr>
                <w:b/>
                <w:i/>
              </w:rPr>
              <w:t>norāda, ka vairākas regulatīvās prasības bankām var negatīvi ietekmēt MVU aizdevumus;</w:t>
            </w:r>
            <w:r>
              <w:t xml:space="preserve"> </w:t>
            </w:r>
            <w:r>
              <w:rPr>
                <w:b/>
                <w:i/>
              </w:rPr>
              <w:t>uzsver, ka ir svarīgi izvairīties no dubultām ziņošanas prasībām un vairākiem ziņošanas kanāliem, kas rada nevajadzīgu administratīvo slogu, jo īpaši mazākām bankām;</w:t>
            </w:r>
            <w:r>
              <w:t xml:space="preserve"> </w:t>
            </w:r>
            <w:r>
              <w:rPr>
                <w:b/>
                <w:i/>
              </w:rPr>
              <w:t>aicina Komisiju ar Eiropas Banku iestādes un vienotā uzraudzības mehānisma palīdzību novērtēt spēkā esošo reglamentējošo noteikumu ietekmi uz MVU kreditēšanu;</w:t>
            </w:r>
            <w:r>
              <w:t xml:space="preserve"> </w:t>
            </w:r>
            <w:r>
              <w:rPr>
                <w:b/>
                <w:i/>
              </w:rPr>
              <w:t>uzsver nepieciešamību banku regulējumā piemērot proporcionalitātes principu;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303</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14.b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14.b</w:t>
            </w:r>
            <w:r>
              <w:tab/>
            </w:r>
            <w:r>
              <w:rPr>
                <w:b/>
                <w:i/>
              </w:rPr>
              <w:t>uzskata, ka atbilstība “Bāzele III” uzraudzības prasībām ir būtiska, lai nodrošinātu finanšu stabilitāti un uzticēšanos Eiropas banku sistēmai;</w:t>
            </w:r>
            <w:r>
              <w:t xml:space="preserve"> </w:t>
            </w:r>
            <w:r>
              <w:rPr>
                <w:b/>
                <w:i/>
              </w:rPr>
              <w:t>uzsver, ka izaicinājumam nevajadzētu būt vērstam uz standartu vājināšanu, bet gan uz piekļuves banku finansējumam papildināšanu ar stabilu nebanku un tirgus finansējuma ekosistēmu, kas nodrošina pienācīgas alternatīvas MVU atbilstoši to riska profilam;</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304</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15.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15.</w:t>
            </w:r>
            <w:r>
              <w:tab/>
            </w:r>
            <w:r>
              <w:rPr>
                <w:b/>
                <w:i/>
              </w:rPr>
              <w:t>aicina Komisiju padarīt vērtspapīrošanas tiesisko regulējumu elastīgāku, lai kredītiestādes varētu nodrošināt papildu finansējumu uzņēmumiem un atbalstīt to izaugsmi;</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305</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15.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15.</w:t>
            </w:r>
            <w:r>
              <w:tab/>
            </w:r>
            <w:r>
              <w:rPr>
                <w:b/>
                <w:i/>
              </w:rPr>
              <w:t>aicina Komisiju padarīt vērtspapīrošanas tiesisko regulējumu elastīgāku, lai kredītiestādes varētu nodrošināt papildu finansējumu uzņēmumiem un atbalstīt to izaugsmi;</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306</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15.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15.</w:t>
            </w:r>
            <w:r>
              <w:tab/>
            </w:r>
            <w:r>
              <w:rPr>
                <w:b/>
                <w:i/>
              </w:rPr>
              <w:t>aicina Komisiju padarīt vērtspapīrošanas tiesisko regulējumu elastīgāku, lai kredītiestādes varētu nodrošināt papildu finansējumu uzņēmumiem un atbalstīt to izaugsmi;</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307</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15.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aicina Komisiju padarīt vērtspapīrošanas tiesisko regulējumu elastīgāku, lai kredītiestādes varētu nodrošināt papildu finansējumu uzņēmumiem un atbalstīt to izaugsmi;</w:t>
            </w:r>
          </w:p>
        </w:tc>
        <w:tc>
          <w:tcPr>
            <w:tcW w:w="4876" w:type="dxa"/>
            <w:tcBorders>
              <w:top w:val="nil"/>
              <w:left w:val="nil"/>
              <w:bottom w:val="nil"/>
              <w:right w:val="nil"/>
            </w:tcBorders>
          </w:tcPr>
          <w:p>
            <w:pPr>
              <w:pStyle w:val="Normal6a"/>
            </w:pPr>
            <w:r>
              <w:t>15.</w:t>
            </w:r>
            <w:r>
              <w:tab/>
            </w:r>
            <w:r>
              <w:t xml:space="preserve">aicina Komisiju padarīt vērtspapīrošanas tiesisko regulējumu elastīgāku, lai kredītiestādes varētu nodrošināt papildu finansējumu uzņēmumiem un atbalstīt to izaugsmi; </w:t>
            </w:r>
            <w:r>
              <w:rPr>
                <w:b/>
                <w:i/>
              </w:rPr>
              <w:t>uzskata, ka Eiropas tiesiskais regulējums attiecībā uz vērtspapīrošanu pēdējos gados ir bijis pārāk ierobežojošs, nevajadzīgi ierobežojot šā instrumenta kā korporatīvā finansējuma veida potenciālu;</w:t>
            </w:r>
            <w:r>
              <w:t xml:space="preserve"> </w:t>
            </w:r>
            <w:r>
              <w:rPr>
                <w:b/>
                <w:i/>
              </w:rPr>
              <w:t>aicina Komisiju fundamentāli pārskatīt piemērojamo režīmu, lai ieviestu lielāku regulatīvo elastību, neapdraudot pārredzamību un kredītkvalitāti;</w:t>
            </w:r>
            <w:r>
              <w:t xml:space="preserve"> </w:t>
            </w:r>
            <w:r>
              <w:rPr>
                <w:b/>
                <w:i/>
              </w:rPr>
              <w:t>uzsver, ka labi regulēta, vienkārša un standartizēta vērtspapīrošana var atbrīvot aizdošanas spējas banku sistēmā un atvieglot MVU un augošo uzņēmumu piekļuvi finansējumam, tādējādi efektīvi papildinot tiešo tirgus finansējumu;</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308</w:t>
      </w:r>
      <w:r>
        <w:rPr>
          <w:rStyle w:val="HideTWBExt"/>
        </w:rPr>
        <w:t>&lt;/NumAm&gt;</w:t>
      </w:r>
    </w:p>
    <w:p>
      <w:pPr>
        <w:pStyle w:val="NormalBold"/>
      </w:pPr>
      <w:r>
        <w:rPr>
          <w:rStyle w:val="HideTWBExt"/>
          <w:b w:val="0"/>
        </w:rPr>
        <w:t>&lt;RepeatBlock-By&gt;</w:t>
      </w:r>
      <w:r>
        <w:rPr>
          <w:rStyle w:val="HideTWBExt"/>
          <w:b w:val="0"/>
        </w:rPr>
        <w:t>&lt;Members&gt;</w:t>
      </w:r>
      <w:r>
        <w:t>Tsvetelina Penkova,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15.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aicina Komisiju </w:t>
            </w:r>
            <w:r>
              <w:rPr>
                <w:b/>
                <w:i/>
              </w:rPr>
              <w:t>padarīt</w:t>
            </w:r>
            <w:r>
              <w:t xml:space="preserve"> vērtspapīrošanas </w:t>
            </w:r>
            <w:r>
              <w:rPr>
                <w:b/>
                <w:i/>
              </w:rPr>
              <w:t>tiesisko regulējumu elastīgāku, lai kredītiestādes varētu nodrošināt papildu finansējumu uzņēmumiem un atbalstīt to izaugsmi</w:t>
            </w:r>
            <w:r>
              <w:t>;</w:t>
            </w:r>
          </w:p>
        </w:tc>
        <w:tc>
          <w:tcPr>
            <w:tcW w:w="4876" w:type="dxa"/>
            <w:tcBorders>
              <w:top w:val="nil"/>
              <w:left w:val="nil"/>
              <w:bottom w:val="nil"/>
              <w:right w:val="nil"/>
            </w:tcBorders>
          </w:tcPr>
          <w:p>
            <w:pPr>
              <w:pStyle w:val="Normal6a"/>
            </w:pPr>
            <w:r>
              <w:t>15.</w:t>
            </w:r>
            <w:r>
              <w:tab/>
            </w:r>
            <w:r>
              <w:t xml:space="preserve">aicina Komisiju </w:t>
            </w:r>
            <w:r>
              <w:rPr>
                <w:b/>
                <w:i/>
              </w:rPr>
              <w:t>nodrošināt, ka</w:t>
            </w:r>
            <w:r>
              <w:t xml:space="preserve"> vērtspapīrošanas </w:t>
            </w:r>
            <w:r>
              <w:rPr>
                <w:b/>
                <w:i/>
              </w:rPr>
              <w:t>tiesiskā regulējuma pārskatīšana nenotiek uz finanšu stabilitātes apsvērumu rēķina;</w:t>
            </w:r>
            <w:r>
              <w:t xml:space="preserve"> </w:t>
            </w:r>
            <w:r>
              <w:rPr>
                <w:b/>
                <w:i/>
              </w:rPr>
              <w:t>uzskata, ka jebkādai pārskatīšanai vajadzētu būt ierobežotai un tai nevajadzētu paredzēt standartu atcelšanu, kas pilnībā apdraudētu galvenās prudenciālās prasības un citus aizsardzības pasākumus, kuri tika ieviesti pēc globālās finanšu krīzes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309</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15.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aicina Komisiju padarīt vērtspapīrošanas tiesisko regulējumu elastīgāku, lai kredītiestādes varētu nodrošināt papildu finansējumu uzņēmumiem un atbalstīt to izaugsmi;</w:t>
            </w:r>
          </w:p>
        </w:tc>
        <w:tc>
          <w:tcPr>
            <w:tcW w:w="4876" w:type="dxa"/>
            <w:tcBorders>
              <w:top w:val="nil"/>
              <w:left w:val="nil"/>
              <w:bottom w:val="nil"/>
              <w:right w:val="nil"/>
            </w:tcBorders>
          </w:tcPr>
          <w:p>
            <w:pPr>
              <w:pStyle w:val="Normal6a"/>
            </w:pPr>
            <w:r>
              <w:t>15.</w:t>
            </w:r>
            <w:r>
              <w:tab/>
            </w:r>
            <w:r>
              <w:t xml:space="preserve">aicina Komisiju padarīt vērtspapīrošanas tiesisko regulējumu elastīgāku, lai kredītiestādes varētu nodrošināt papildu finansējumu uzņēmumiem un atbalstīt to izaugsmi; </w:t>
            </w:r>
            <w:r>
              <w:rPr>
                <w:b/>
                <w:i/>
              </w:rPr>
              <w:t>atzinīgi vērtē gaidāmo vērtspapīrošanas regulējuma pārskatīšanu un aicina Komisiju padarīt minēto režīmu mazāk apgrūtinošu un elastīgāku attiecībā uz iespējamiem riskiem;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310</w:t>
      </w:r>
      <w:r>
        <w:rPr>
          <w:rStyle w:val="HideTWBExt"/>
        </w:rPr>
        <w:t>&lt;/NumAm&gt;</w:t>
      </w:r>
    </w:p>
    <w:p>
      <w:pPr>
        <w:pStyle w:val="NormalBold"/>
      </w:pPr>
      <w:r>
        <w:rPr>
          <w:rStyle w:val="HideTWBExt"/>
          <w:b w:val="0"/>
        </w:rPr>
        <w:t>&lt;RepeatBlock-By&gt;</w:t>
      </w:r>
      <w:r>
        <w:rPr>
          <w:rStyle w:val="HideTWBExt"/>
          <w:b w:val="0"/>
        </w:rPr>
        <w:t>&lt;Members&gt;</w:t>
      </w:r>
      <w:r>
        <w:t>Gilles Boyer, Billy Kelleher, Stéphanie Yon-Courtin, Pascal Canfin, Anouk Van Brug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15.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rPr>
                <w:b/>
                <w:i/>
              </w:rPr>
              <w:t>aicina Komisiju padarīt vērtspapīrošanas tiesisko regulējumu elastīgāku, lai kredītiestādes varētu nodrošināt papildu finansējumu</w:t>
            </w:r>
            <w:r>
              <w:t xml:space="preserve"> uzņēmumiem </w:t>
            </w:r>
            <w:r>
              <w:rPr>
                <w:b/>
                <w:i/>
              </w:rPr>
              <w:t>un atbalstīt</w:t>
            </w:r>
            <w:r>
              <w:t xml:space="preserve"> to izaugsmi;</w:t>
            </w:r>
          </w:p>
        </w:tc>
        <w:tc>
          <w:tcPr>
            <w:tcW w:w="4876" w:type="dxa"/>
            <w:tcBorders>
              <w:top w:val="nil"/>
              <w:left w:val="nil"/>
              <w:bottom w:val="nil"/>
              <w:right w:val="nil"/>
            </w:tcBorders>
          </w:tcPr>
          <w:p>
            <w:pPr>
              <w:pStyle w:val="Normal6a"/>
            </w:pPr>
            <w:r>
              <w:t>15.</w:t>
            </w:r>
            <w:r>
              <w:tab/>
            </w:r>
            <w:r>
              <w:rPr>
                <w:b/>
                <w:i/>
              </w:rPr>
              <w:t>uzsver, ka vērtspapīrošanai var būt svarīga nozīme investīciju finansēšanas veicināšanā, alternatīvu finansējuma avotu veidošanā Eiropas</w:t>
            </w:r>
            <w:r>
              <w:t xml:space="preserve"> uzņēmumiem</w:t>
            </w:r>
            <w:r>
              <w:rPr>
                <w:b/>
                <w:i/>
              </w:rPr>
              <w:t>, tostarp MVU, lai veicinātu</w:t>
            </w:r>
            <w:r>
              <w:t xml:space="preserve"> to izaugsmi</w:t>
            </w:r>
            <w:r>
              <w:rPr>
                <w:b/>
                <w:i/>
              </w:rPr>
              <w:t>, Eiropas konkurētspējas palielināšanā, kā arī dziļu un dinamisku Eiropas kapitāla tirgu izveidē</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311</w:t>
      </w:r>
      <w:r>
        <w:rPr>
          <w:rStyle w:val="HideTWBExt"/>
        </w:rPr>
        <w:t>&lt;/NumAm&gt;</w:t>
      </w:r>
    </w:p>
    <w:p>
      <w:pPr>
        <w:pStyle w:val="NormalBold"/>
      </w:pPr>
      <w:r>
        <w:rPr>
          <w:rStyle w:val="HideTWBExt"/>
          <w:b w:val="0"/>
        </w:rPr>
        <w:t>&lt;RepeatBlock-By&gt;</w:t>
      </w:r>
      <w:r>
        <w:rPr>
          <w:rStyle w:val="HideTWBExt"/>
          <w:b w:val="0"/>
        </w:rPr>
        <w:t>&lt;Members&gt;</w:t>
      </w:r>
      <w:r>
        <w:t>Arba Kokalari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15. punkts – 1. daļa (jauna)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atzīmē, ka Draghi ziņojumā ir norādīts, ka priekšfinansēto valsts, arodpensiju un privāto pensiju shēmu nepietiekama attīstība ES dalībvalstīs ir būtisks kapitāla tirgu attīstību ierobežojošs faktors;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312</w:t>
      </w:r>
      <w:r>
        <w:rPr>
          <w:rStyle w:val="HideTWBExt"/>
        </w:rPr>
        <w:t>&lt;/NumAm&gt;</w:t>
      </w:r>
    </w:p>
    <w:p>
      <w:pPr>
        <w:pStyle w:val="NormalBold"/>
      </w:pPr>
      <w:r>
        <w:rPr>
          <w:rStyle w:val="HideTWBExt"/>
          <w:b w:val="0"/>
        </w:rPr>
        <w:t>&lt;RepeatBlock-By&gt;</w:t>
      </w:r>
      <w:r>
        <w:rPr>
          <w:rStyle w:val="HideTWBExt"/>
          <w:b w:val="0"/>
        </w:rPr>
        <w:t>&lt;Members&gt;</w:t>
      </w:r>
      <w:r>
        <w:t>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15.a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sagaida, ka gaidāmais Komisijas priekšlikums par vērtspapīrošanu vienkāršos tās tiesisko regulējumu, lai pilnībā izmantotu ieguvumus, ko var sniegt vērtspapīrošana;</w:t>
            </w:r>
            <w:r>
              <w:t xml:space="preserve"> </w:t>
            </w:r>
            <w:r>
              <w:rPr>
                <w:b/>
                <w:i/>
              </w:rPr>
              <w:t>norāda, ka lielākā daļa nozares ieinteresēto personu uzskata, ka pašreizējais prudenciālais regulējums ir pārmērīgi represīvs un izraisa pārmērīgu kapitalizāciju;</w:t>
            </w:r>
            <w:r>
              <w:t xml:space="preserve"> </w:t>
            </w:r>
            <w:r>
              <w:rPr>
                <w:b/>
                <w:i/>
              </w:rPr>
              <w:t>prasa piemērot vairāk uz risku balstītu pieeju, kas palielina vērtspapīrošanas apjomus, vienlaikus saglabājot finanšu stabilitāti un palielinot būtiskas riska pārneses (SRT) testu noturību, kā ieteikusi Eiropas Banku iestāde;</w:t>
            </w:r>
            <w:r>
              <w:t xml:space="preserve"> </w:t>
            </w:r>
            <w:r>
              <w:rPr>
                <w:b/>
                <w:i/>
              </w:rPr>
              <w:t>Komisijas priekšlikumam būtu jāuzlabo vērtspapīrošanas likviditātes režīms saskaņā ar likviditātes seguma rādītāju, un to var paveikt atbilstīgi Eiropas uzraudzības iestāžu ieteikumiem un Bāzeles standartiem;</w:t>
            </w:r>
            <w:r>
              <w:t xml:space="preserve"> </w:t>
            </w:r>
            <w:r>
              <w:rPr>
                <w:b/>
                <w:i/>
              </w:rPr>
              <w:t>jaunajam vērtspapīrošanas regulējumam būtu jāsamazina birokrātiskais slogs attiecībā uz pārredzamības un uzticamības pārbaudes prasībām;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313</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15.a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uzsver, ka sadrumstalotas tirgus infrastruktūras rada lielu šķērsli pārrobežu kapitāla plūsmām un investīcijām, tostarp MVU un augošu uzņēmumu finansējumam;</w:t>
            </w:r>
            <w:r>
              <w:t xml:space="preserve"> </w:t>
            </w:r>
            <w:r>
              <w:rPr>
                <w:b/>
                <w:i/>
              </w:rPr>
              <w:t>saistībā ar uzkrājumu un investīciju savienību aicina Komisiju ierosināt pasākumus, lai atbalstītu tirdzniecības un pēcpārdošanas infrastruktūras konsolidāciju Eiropā;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314</w:t>
      </w:r>
      <w:r>
        <w:rPr>
          <w:rStyle w:val="HideTWBExt"/>
        </w:rPr>
        <w:t>&lt;/NumAm&gt;</w:t>
      </w:r>
    </w:p>
    <w:p>
      <w:pPr>
        <w:pStyle w:val="NormalBold"/>
      </w:pPr>
      <w:r>
        <w:rPr>
          <w:rStyle w:val="HideTWBExt"/>
          <w:b w:val="0"/>
        </w:rPr>
        <w:t>&lt;RepeatBlock-By&gt;</w:t>
      </w:r>
      <w:r>
        <w:rPr>
          <w:rStyle w:val="HideTWBExt"/>
          <w:b w:val="0"/>
        </w:rPr>
        <w:t>&lt;Members&gt;</w:t>
      </w:r>
      <w:r>
        <w:t>Arba Kokalari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15.a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atbalsta Komisiju ES ieguldījumu konta plāna izstrādē, kurā būtu jāiekļauj i) vienkāršota nodokļu deklarēšanas procedūra, ii) papildu nodokļu stimuli un iii) ierobežojumu neesamība attiecībā uz ieguldījumu ģeogrāfiju, nozari, noguldījumu summu vai minimālajiem turējuma periodiem;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315</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15.a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uzsver, ka Savienībai būtu jācenšas atvieglot uzņēmējdarbības vidi Eiropas uzņēmējiem, likvidējot nevajadzīgus regulatīvos šķēršļus un izveidojot paplašināšanās ekosistēmu, kuras pamatā galvenokārt ir privātie ieguldījumi un kurā privātā iniciatīva ir izaugsmes dzinējspēks;</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316</w:t>
      </w:r>
      <w:r>
        <w:rPr>
          <w:rStyle w:val="HideTWBExt"/>
        </w:rPr>
        <w:t>&lt;/NumAm&gt;</w:t>
      </w:r>
    </w:p>
    <w:p>
      <w:pPr>
        <w:pStyle w:val="NormalBold"/>
      </w:pPr>
      <w:r>
        <w:rPr>
          <w:rStyle w:val="HideTWBExt"/>
          <w:b w:val="0"/>
        </w:rPr>
        <w:t>&lt;RepeatBlock-By&gt;</w:t>
      </w:r>
      <w:r>
        <w:rPr>
          <w:rStyle w:val="HideTWBExt"/>
          <w:b w:val="0"/>
        </w:rPr>
        <w:t>&lt;Members&gt;</w:t>
      </w:r>
      <w:r>
        <w:t>Gilles Boyer, Billy Kelleher, Stéphanie Yon-Courtin, Pascal Canfin, Anouk Van Brug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15.a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uzsver, ka Eiropas vērtspapīrošanas tirgus attīstība varētu palīdzēt risināt steidzamo vajadzību Savienības ekonomikai attīstīties virzienā no situācijas, kad finansēšanā paļaujas galvenokārt uz banku bilancēm, uz tādu ekonomiku, kurā pilnībā izmanto kapitāla tirgu potenciālu;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317</w:t>
      </w:r>
      <w:r>
        <w:rPr>
          <w:rStyle w:val="HideTWBExt"/>
        </w:rPr>
        <w:t>&lt;/NumAm&gt;</w:t>
      </w:r>
    </w:p>
    <w:p>
      <w:pPr>
        <w:pStyle w:val="NormalBold"/>
      </w:pPr>
      <w:r>
        <w:rPr>
          <w:rStyle w:val="HideTWBExt"/>
          <w:b w:val="0"/>
        </w:rPr>
        <w:t>&lt;RepeatBlock-By&gt;</w:t>
      </w:r>
      <w:r>
        <w:rPr>
          <w:rStyle w:val="HideTWBExt"/>
          <w:b w:val="0"/>
        </w:rPr>
        <w:t>&lt;Members&gt;</w:t>
      </w:r>
      <w:r>
        <w:t>Danuše Nerudová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15.a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aicina Komisiju paātrināt pilnībā funkcionējošas kapitāla tirgu savienības (KTS) pabeigšanu, lai uzlabotu MVU un augošo uzņēmumu pārrobežu piekļuvi finansējumam, samazinātu atkarību no ārpussavienības kapitāla un uzlabotu ES ekonomikas konkurētspēju un stratēģisko autonomiju;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318</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15.a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aicina ātri īstenot Eiropas Augšanas atbalsta fondu un Eiropas Inovāciju un investīciju paktu, kas paredzēti ES jaunuzņēmumu un augošo uzņēmumu stratēģijā;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319</w:t>
      </w:r>
      <w:r>
        <w:rPr>
          <w:rStyle w:val="HideTWBExt"/>
        </w:rPr>
        <w:t>&lt;/NumAm&gt;</w:t>
      </w:r>
    </w:p>
    <w:p>
      <w:pPr>
        <w:pStyle w:val="NormalBold"/>
      </w:pPr>
      <w:r>
        <w:rPr>
          <w:rStyle w:val="HideTWBExt"/>
          <w:b w:val="0"/>
        </w:rPr>
        <w:t>&lt;RepeatBlock-By&gt;</w:t>
      </w:r>
      <w:r>
        <w:rPr>
          <w:rStyle w:val="HideTWBExt"/>
          <w:b w:val="0"/>
        </w:rPr>
        <w:t>&lt;Members&gt;</w:t>
      </w:r>
      <w:r>
        <w:t>Anouk Van Brug, Billy Kelleher, Stéphanie Yon-Courtin,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15.a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uzsver, ka kapitāla tirgu savienības izveides pabeigšana ir cieši saistīta ar banku savienības izveides pabeigšanu;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320</w:t>
      </w:r>
      <w:r>
        <w:rPr>
          <w:rStyle w:val="HideTWBExt"/>
        </w:rPr>
        <w:t>&lt;/NumAm&gt;</w:t>
      </w:r>
    </w:p>
    <w:p>
      <w:pPr>
        <w:pStyle w:val="NormalBold"/>
      </w:pPr>
      <w:r>
        <w:rPr>
          <w:rStyle w:val="HideTWBExt"/>
          <w:b w:val="0"/>
        </w:rPr>
        <w:t>&lt;RepeatBlock-By&gt;</w:t>
      </w:r>
      <w:r>
        <w:rPr>
          <w:rStyle w:val="HideTWBExt"/>
          <w:b w:val="0"/>
        </w:rPr>
        <w:t>&lt;Members&gt;</w:t>
      </w:r>
      <w:r>
        <w:t>Gilles Boyer, Billy Kelleher, Stéphanie Yon-Courtin, Pascal Canfin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15.b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15.b</w:t>
            </w:r>
            <w:r>
              <w:tab/>
            </w:r>
            <w:r>
              <w:rPr>
                <w:b/>
                <w:i/>
              </w:rPr>
              <w:t>aicina Komisiju 2025. gada 2. ceturksnī publicēt vērienīgas un holistiskas vērtspapīrošanas regulējuma pārskatīšanas rezultātus, īpašu uzmanību pievēršot īpašu prudenciālo prasību, uzticamības pārbaudes noteikumu, ziņošanas prasību attiecībā uz konkrētiem aktīvu veidiem, vienkāršu pārredzamu un standartizētu kritēriju konsekvencei, kā arī uzraudzības procesam, lai nodrošinātu, ka vērtspapīrošanai var būt izšķiroša nozīme turpmākās Eiropas izaugsmes finansēšanā, vienlaikus saglabājot nemainīgus pamata aizsardzības pasākumus, kas ieviesti pēc 2008. gada, proti,</w:t>
            </w:r>
            <w:r>
              <w:t xml:space="preserve"> </w:t>
            </w:r>
            <w:r>
              <w:rPr>
                <w:b/>
                <w:i/>
              </w:rPr>
              <w:t>aizliegumu veikt atkārtotu vērtspapīrošanu, aizliegumu veikt vērtspapīrošanu bez riska paturēšanas un stingru kredītreitingu aģentūru uzraudzību;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321</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15.b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15.b</w:t>
            </w:r>
            <w:r>
              <w:tab/>
            </w:r>
            <w:r>
              <w:rPr>
                <w:b/>
                <w:i/>
              </w:rPr>
              <w:t>atzīst privātā sektora centrālo lomu Eiropas Savienības ekonomiskajā izaugsmē un labklājībā;</w:t>
            </w:r>
            <w:r>
              <w:t xml:space="preserve"> </w:t>
            </w:r>
            <w:r>
              <w:rPr>
                <w:b/>
                <w:i/>
              </w:rPr>
              <w:t>uzsver, ka jebkādam progresam virzībā uz kapitāla tirgu integrāciju ir jābalstās uz ekonomiskās brīvības, konkurences un juridiskās noteiktības principiem;</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322</w:t>
      </w:r>
      <w:r>
        <w:rPr>
          <w:rStyle w:val="HideTWBExt"/>
        </w:rPr>
        <w:t>&lt;/NumAm&gt;</w:t>
      </w:r>
    </w:p>
    <w:p>
      <w:pPr>
        <w:pStyle w:val="NormalBold"/>
      </w:pPr>
      <w:r>
        <w:rPr>
          <w:rStyle w:val="HideTWBExt"/>
          <w:b w:val="0"/>
        </w:rPr>
        <w:t>&lt;RepeatBlock-By&gt;</w:t>
      </w:r>
      <w:r>
        <w:rPr>
          <w:rStyle w:val="HideTWBExt"/>
          <w:b w:val="0"/>
        </w:rPr>
        <w:t>&lt;Members&gt;</w:t>
      </w:r>
      <w:r>
        <w:t>Danuše Nerudová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15.b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15.b</w:t>
            </w:r>
            <w:r>
              <w:tab/>
            </w:r>
            <w:r>
              <w:rPr>
                <w:b/>
                <w:i/>
              </w:rPr>
              <w:t>uzsver, ka ir vajadzīgs skaidrs, noteiktā termiņā īstenojams ceļvedis, kā pabeigt kapitāla tirgu savienības izveidi, tostarp saskaņojot maksātnespējas tiesību aktus, vienkāršojot noteikumus par MVU iekļaušanu biržas sarakstā un uzlabojot ieguldītāju aizsardzības regulējumu;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323</w:t>
      </w:r>
      <w:r>
        <w:rPr>
          <w:rStyle w:val="HideTWBExt"/>
        </w:rPr>
        <w:t>&lt;/NumAm&gt;</w:t>
      </w:r>
    </w:p>
    <w:p>
      <w:pPr>
        <w:pStyle w:val="NormalBold"/>
      </w:pPr>
      <w:r>
        <w:rPr>
          <w:rStyle w:val="HideTWBExt"/>
          <w:b w:val="0"/>
        </w:rPr>
        <w:t>&lt;RepeatBlock-By&gt;</w:t>
      </w:r>
      <w:r>
        <w:rPr>
          <w:rStyle w:val="HideTWBExt"/>
          <w:b w:val="0"/>
        </w:rPr>
        <w:t>&lt;Members&gt;</w:t>
      </w:r>
      <w:r>
        <w:t>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15.b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15.b</w:t>
            </w:r>
            <w:r>
              <w:tab/>
            </w:r>
            <w:r>
              <w:rPr>
                <w:b/>
                <w:i/>
              </w:rPr>
              <w:t>norāda, ka riska kapitāla nodrošināšana būtu jāveicina kā daļa no tradicionālo banku uzņēmējdarbības modeļa, vienlaikus saglabājot banku finanšu stabilitāti;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324</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15.c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15.c</w:t>
            </w:r>
            <w:r>
              <w:tab/>
            </w:r>
            <w:r>
              <w:rPr>
                <w:b/>
                <w:i/>
              </w:rPr>
              <w:t>uzsver, ka ir svarīgi nodrošināt privātajiem ieguldītājiem vieglu, drošu un pārrobežu piekļuvi finanšu produktiem, veicinot iedzīvotāju līdzdalību kapitāla tirgos un veicinot efektīvāku Eiropas uzkrājumu sadali;</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325</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15.d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15.d</w:t>
            </w:r>
            <w:r>
              <w:tab/>
            </w:r>
            <w:r>
              <w:rPr>
                <w:b/>
                <w:i/>
              </w:rPr>
              <w:t>mudina Komisiju regulatīvajos priekšlikumos par prioritāti noteikt ES finanšu tirgu globālo konkurētspēju, nodrošinot, ka Eiropas tiesiskais regulējums nav šķērslis citām jurisdikcijām, kas piesaista starptautisko kapitālu;</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326</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4. apakšvirsraksts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Finansējuma deficīta novēršana augošiem uzņēmumiem</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327</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4. apakšvirsraksts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Finansējuma deficīta novēršana augošiem uzņēmumiem</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328</w:t>
      </w:r>
      <w:r>
        <w:rPr>
          <w:rStyle w:val="HideTWBExt"/>
        </w:rPr>
        <w:t>&lt;/NumAm&gt;</w:t>
      </w:r>
    </w:p>
    <w:p>
      <w:pPr>
        <w:pStyle w:val="NormalBold"/>
      </w:pPr>
      <w:r>
        <w:rPr>
          <w:rStyle w:val="HideTWBExt"/>
          <w:b w:val="0"/>
        </w:rPr>
        <w:t>&lt;RepeatBlock-By&gt;</w:t>
      </w:r>
      <w:r>
        <w:rPr>
          <w:rStyle w:val="HideTWBExt"/>
          <w:b w:val="0"/>
        </w:rPr>
        <w:t>&lt;Members&gt;</w:t>
      </w:r>
      <w:r>
        <w:t>Tsvetelina Penkova,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4.a apakšvirsraksts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aicina Komisiju un dalībvalstis novērtēt šķēršļus, ar kuriem saskaras jaunuzņēmumi un augoši uzņēmumi, lai piekļūtu finanšu līdzekļiem un pielāgotiem finansējuma pieteikumu iesniegšanas procesiem tādā veidā, kas ļauj vieglāk piekļūt finansējumam;</w:t>
            </w:r>
            <w:r>
              <w:t xml:space="preserve"> </w:t>
            </w:r>
            <w:r>
              <w:rPr>
                <w:b/>
                <w:i/>
              </w:rPr>
              <w:t>aicina koncentrēt centienus uz kapitāla tirgu ātrāku saskaņošanu visā Savienībā;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329</w:t>
      </w:r>
      <w:r>
        <w:rPr>
          <w:rStyle w:val="HideTWBExt"/>
        </w:rPr>
        <w:t>&lt;/NumAm&gt;</w:t>
      </w:r>
    </w:p>
    <w:p>
      <w:pPr>
        <w:pStyle w:val="NormalBold"/>
      </w:pPr>
      <w:r>
        <w:rPr>
          <w:rStyle w:val="HideTWBExt"/>
          <w:b w:val="0"/>
        </w:rPr>
        <w:t>&lt;RepeatBlock-By&gt;</w:t>
      </w:r>
      <w:r>
        <w:rPr>
          <w:rStyle w:val="HideTWBExt"/>
          <w:b w:val="0"/>
        </w:rPr>
        <w:t>&lt;Members&gt;</w:t>
      </w:r>
      <w:r>
        <w:t>Tsvetelina Penkova,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4.b apakšvirsraksts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mudina Komisiju uzlabot jaunuzņēmumu un augošo uzņēmumu finansēšanas mehānismus, tostarp publiskos iepirkumus un dotāciju, aizdevumu, garantiju un kolektīvā finansējuma piešķiršanu, un vienlaikus rūpēties par to, lai neizspiestu privātos ieguldījumus un nodrošinātu finanšu stabilitāti;</w:t>
            </w:r>
            <w:r>
              <w:t xml:space="preserve"> </w:t>
            </w:r>
            <w:r>
              <w:rPr>
                <w:b/>
                <w:i/>
              </w:rPr>
              <w:t>mudina Komisiju pārorientēt esošos līdzekļus, lai tos efektīvāk darītu pieejamus Eiropas jaunuzņēmumiem un augošajiem uzņēmumiem;</w:t>
            </w:r>
            <w:r>
              <w:t xml:space="preserve"> </w:t>
            </w:r>
            <w:r>
              <w:rPr>
                <w:b/>
                <w:i/>
              </w:rPr>
              <w:t>uzsver, ka ir jāizstrādā brīvprātīga Eiropas mēroga kredītu pieprasījumu sistēma jaunuzņēmumiem un augošiem uzņēmumiem, kuru pieprasījumi banku aizdevumiem tiek noraidīti;</w:t>
            </w:r>
            <w:r>
              <w:t xml:space="preserve"> </w:t>
            </w:r>
            <w:r>
              <w:rPr>
                <w:b/>
                <w:i/>
              </w:rPr>
              <w:t>uzsver, ka ir jāpaplašina tādas iniciatīvas kā VentureEU, lai ilgtermiņā piesaistītu lielākas privātās investīcijas jaunuzņēmumiem un augošiem uzņēmumiem;</w:t>
            </w:r>
            <w:r>
              <w:t xml:space="preserve"> </w:t>
            </w:r>
            <w:r>
              <w:rPr>
                <w:b/>
                <w:i/>
              </w:rPr>
              <w:t>mudina Komisiju veicināt to, ka dalībvalstis pastiprina stimulus komerceņģeļu un investoru ieguldījumiem agrīnā posmā;</w:t>
            </w:r>
            <w:r>
              <w:t xml:space="preserve"> </w:t>
            </w:r>
            <w:r>
              <w:rPr>
                <w:b/>
                <w:i/>
              </w:rPr>
              <w:t>aicina Komisiju izpētīt attiecīgo paraugpraksi visā ES un sniegt ieteikumus, lai veicinātu vienotu sistēmu;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330</w:t>
      </w:r>
      <w:r>
        <w:rPr>
          <w:rStyle w:val="HideTWBExt"/>
        </w:rPr>
        <w:t>&lt;/NumAm&gt;</w:t>
      </w:r>
    </w:p>
    <w:p>
      <w:pPr>
        <w:pStyle w:val="NormalBold"/>
      </w:pPr>
      <w:r>
        <w:rPr>
          <w:rStyle w:val="HideTWBExt"/>
          <w:b w:val="0"/>
        </w:rPr>
        <w:t>&lt;RepeatBlock-By&gt;</w:t>
      </w:r>
      <w:r>
        <w:rPr>
          <w:rStyle w:val="HideTWBExt"/>
          <w:b w:val="0"/>
        </w:rPr>
        <w:t>&lt;Members&gt;</w:t>
      </w:r>
      <w:r>
        <w:t>Tsvetelina Penkova,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4.c apakšvirsraksts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mudina valdības aģentūras un privātos ieguldītājus piešķirt mērķtiecīgākas dotācijas un aizdevumus ar zemu procentu likmi jaunuzņēmumiem un augošiem uzņēmumiem dažādos izaugsmes posmos, vienlaikus saglabājot konkurētspējīgus kapitāla sadales mehānismus, saglabājot finanšu stabilitāti un pievēršot vislielāko uzmanību tam, lai neizspiestu privātos ieguldījumus;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331</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16.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16.</w:t>
            </w:r>
            <w:r>
              <w:tab/>
            </w:r>
            <w:r>
              <w:rPr>
                <w:b/>
                <w:i/>
              </w:rPr>
              <w:t>pauž nožēlu par to, ka daudziem Eiropas uzņēmumiem nākas izmantot riska kapitāla devējus, kas atrodas trešās valstīs, un nolūkā paplašināt savus uzņēmumus apmesties trešo valstu tirgos;</w:t>
            </w:r>
            <w:r>
              <w:t xml:space="preserve"> </w:t>
            </w:r>
            <w:r>
              <w:rPr>
                <w:b/>
                <w:i/>
              </w:rPr>
              <w:t>pauž bažas par MVU bankrotu skaita pieaugumu ES</w:t>
            </w:r>
            <w:r>
              <w:rPr>
                <w:b/>
                <w:i/>
                <w:vertAlign w:val="superscript"/>
              </w:rPr>
              <w:t>4</w:t>
            </w:r>
            <w:r>
              <w:rPr>
                <w:b/>
                <w:i/>
              </w:rPr>
              <w:t>;</w:t>
            </w:r>
          </w:p>
        </w:tc>
        <w:tc>
          <w:tcPr>
            <w:tcW w:w="4876" w:type="dxa"/>
            <w:tcBorders>
              <w:top w:val="nil"/>
              <w:left w:val="nil"/>
              <w:bottom w:val="nil"/>
              <w:right w:val="nil"/>
            </w:tcBorders>
          </w:tcPr>
          <w:p>
            <w:pPr>
              <w:pStyle w:val="Normal6a"/>
            </w:pPr>
            <w:r>
              <w:rPr>
                <w:b/>
                <w:i/>
              </w:rPr>
              <w:t>svītrots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w:t>
            </w:r>
            <w:r>
              <w:t xml:space="preserve"> </w:t>
            </w:r>
            <w:r>
              <w:rPr>
                <w:b/>
                <w:i/>
              </w:rPr>
              <w:t>Katsinis, A., Lagüera-González, J., Di Bella, L., Odenthal, L., Hell, M., Lozar, B., “Annual Report on European SMEs 2023/2024”, Eiropas Savienības Publikāciju birojs,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332</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16.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16.</w:t>
            </w:r>
            <w:r>
              <w:tab/>
            </w:r>
            <w:r>
              <w:rPr>
                <w:b/>
                <w:i/>
              </w:rPr>
              <w:t>pauž nožēlu par to, ka daudziem Eiropas uzņēmumiem nākas izmantot riska kapitāla devējus, kas atrodas trešās valstīs, un nolūkā paplašināt savus uzņēmumus apmesties trešo valstu tirgos;</w:t>
            </w:r>
            <w:r>
              <w:t xml:space="preserve"> </w:t>
            </w:r>
            <w:r>
              <w:rPr>
                <w:b/>
                <w:i/>
              </w:rPr>
              <w:t>pauž bažas par MVU bankrotu skaita pieaugumu ES</w:t>
            </w:r>
            <w:r>
              <w:rPr>
                <w:b/>
                <w:i/>
                <w:vertAlign w:val="superscript"/>
              </w:rPr>
              <w:t>4</w:t>
            </w:r>
            <w:r>
              <w:rPr>
                <w:b/>
                <w:i/>
              </w:rPr>
              <w:t>;</w:t>
            </w:r>
          </w:p>
        </w:tc>
        <w:tc>
          <w:tcPr>
            <w:tcW w:w="4876" w:type="dxa"/>
            <w:tcBorders>
              <w:top w:val="nil"/>
              <w:left w:val="nil"/>
              <w:bottom w:val="nil"/>
              <w:right w:val="nil"/>
            </w:tcBorders>
          </w:tcPr>
          <w:p>
            <w:pPr>
              <w:pStyle w:val="Normal6a"/>
            </w:pPr>
            <w:r>
              <w:rPr>
                <w:b/>
                <w:i/>
              </w:rPr>
              <w:t>svītrots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w:t>
            </w:r>
            <w:r>
              <w:t xml:space="preserve"> </w:t>
            </w:r>
            <w:r>
              <w:rPr>
                <w:b/>
                <w:i/>
              </w:rPr>
              <w:t>Katsinis, A., Lagüera-González, J., Di Bella, L., Odenthal, L., Hell, M., Lozar, B., “Annual Report on European SMEs 2023/2024”, Eiropas Savienības Publikāciju birojs,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333</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16.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pauž nožēlu par to, ka daudziem Eiropas uzņēmumiem nākas izmantot riska kapitāla devējus, kas atrodas trešās valstīs, un nolūkā paplašināt savus uzņēmumus apmesties trešo valstu tirgos; pauž bažas par </w:t>
            </w:r>
            <w:r>
              <w:rPr>
                <w:b/>
                <w:i/>
              </w:rPr>
              <w:t>MVU bankrotu skaita pieaugumu ES</w:t>
            </w:r>
            <w:r>
              <w:rPr>
                <w:b/>
                <w:i/>
                <w:vertAlign w:val="superscript"/>
              </w:rPr>
              <w:t>4</w:t>
            </w:r>
            <w:r>
              <w:t>;</w:t>
            </w:r>
          </w:p>
        </w:tc>
        <w:tc>
          <w:tcPr>
            <w:tcW w:w="4876" w:type="dxa"/>
            <w:tcBorders>
              <w:top w:val="nil"/>
              <w:left w:val="nil"/>
              <w:bottom w:val="nil"/>
              <w:right w:val="nil"/>
            </w:tcBorders>
          </w:tcPr>
          <w:p>
            <w:pPr>
              <w:pStyle w:val="Normal6a"/>
            </w:pPr>
            <w:r>
              <w:t>16.</w:t>
            </w:r>
            <w:r>
              <w:tab/>
            </w:r>
            <w:r>
              <w:t xml:space="preserve">pauž nožēlu par to, ka daudziem Eiropas uzņēmumiem nākas izmantot riska kapitāla devējus, kas atrodas trešās valstīs, un nolūkā paplašināt savus uzņēmumus apmesties trešo valstu tirgos; </w:t>
            </w:r>
            <w:r>
              <w:rPr>
                <w:b/>
                <w:i/>
              </w:rPr>
              <w:t>atgādina, ka tas galvenokārt ir saistīts ar finansējuma trūkumu mūsu tirgū;</w:t>
            </w:r>
            <w:r>
              <w:t xml:space="preserve"> pauž bažas par </w:t>
            </w:r>
            <w:r>
              <w:rPr>
                <w:b/>
                <w:i/>
              </w:rPr>
              <w:t>aizvien lielāko skaitu bankrotējošo MVU Savienībā [1]; [1] Katsinis, A., Lagüera-González, J., Di Bella, L., Odenthal, L., Hell, M., Lozar, B., “Annual Report on European SMEs 2023/2024”, Eiropas Savienības Publikāciju birojs, 2024.g.</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w:t>
            </w:r>
            <w:r>
              <w:t xml:space="preserve"> </w:t>
            </w:r>
            <w:r>
              <w:rPr>
                <w:b/>
                <w:i/>
              </w:rPr>
              <w:t>Katsinis, A., Lagüera-González, J., Di Bella, L., Odenthal, L., Hell, M., Lozar, B., “Annual Report on European SMEs 2023/2024”, Eiropas Savienības Publikāciju birojs,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334</w:t>
      </w:r>
      <w:r>
        <w:rPr>
          <w:rStyle w:val="HideTWBExt"/>
        </w:rPr>
        <w:t>&lt;/NumAm&gt;</w:t>
      </w:r>
    </w:p>
    <w:p>
      <w:pPr>
        <w:pStyle w:val="NormalBold"/>
      </w:pPr>
      <w:r>
        <w:rPr>
          <w:rStyle w:val="HideTWBExt"/>
          <w:b w:val="0"/>
        </w:rPr>
        <w:t>&lt;RepeatBlock-By&gt;</w:t>
      </w:r>
      <w:r>
        <w:rPr>
          <w:rStyle w:val="HideTWBExt"/>
          <w:b w:val="0"/>
        </w:rPr>
        <w:t>&lt;Members&gt;</w:t>
      </w:r>
      <w:r>
        <w:t>Arba Kokalari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16.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rPr>
                <w:b/>
                <w:i/>
              </w:rPr>
              <w:t>pauž nožēlu par to</w:t>
            </w:r>
            <w:r>
              <w:t>, ka daudziem Eiropas uzņēmumiem nākas izmantot riska kapitāla devējus, kas atrodas trešās valstīs, un nolūkā paplašināt savus uzņēmumus apmesties trešo valstu tirgos; pauž bažas par MVU bankrotu skaita pieaugumu ES</w:t>
            </w:r>
            <w:r>
              <w:rPr>
                <w:vertAlign w:val="superscript"/>
              </w:rPr>
              <w:t>4</w:t>
            </w:r>
            <w:r>
              <w:t>;</w:t>
            </w:r>
          </w:p>
        </w:tc>
        <w:tc>
          <w:tcPr>
            <w:tcW w:w="4876" w:type="dxa"/>
            <w:tcBorders>
              <w:top w:val="nil"/>
              <w:left w:val="nil"/>
              <w:bottom w:val="nil"/>
              <w:right w:val="nil"/>
            </w:tcBorders>
          </w:tcPr>
          <w:p>
            <w:pPr>
              <w:pStyle w:val="Normal6a"/>
            </w:pPr>
            <w:r>
              <w:t>16.</w:t>
            </w:r>
            <w:r>
              <w:tab/>
            </w:r>
            <w:r>
              <w:rPr>
                <w:b/>
                <w:i/>
              </w:rPr>
              <w:t>norāda</w:t>
            </w:r>
            <w:r>
              <w:t>, ka daudziem Eiropas uzņēmumiem nākas izmantot riska kapitāla devējus, kas atrodas trešās valstīs, un nolūkā paplašināt savus uzņēmumus apmesties trešo valstu tirgos; pauž bažas par MVU bankrotu skaita pieaugumu ES</w:t>
            </w:r>
            <w:r>
              <w:rPr>
                <w:vertAlign w:val="superscript"/>
              </w:rPr>
              <w:t>4</w:t>
            </w:r>
            <w:r>
              <w:t xml:space="preserve">; </w:t>
            </w:r>
            <w:r>
              <w:rPr>
                <w:b/>
                <w:i/>
              </w:rPr>
              <w:t>uzsver, ka prioritāri būtu jāizprot darbības pārcelšanas pamata cēloņi un jānovērš tie, veicinot konkurētspējīgāku un pievilcīgāku iekšējo tirgu, ES iedibinātiem uzņēmējiem nodrošinot apstākļus izaugsmei un darbības izvēršanai Savienībā, kā arī nodrošinot normatīvo vidi, kas nav pārāk apgrūtinoša vai ierobežojoša;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Katsinis, A., Lagüera-González, J., Di Bella, L., Odenthal, L., Hell, M., Lozar, B., “Annual Report on European SMEs 2023/2024”, Eiropas Savienības Publikāciju birojs, 2024.</w:t>
            </w:r>
          </w:p>
        </w:tc>
        <w:tc>
          <w:tcPr>
            <w:tcW w:w="4876" w:type="dxa"/>
            <w:tcBorders>
              <w:top w:val="nil"/>
              <w:left w:val="nil"/>
              <w:bottom w:val="nil"/>
              <w:right w:val="nil"/>
            </w:tcBorders>
          </w:tcPr>
          <w:p>
            <w:pPr>
              <w:pStyle w:val="Normal6a"/>
            </w:pPr>
            <w:r>
              <w:rPr>
                <w:vertAlign w:val="superscript"/>
              </w:rPr>
              <w:t>4</w:t>
            </w:r>
            <w:r>
              <w:t xml:space="preserve"> </w:t>
            </w:r>
            <w:r>
              <w:t>Katsinis, A., Lagüera-González, J., Di Bella, L., Odenthal, L., Hell, M., Lozar, B., “Annual Report on European SMEs 2023/2024”, Eiropas Savienības Publikāciju birojs,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335</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16.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pauž nožēlu par to, ka </w:t>
            </w:r>
            <w:r>
              <w:rPr>
                <w:b/>
                <w:i/>
              </w:rPr>
              <w:t>daudziem</w:t>
            </w:r>
            <w:r>
              <w:t xml:space="preserve"> Eiropas </w:t>
            </w:r>
            <w:r>
              <w:rPr>
                <w:b/>
                <w:i/>
              </w:rPr>
              <w:t>uzņēmumiem nākas izmantot riska kapitāla devējus, kas atrodas trešās valstīs</w:t>
            </w:r>
            <w:r>
              <w:t xml:space="preserve">, </w:t>
            </w:r>
            <w:r>
              <w:rPr>
                <w:b/>
                <w:i/>
              </w:rPr>
              <w:t>un nolūkā paplašināt savus uzņēmumus apmesties trešo valstu tirgos</w:t>
            </w:r>
            <w:r>
              <w:t xml:space="preserve">; pauž bažas par MVU bankrotu skaita pieaugumu </w:t>
            </w:r>
            <w:r>
              <w:rPr>
                <w:b/>
                <w:i/>
              </w:rPr>
              <w:t>ES</w:t>
            </w:r>
            <w:r>
              <w:rPr>
                <w:b/>
                <w:i/>
                <w:vertAlign w:val="superscript"/>
              </w:rPr>
              <w:t>4</w:t>
            </w:r>
            <w:r>
              <w:t>;</w:t>
            </w:r>
          </w:p>
        </w:tc>
        <w:tc>
          <w:tcPr>
            <w:tcW w:w="4876" w:type="dxa"/>
            <w:tcBorders>
              <w:top w:val="nil"/>
              <w:left w:val="nil"/>
              <w:bottom w:val="nil"/>
              <w:right w:val="nil"/>
            </w:tcBorders>
          </w:tcPr>
          <w:p>
            <w:pPr>
              <w:pStyle w:val="Normal6a"/>
            </w:pPr>
            <w:r>
              <w:t>16.</w:t>
            </w:r>
            <w:r>
              <w:tab/>
            </w:r>
            <w:r>
              <w:t xml:space="preserve">pauž nožēlu par to, ka </w:t>
            </w:r>
            <w:r>
              <w:rPr>
                <w:b/>
                <w:i/>
              </w:rPr>
              <w:t>daudzi</w:t>
            </w:r>
            <w:r>
              <w:t xml:space="preserve"> Eiropas </w:t>
            </w:r>
            <w:r>
              <w:rPr>
                <w:b/>
                <w:i/>
              </w:rPr>
              <w:t>uzņēmumi ar augstu potenciālu pārceļ savu uzņēmējdarbību uz trešām valstīm nevis tāpēc, ka trūkst intereses par darbības izvēršanu Eiropā</w:t>
            </w:r>
            <w:r>
              <w:t xml:space="preserve">, </w:t>
            </w:r>
            <w:r>
              <w:rPr>
                <w:b/>
                <w:i/>
              </w:rPr>
              <w:t>bet gan tāpēc, ka trūkst pienācīgas konkurences, normatīvās un finanšu vides;</w:t>
            </w:r>
            <w:r>
              <w:t xml:space="preserve"> </w:t>
            </w:r>
            <w:r>
              <w:rPr>
                <w:b/>
                <w:i/>
              </w:rPr>
              <w:t>uzsver, ka šī situācija atspoguļo Eiropas izaugsmes ekosistēmas strukturālus trūkumus</w:t>
            </w:r>
            <w:r>
              <w:t xml:space="preserve">; pauž bažas par MVU bankrotu skaita pieaugumu </w:t>
            </w:r>
            <w:r>
              <w:rPr>
                <w:b/>
                <w:i/>
              </w:rPr>
              <w:t>Savienībā4 un uzskata, ka ir jāpiešķir prioritāte tādu pamatcēloņu novēršanai kā kapitāla trūkums ilgtermiņā, aizvien lielākais nodokļu slogs un nesamērīgs administratīvais slogs</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w:t>
            </w:r>
            <w:r>
              <w:t xml:space="preserve"> </w:t>
            </w:r>
            <w:r>
              <w:rPr>
                <w:b/>
                <w:i/>
              </w:rPr>
              <w:t>Katsinis, A., Lagüera-González, J., Di Bella, L., Odenthal, L., Hell, M., Lozar, B., “Annual Report on European SMEs 2023/2024”, Eiropas Savienības Publikāciju birojs,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336</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16.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pauž nožēlu par to, ka daudziem Eiropas uzņēmumiem nākas izmantot riska kapitāla devējus, kas atrodas trešās valstīs, un nolūkā paplašināt savus uzņēmumus apmesties trešo valstu tirgos; pauž bažas par MVU bankrotu skaita pieaugumu ES</w:t>
            </w:r>
            <w:r>
              <w:rPr>
                <w:vertAlign w:val="superscript"/>
              </w:rPr>
              <w:t>4</w:t>
            </w:r>
            <w:r>
              <w:t>;</w:t>
            </w:r>
          </w:p>
        </w:tc>
        <w:tc>
          <w:tcPr>
            <w:tcW w:w="4876" w:type="dxa"/>
            <w:tcBorders>
              <w:top w:val="nil"/>
              <w:left w:val="nil"/>
              <w:bottom w:val="nil"/>
              <w:right w:val="nil"/>
            </w:tcBorders>
          </w:tcPr>
          <w:p>
            <w:pPr>
              <w:pStyle w:val="Normal6a"/>
            </w:pPr>
            <w:r>
              <w:t>16.</w:t>
            </w:r>
            <w:r>
              <w:tab/>
            </w:r>
            <w:r>
              <w:t>pauž nožēlu par to, ka daudziem Eiropas uzņēmumiem nākas izmantot riska kapitāla devējus, kas atrodas trešās valstīs, un nolūkā paplašināt savus uzņēmumus apmesties trešo valstu tirgos; pauž bažas par MVU bankrotu skaita pieaugumu ES</w:t>
            </w:r>
            <w:r>
              <w:rPr>
                <w:vertAlign w:val="superscript"/>
              </w:rPr>
              <w:t>4</w:t>
            </w:r>
            <w:r>
              <w:t xml:space="preserve">; </w:t>
            </w:r>
            <w:r>
              <w:rPr>
                <w:b/>
                <w:i/>
              </w:rPr>
              <w:t>uzsver, ka ES ir vajadzīga dziļāka un attīstītāka riska kapitāla ekosistēma, lai finansētu inovatīvus jaunuzņēmumus un augošus uzņēmumus;</w:t>
            </w:r>
            <w:r>
              <w:t xml:space="preserve"> </w:t>
            </w:r>
            <w:r>
              <w:rPr>
                <w:b/>
                <w:i/>
              </w:rPr>
              <w:t>norāda, ka uz bankām balstītā ES struktūra nav piemērota inovatīvu jaunuzņēmumu un augošu uzņēmumu finansēšanai banku modeļu vēlmes uzņemties risku dēļ;</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Katsinis, A., Lagüera-González, J., Di Bella, L., Odenthal, L., Hell, M., Lozar, B., “Annual Report on European SMEs 2023/2024”, Eiropas Savienības Publikāciju birojs, 2024.</w:t>
            </w:r>
          </w:p>
        </w:tc>
        <w:tc>
          <w:tcPr>
            <w:tcW w:w="4876" w:type="dxa"/>
            <w:tcBorders>
              <w:top w:val="nil"/>
              <w:left w:val="nil"/>
              <w:bottom w:val="nil"/>
              <w:right w:val="nil"/>
            </w:tcBorders>
          </w:tcPr>
          <w:p>
            <w:pPr>
              <w:pStyle w:val="Normal6a"/>
            </w:pPr>
            <w:r>
              <w:rPr>
                <w:vertAlign w:val="superscript"/>
              </w:rPr>
              <w:t>4</w:t>
            </w:r>
            <w:r>
              <w:t xml:space="preserve"> </w:t>
            </w:r>
            <w:r>
              <w:t>Katsinis, A., Lagüera-González, J., Di Bella, L., Odenthal, L., Hell, M., Lozar, B., “Annual Report on European SMEs 2023/2024”, Eiropas Savienības Publikāciju birojs,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337</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16.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pauž nožēlu par to, ka daudziem Eiropas uzņēmumiem nākas izmantot riska kapitāla devējus, kas atrodas trešās valstīs, un nolūkā paplašināt savus uzņēmumus apmesties trešo valstu tirgos; pauž bažas par MVU bankrotu skaita pieaugumu ES</w:t>
            </w:r>
            <w:r>
              <w:rPr>
                <w:vertAlign w:val="superscript"/>
              </w:rPr>
              <w:t>4</w:t>
            </w:r>
            <w:r>
              <w:t>;</w:t>
            </w:r>
          </w:p>
        </w:tc>
        <w:tc>
          <w:tcPr>
            <w:tcW w:w="4876" w:type="dxa"/>
            <w:tcBorders>
              <w:top w:val="nil"/>
              <w:left w:val="nil"/>
              <w:bottom w:val="nil"/>
              <w:right w:val="nil"/>
            </w:tcBorders>
          </w:tcPr>
          <w:p>
            <w:pPr>
              <w:pStyle w:val="Normal6a"/>
            </w:pPr>
            <w:r>
              <w:t>16.</w:t>
            </w:r>
            <w:r>
              <w:tab/>
            </w:r>
            <w:r>
              <w:t>pauž nožēlu par to, ka daudziem Eiropas uzņēmumiem nākas izmantot riska kapitāla devējus, kas atrodas trešās valstīs, un nolūkā paplašināt savus uzņēmumus apmesties trešo valstu tirgos; pauž bažas par MVU bankrotu skaita pieaugumu ES</w:t>
            </w:r>
            <w:r>
              <w:rPr>
                <w:vertAlign w:val="superscript"/>
              </w:rPr>
              <w:t>4</w:t>
            </w:r>
            <w:r>
              <w:t xml:space="preserve">; </w:t>
            </w:r>
            <w:r>
              <w:rPr>
                <w:b/>
                <w:i/>
              </w:rPr>
              <w:t>uzsver, ka ir jāatbalsta patiesu Eiropas riska kapitāla, izaugsmes un izpirkšanas fondu izveide, izmantojot arī DFS un InvestEU programmās pieejamos instrumentus, kā arī finansējumu no EIB grupas un valstu attīstību veicinošām bankām un iestādēm;</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Katsinis, A., Lagüera-González, J., Di Bella, L., Odenthal, L., Hell, M., Lozar, B., “Annual Report on European SMEs 2023/2024”, Eiropas Savienības Publikāciju birojs, 2024.</w:t>
            </w:r>
          </w:p>
        </w:tc>
        <w:tc>
          <w:tcPr>
            <w:tcW w:w="4876" w:type="dxa"/>
            <w:tcBorders>
              <w:top w:val="nil"/>
              <w:left w:val="nil"/>
              <w:bottom w:val="nil"/>
              <w:right w:val="nil"/>
            </w:tcBorders>
          </w:tcPr>
          <w:p>
            <w:pPr>
              <w:pStyle w:val="Normal6a"/>
            </w:pPr>
            <w:r>
              <w:rPr>
                <w:vertAlign w:val="superscript"/>
              </w:rPr>
              <w:t>4</w:t>
            </w:r>
            <w:r>
              <w:t xml:space="preserve"> </w:t>
            </w:r>
            <w:r>
              <w:t>Katsinis, A., Lagüera-González, J., Di Bella, L., Odenthal, L., Hell, M., Lozar, B., “Annual Report on European SMEs 2023/2024”, Eiropas Savienības Publikāciju birojs,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338</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16.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pauž nožēlu par to, ka daudziem Eiropas uzņēmumiem nākas izmantot riska kapitāla devējus, kas atrodas trešās valstīs, un nolūkā paplašināt savus uzņēmumus apmesties trešo valstu tirgos; pauž bažas par MVU bankrotu skaita pieaugumu ES</w:t>
            </w:r>
            <w:r>
              <w:rPr>
                <w:vertAlign w:val="superscript"/>
              </w:rPr>
              <w:t>4</w:t>
            </w:r>
            <w:r>
              <w:t>;</w:t>
            </w:r>
          </w:p>
        </w:tc>
        <w:tc>
          <w:tcPr>
            <w:tcW w:w="4876" w:type="dxa"/>
            <w:tcBorders>
              <w:top w:val="nil"/>
              <w:left w:val="nil"/>
              <w:bottom w:val="nil"/>
              <w:right w:val="nil"/>
            </w:tcBorders>
          </w:tcPr>
          <w:p>
            <w:pPr>
              <w:pStyle w:val="Normal6a"/>
            </w:pPr>
            <w:r>
              <w:t>16.</w:t>
            </w:r>
            <w:r>
              <w:tab/>
            </w:r>
            <w:r>
              <w:t xml:space="preserve">pauž nožēlu par to, ka daudziem Eiropas uzņēmumiem nākas izmantot riska kapitāla devējus, kas atrodas trešās valstīs, un nolūkā paplašināt savus uzņēmumus apmesties trešo valstu tirgos; </w:t>
            </w:r>
            <w:r>
              <w:rPr>
                <w:b/>
                <w:i/>
              </w:rPr>
              <w:t>norāda, ka tas arī atspoguļo nelabvēlīgu normatīvo vidi maziem un inovatīviem uzņēmumiem;</w:t>
            </w:r>
            <w:r>
              <w:t xml:space="preserve"> pauž bažas par MVU bankrotu skaita pieaugumu ES</w:t>
            </w:r>
            <w:r>
              <w:rPr>
                <w:vertAlign w:val="superscript"/>
              </w:rPr>
              <w:t>4</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Katsinis, A., Lagüera-González, J., Di Bella, L., Odenthal, L., Hell, M., Lozar, B., “Annual Report on European SMEs 2023/2024”, Eiropas Savienības Publikāciju birojs, 2024.</w:t>
            </w:r>
          </w:p>
        </w:tc>
        <w:tc>
          <w:tcPr>
            <w:tcW w:w="4876" w:type="dxa"/>
            <w:tcBorders>
              <w:top w:val="nil"/>
              <w:left w:val="nil"/>
              <w:bottom w:val="nil"/>
              <w:right w:val="nil"/>
            </w:tcBorders>
          </w:tcPr>
          <w:p>
            <w:pPr>
              <w:pStyle w:val="Normal6a"/>
            </w:pPr>
            <w:r>
              <w:rPr>
                <w:vertAlign w:val="superscript"/>
              </w:rPr>
              <w:t>4</w:t>
            </w:r>
            <w:r>
              <w:t xml:space="preserve"> </w:t>
            </w:r>
            <w:r>
              <w:t>Katsinis, A., Lagüera-González, J., Di Bella, L., Odenthal, L., Hell, M., Lozar, B., “Annual Report on European SMEs 2023/2024”, Eiropas Savienības Publikāciju birojs,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339</w:t>
      </w:r>
      <w:r>
        <w:rPr>
          <w:rStyle w:val="HideTWBExt"/>
        </w:rPr>
        <w:t>&lt;/NumAm&gt;</w:t>
      </w:r>
    </w:p>
    <w:p>
      <w:pPr>
        <w:pStyle w:val="NormalBold"/>
      </w:pPr>
      <w:r>
        <w:rPr>
          <w:rStyle w:val="HideTWBExt"/>
          <w:b w:val="0"/>
        </w:rPr>
        <w:t>&lt;RepeatBlock-By&gt;</w:t>
      </w:r>
      <w:r>
        <w:rPr>
          <w:rStyle w:val="HideTWBExt"/>
          <w:b w:val="0"/>
        </w:rPr>
        <w:t>&lt;Members&gt;</w:t>
      </w:r>
      <w:r>
        <w:t>Danuše Nerudová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16.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pauž nožēlu par to, ka </w:t>
            </w:r>
            <w:r>
              <w:rPr>
                <w:b/>
                <w:i/>
              </w:rPr>
              <w:t>daudziem</w:t>
            </w:r>
            <w:r>
              <w:t xml:space="preserve"> Eiropas </w:t>
            </w:r>
            <w:r>
              <w:rPr>
                <w:b/>
                <w:i/>
              </w:rPr>
              <w:t>uzņēmumiem nākas izmantot</w:t>
            </w:r>
            <w:r>
              <w:t xml:space="preserve"> riska </w:t>
            </w:r>
            <w:r>
              <w:rPr>
                <w:b/>
                <w:i/>
              </w:rPr>
              <w:t>kapitāla devējus, kas atrodas trešās valstīs, un nolūkā paplašināt savus uzņēmumus apmesties trešo valstu tirgos</w:t>
            </w:r>
            <w:r>
              <w:t xml:space="preserve">; pauž bažas par MVU </w:t>
            </w:r>
            <w:r>
              <w:rPr>
                <w:b/>
                <w:i/>
              </w:rPr>
              <w:t>bankrotu skaita pieaugumu ES</w:t>
            </w:r>
            <w:r>
              <w:rPr>
                <w:b/>
                <w:i/>
                <w:vertAlign w:val="superscript"/>
              </w:rPr>
              <w:t>4</w:t>
            </w:r>
            <w:r>
              <w:t>;</w:t>
            </w:r>
          </w:p>
        </w:tc>
        <w:tc>
          <w:tcPr>
            <w:tcW w:w="4876" w:type="dxa"/>
            <w:tcBorders>
              <w:top w:val="nil"/>
              <w:left w:val="nil"/>
              <w:bottom w:val="nil"/>
              <w:right w:val="nil"/>
            </w:tcBorders>
          </w:tcPr>
          <w:p>
            <w:pPr>
              <w:pStyle w:val="Normal6a"/>
            </w:pPr>
            <w:r>
              <w:t>16.</w:t>
            </w:r>
            <w:r>
              <w:tab/>
            </w:r>
            <w:r>
              <w:t xml:space="preserve">pauž nožēlu par to, ka </w:t>
            </w:r>
            <w:r>
              <w:rPr>
                <w:b/>
                <w:i/>
              </w:rPr>
              <w:t>daudzi</w:t>
            </w:r>
            <w:r>
              <w:t xml:space="preserve"> Eiropas </w:t>
            </w:r>
            <w:r>
              <w:rPr>
                <w:b/>
                <w:i/>
              </w:rPr>
              <w:t>uzņēmumi paļaujas uz</w:t>
            </w:r>
            <w:r>
              <w:t xml:space="preserve"> riska </w:t>
            </w:r>
            <w:r>
              <w:rPr>
                <w:b/>
                <w:i/>
              </w:rPr>
              <w:t>kapitālu un izaugsmes posma finansējumu no ieguldītājiem ārpus ES, kā rezultātā tie bieži vien pirmo reizi tiek iekļauti biržas sarakstā, izveido galveno mītni vai komerciālu klātbūtni ārpus ES</w:t>
            </w:r>
            <w:r>
              <w:t xml:space="preserve">; pauž bažas par </w:t>
            </w:r>
            <w:r>
              <w:rPr>
                <w:b/>
                <w:i/>
              </w:rPr>
              <w:t>to, ka pastāvīgi trūkst finansējuma inovatīvu uzņēmumu paplašināšanai un ka darbību izbeidz aizvien vairāk</w:t>
            </w:r>
            <w:r>
              <w:t xml:space="preserve"> MVU;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w:t>
            </w:r>
            <w:r>
              <w:t xml:space="preserve"> </w:t>
            </w:r>
            <w:r>
              <w:rPr>
                <w:b/>
                <w:i/>
              </w:rPr>
              <w:t>Katsinis, A., Lagüera-González, J., Di Bella, L., Odenthal, L., Hell, M., Lozar, B., “Annual Report on European SMEs 2023/2024”, Eiropas Savienības Publikāciju birojs,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340</w:t>
      </w:r>
      <w:r>
        <w:rPr>
          <w:rStyle w:val="HideTWBExt"/>
        </w:rPr>
        <w:t>&lt;/NumAm&gt;</w:t>
      </w:r>
    </w:p>
    <w:p>
      <w:pPr>
        <w:pStyle w:val="NormalBold"/>
      </w:pPr>
      <w:r>
        <w:rPr>
          <w:rStyle w:val="HideTWBExt"/>
          <w:b w:val="0"/>
        </w:rPr>
        <w:t>&lt;RepeatBlock-By&gt;</w:t>
      </w:r>
      <w:r>
        <w:rPr>
          <w:rStyle w:val="HideTWBExt"/>
          <w:b w:val="0"/>
        </w:rPr>
        <w:t>&lt;Members&gt;</w:t>
      </w:r>
      <w:r>
        <w:t>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16.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pauž nožēlu par to, ka daudziem Eiropas uzņēmumiem nākas izmantot riska kapitāla devējus, kas atrodas trešās valstīs, un nolūkā paplašināt savus uzņēmumus apmesties trešo valstu tirgos; </w:t>
            </w:r>
            <w:r>
              <w:rPr>
                <w:b/>
                <w:i/>
              </w:rPr>
              <w:t>pauž bažas par MVU bankrotu skaita pieaugumu ES</w:t>
            </w:r>
            <w:r>
              <w:rPr>
                <w:b/>
                <w:i/>
                <w:vertAlign w:val="superscript"/>
              </w:rPr>
              <w:t>4</w:t>
            </w:r>
            <w:r>
              <w:rPr>
                <w:b/>
                <w:i/>
              </w:rPr>
              <w:t>;</w:t>
            </w:r>
          </w:p>
        </w:tc>
        <w:tc>
          <w:tcPr>
            <w:tcW w:w="4876" w:type="dxa"/>
            <w:tcBorders>
              <w:top w:val="nil"/>
              <w:left w:val="nil"/>
              <w:bottom w:val="nil"/>
              <w:right w:val="nil"/>
            </w:tcBorders>
          </w:tcPr>
          <w:p>
            <w:pPr>
              <w:pStyle w:val="Normal6a"/>
            </w:pPr>
            <w:r>
              <w:t>16.</w:t>
            </w:r>
            <w:r>
              <w:tab/>
            </w:r>
            <w:r>
              <w:t>pauž nožēlu par to, ka daudziem Eiropas uzņēmumiem nākas izmantot riska kapitāla devējus, kas atrodas trešās valstīs, un nolūkā paplašināt savus uzņēmumus apmesties trešo valstu tirgos;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w:t>
            </w:r>
            <w:r>
              <w:t xml:space="preserve"> </w:t>
            </w:r>
            <w:r>
              <w:rPr>
                <w:b/>
                <w:i/>
              </w:rPr>
              <w:t>Katsinis, A., Lagüera-González, J., Di Bella, L., Odenthal, L., Hell, M., Lozar, B., “Annual Report on European SMEs 2023/2024”, Eiropas Savienības Publikāciju birojs,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341</w:t>
      </w:r>
      <w:r>
        <w:rPr>
          <w:rStyle w:val="HideTWBExt"/>
        </w:rPr>
        <w:t>&lt;/NumAm&gt;</w:t>
      </w:r>
    </w:p>
    <w:p>
      <w:pPr>
        <w:pStyle w:val="NormalBold"/>
      </w:pPr>
      <w:r>
        <w:rPr>
          <w:rStyle w:val="HideTWBExt"/>
          <w:b w:val="0"/>
        </w:rPr>
        <w:t>&lt;RepeatBlock-By&gt;</w:t>
      </w:r>
      <w:r>
        <w:rPr>
          <w:rStyle w:val="HideTWBExt"/>
          <w:b w:val="0"/>
        </w:rPr>
        <w:t>&lt;Members&gt;</w:t>
      </w:r>
      <w:r>
        <w:t>Billy Kelleher, Pascal Canfin, Stéphanie Yon-Courtin,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16.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pauž nožēlu par to, ka daudziem Eiropas uzņēmumiem nākas izmantot riska kapitāla devējus, kas atrodas trešās valstīs, un nolūkā paplašināt savus uzņēmumus apmesties trešo valstu tirgos; pauž bažas par MVU bankrotu skaita pieaugumu ES</w:t>
            </w:r>
            <w:r>
              <w:rPr>
                <w:vertAlign w:val="superscript"/>
              </w:rPr>
              <w:t>4</w:t>
            </w:r>
            <w:r>
              <w:t>;</w:t>
            </w:r>
          </w:p>
        </w:tc>
        <w:tc>
          <w:tcPr>
            <w:tcW w:w="4876" w:type="dxa"/>
            <w:tcBorders>
              <w:top w:val="nil"/>
              <w:left w:val="nil"/>
              <w:bottom w:val="nil"/>
              <w:right w:val="nil"/>
            </w:tcBorders>
          </w:tcPr>
          <w:p>
            <w:pPr>
              <w:pStyle w:val="Normal6a"/>
            </w:pPr>
            <w:r>
              <w:t>16.</w:t>
            </w:r>
            <w:r>
              <w:tab/>
            </w:r>
            <w:r>
              <w:t>pauž nožēlu par to, ka daudziem Eiropas uzņēmumiem nākas izmantot riska kapitāla devējus, kas atrodas trešās valstīs, un nolūkā paplašināt savus uzņēmumus apmesties trešo valstu tirgos</w:t>
            </w:r>
            <w:r>
              <w:rPr>
                <w:b/>
                <w:i/>
              </w:rPr>
              <w:t>, jo ES trūkst finansējuma iespēju darbības paplašināšanai</w:t>
            </w:r>
            <w:r>
              <w:t>; pauž bažas par MVU bankrotu skaita pieaugumu ES</w:t>
            </w:r>
            <w:r>
              <w:rPr>
                <w:vertAlign w:val="superscript"/>
              </w:rPr>
              <w:t>4</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Katsinis, A., Lagüera-González, J., Di Bella, L., Odenthal, L., Hell, M., Lozar, B., “Annual Report on European SMEs 2023/2024”, Eiropas Savienības Publikāciju birojs, 2024.</w:t>
            </w:r>
          </w:p>
        </w:tc>
        <w:tc>
          <w:tcPr>
            <w:tcW w:w="4876" w:type="dxa"/>
            <w:tcBorders>
              <w:top w:val="nil"/>
              <w:left w:val="nil"/>
              <w:bottom w:val="nil"/>
              <w:right w:val="nil"/>
            </w:tcBorders>
          </w:tcPr>
          <w:p>
            <w:pPr>
              <w:pStyle w:val="Normal6a"/>
            </w:pPr>
            <w:r>
              <w:rPr>
                <w:vertAlign w:val="superscript"/>
              </w:rPr>
              <w:t>4</w:t>
            </w:r>
            <w:r>
              <w:t xml:space="preserve"> </w:t>
            </w:r>
            <w:r>
              <w:t>Katsinis, A., Lagüera-González, J., Di Bella, L., Odenthal, L., Hell, M., Lozar, B., “Annual Report on European SMEs 2023/2024”, Eiropas Savienības Publikāciju birojs,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342</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16.a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atgādina, ka Eiropas Inovācijas padome (EIP) ir unikāla Eiropas finansēšanas programma, kas izstrādāta, lai progresīvo tehnoloģiju jaunuzņēmumiem finansējuma meklēšanā nodrošinātu vienas pieturas aģentūru, kas tiem ļautu attīstīt inovāciju no agrīnas idejas līdz tirgū laižamai produkcijai, kā arī paplašināt uzņēmuma darbību;</w:t>
            </w:r>
            <w:r>
              <w:t xml:space="preserve"> </w:t>
            </w:r>
            <w:r>
              <w:rPr>
                <w:b/>
                <w:i/>
              </w:rPr>
              <w:t>ar interesi norāda uz centieniem papildināt InvestEU un Eiropas tehnoloģiju čempionu iniciatīvu, lai novērstu finansējuma trūkumu dziļo tehnoloģiju augošajiem uzņēmumiem, veicot tiešas pašu kapitāla investīcijas stratēģiskajās nozarēs ārpus pašreizējās intervences loģikas saskaņā ar EIP instrumentu "Accelerator";</w:t>
            </w:r>
            <w:r>
              <w:t xml:space="preserve"> </w:t>
            </w:r>
            <w:r>
              <w:rPr>
                <w:b/>
                <w:i/>
              </w:rPr>
              <w:t>atgādina, ka ir jāīsteno augsta pārredzamība, integritāte un izvairīšanās no interešu konflikta riskiem, kas raksturīgi attiecīgajai intervences loģikai;</w:t>
            </w:r>
            <w:r>
              <w:t xml:space="preserve"> </w:t>
            </w:r>
            <w:r>
              <w:rPr>
                <w:b/>
                <w:i/>
              </w:rPr>
              <w:t>norāda uz bažām, ka publisko nodokļu maksātāju līdzekļu ieguldīšana ar potenciāli zemākiem uzticamības pārbaudes standartiem vai augstāku riska pielaidi izstumj privātos ieguldījumus, jo tas var apdraudēt Savienības jaunuzņēmumu un augošo uzņēmumu izredzes ilgtermiņā;</w:t>
            </w:r>
            <w:r>
              <w:t xml:space="preserve"> </w:t>
            </w:r>
            <w:r>
              <w:rPr>
                <w:b/>
                <w:i/>
              </w:rPr>
              <w:t>tādēļ aicina Komisiju izveidot Eiropas Augšanas atbalsta fonda pārvaldību un struktūru, kas nodrošinās augstu publisko pārskatatbildību, saskaņotību ar augstiem ētikas standartiem un Eiropas vispārējām interesēm un vienlaikus piesaistīs privātos ieguldījumus;</w:t>
            </w:r>
            <w:r>
              <w:t xml:space="preserve"> </w:t>
            </w:r>
            <w:r>
              <w:rPr>
                <w:b/>
                <w:i/>
              </w:rPr>
              <w:t>uzskata, ka ilgtermiņā vairāku tādu instrumentu izstrāde, kas paredzēti, lai Savienības līmenī veiktu tiešus kapitāla ieguldījumus stratēģiskās nozarēs, varētu būt izšķiroši svarīga Eiropas tehnoloģiskajai suverenitātei un stratēģiskajai autonomijai un ka būs nepieciešama mentalitātes maiņa un prasmju attīstība ES iestādēs, lai pakāpeniski pārņemtu atbalstošu un stratēģisku ieguldītāju domāšanas veidu un attieksmi;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343</w:t>
      </w:r>
      <w:r>
        <w:rPr>
          <w:rStyle w:val="HideTWBExt"/>
        </w:rPr>
        <w:t>&lt;/NumAm&gt;</w:t>
      </w:r>
    </w:p>
    <w:p>
      <w:pPr>
        <w:pStyle w:val="NormalBold"/>
      </w:pPr>
      <w:r>
        <w:rPr>
          <w:rStyle w:val="HideTWBExt"/>
          <w:b w:val="0"/>
        </w:rPr>
        <w:t>&lt;RepeatBlock-By&gt;</w:t>
      </w:r>
      <w:r>
        <w:rPr>
          <w:rStyle w:val="HideTWBExt"/>
          <w:b w:val="0"/>
        </w:rPr>
        <w:t>&lt;Members&gt;</w:t>
      </w:r>
      <w:r>
        <w:t>Tsvetelina Penkova,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16.a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uzsver problēmas, ar kurām saskaras Eiropas jaunuzņēmumi un augošie uzņēmumi, lai piekļūtu finansējumam, tostarp grūtības ātri paplašināt uzņēmējdarbību visā Eiropā;</w:t>
            </w:r>
            <w:r>
              <w:t xml:space="preserve"> </w:t>
            </w:r>
            <w:r>
              <w:rPr>
                <w:b/>
                <w:i/>
              </w:rPr>
              <w:t>atzīst, ka ir vajadzīga tāda investīciju ekosistēma, kas apmierina viņu vajadzības un vienlaikus aizsargā finanšu stabilitāti;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344</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16.a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uzsver, ka Eiropas tiešo sekundāro darījumu tirgus, kas ļautu tirgot vēlīnā posma jaunuzņēmumu un posma pirms SPP jaunuzņēmumu akcijas, uzlabotu Savienības finansēšanas ekosistēmu;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345</w:t>
      </w:r>
      <w:r>
        <w:rPr>
          <w:rStyle w:val="HideTWBExt"/>
        </w:rPr>
        <w:t>&lt;/NumAm&gt;</w:t>
      </w:r>
    </w:p>
    <w:p>
      <w:pPr>
        <w:pStyle w:val="NormalBold"/>
      </w:pPr>
      <w:r>
        <w:rPr>
          <w:rStyle w:val="HideTWBExt"/>
          <w:b w:val="0"/>
        </w:rPr>
        <w:t>&lt;RepeatBlock-By&gt;</w:t>
      </w:r>
      <w:r>
        <w:rPr>
          <w:rStyle w:val="HideTWBExt"/>
          <w:b w:val="0"/>
        </w:rPr>
        <w:t>&lt;Members&gt;</w:t>
      </w:r>
      <w:r>
        <w:t>Tsvetelina Penkova,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16.b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16.b</w:t>
            </w:r>
            <w:r>
              <w:tab/>
            </w:r>
            <w:r>
              <w:rPr>
                <w:b/>
                <w:i/>
              </w:rPr>
              <w:t>uzsver maksājumu kavējumu būtisko ietekmi uz naudas plūsmu MVU, jaunuzņēmumiem un augošiem uzņēmumiem;</w:t>
            </w:r>
            <w:r>
              <w:t xml:space="preserve"> </w:t>
            </w:r>
            <w:r>
              <w:rPr>
                <w:b/>
                <w:i/>
              </w:rPr>
              <w:t>norāda, ka var izmantot digitālos risinājumus, lai veicinātu lielāku rēķinu pārredzamību un ātrāku rēķinu apmaksu;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346</w:t>
      </w:r>
      <w:r>
        <w:rPr>
          <w:rStyle w:val="HideTWBExt"/>
        </w:rPr>
        <w:t>&lt;/NumAm&gt;</w:t>
      </w:r>
    </w:p>
    <w:p>
      <w:pPr>
        <w:pStyle w:val="NormalBold"/>
      </w:pPr>
      <w:r>
        <w:rPr>
          <w:rStyle w:val="HideTWBExt"/>
          <w:b w:val="0"/>
        </w:rPr>
        <w:t>&lt;RepeatBlock-By&gt;</w:t>
      </w:r>
      <w:r>
        <w:rPr>
          <w:rStyle w:val="HideTWBExt"/>
          <w:b w:val="0"/>
        </w:rPr>
        <w:t>&lt;Members&gt;</w:t>
      </w:r>
      <w:r>
        <w:t>Tsvetelina Penkova,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16.c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16.c</w:t>
            </w:r>
            <w:r>
              <w:tab/>
            </w:r>
            <w:r>
              <w:rPr>
                <w:b/>
                <w:i/>
              </w:rPr>
              <w:t>uzsver, ka tirgus ekonomikā galvenais mehānisms uzņēmumu, tostarp jaunuzņēmumu un augošo uzņēmumu, kapitāla vajadzību finansēšanai ir privāti aizdevumu un kapitāla tirgi;</w:t>
            </w:r>
            <w:r>
              <w:t xml:space="preserve"> </w:t>
            </w:r>
            <w:r>
              <w:rPr>
                <w:b/>
                <w:i/>
              </w:rPr>
              <w:t>mudina pabeigt kapitāla tirgu savienības izveidi, lai mobilizētu privāto kapitālu un uzlabotu šāda kapitāla pārrobežu apriti Savienībā;</w:t>
            </w:r>
            <w:r>
              <w:t xml:space="preserve"> </w:t>
            </w:r>
            <w:r>
              <w:rPr>
                <w:b/>
                <w:i/>
              </w:rPr>
              <w:t>aicina īstenot visaptverošu pieeju, lai novērstu reģionālās atšķirības un šķēršļus, kas kavē piekļuvi finansējumam Eiropas jaunuzņēmumu un augošo uzņēmumu ekosistēmā, ņemot vērā dalībvalstu un reģionu finanšu vides daudzveidību;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347</w:t>
      </w:r>
      <w:r>
        <w:rPr>
          <w:rStyle w:val="HideTWBExt"/>
        </w:rPr>
        <w:t>&lt;/NumAm&gt;</w:t>
      </w:r>
    </w:p>
    <w:p>
      <w:pPr>
        <w:pStyle w:val="NormalBold"/>
      </w:pPr>
      <w:r>
        <w:rPr>
          <w:rStyle w:val="HideTWBExt"/>
          <w:b w:val="0"/>
        </w:rPr>
        <w:t>&lt;RepeatBlock-By&gt;</w:t>
      </w:r>
      <w:r>
        <w:rPr>
          <w:rStyle w:val="HideTWBExt"/>
          <w:b w:val="0"/>
        </w:rPr>
        <w:t>&lt;Members&gt;</w:t>
      </w:r>
      <w:r>
        <w:t>Tsvetelina Penkova,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16.d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16.d</w:t>
            </w:r>
            <w:r>
              <w:tab/>
            </w:r>
            <w:r>
              <w:rPr>
                <w:b/>
                <w:i/>
              </w:rPr>
              <w:t>aicina Komisiju atbalstīt un atvieglot inovatīvu jaunuzņēmumu un augošo uzņēmumu dalību ES finansēšanas programmās un nodrošināt labāku piekļuvi ES finansēšanas programmām un konkursiem un to pieteikšanās procesiem;</w:t>
            </w:r>
            <w:r>
              <w:t xml:space="preserve"> </w:t>
            </w:r>
            <w:r>
              <w:rPr>
                <w:b/>
                <w:i/>
              </w:rPr>
              <w:t>konstatē, ka pašreizējā finanšu vidē jaunuzņēmumiem ir grūtības piekļūt mērķtiecīgam finansējumam, izmantojot dotācijas, garantijas un aizdevumus;</w:t>
            </w:r>
            <w:r>
              <w:t xml:space="preserve"> </w:t>
            </w:r>
            <w:r>
              <w:rPr>
                <w:b/>
                <w:i/>
              </w:rPr>
              <w:t>uzsver, ka pašreizējā ES finansēšanas struktūra ir jāpielāgo, lai tā labāk atbilstu jaunuzņēmumu vajadzībām, ar mērķi nodrošināt, ka attiecīga finansiālā atbalsta saņemšana neizraisa nepamatotu administratīvo slogu;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348</w:t>
      </w:r>
      <w:r>
        <w:rPr>
          <w:rStyle w:val="HideTWBExt"/>
        </w:rPr>
        <w:t>&lt;/NumAm&gt;</w:t>
      </w:r>
    </w:p>
    <w:p>
      <w:pPr>
        <w:pStyle w:val="NormalBold"/>
      </w:pPr>
      <w:r>
        <w:rPr>
          <w:rStyle w:val="HideTWBExt"/>
          <w:b w:val="0"/>
        </w:rPr>
        <w:t>&lt;RepeatBlock-By&gt;</w:t>
      </w:r>
      <w:r>
        <w:rPr>
          <w:rStyle w:val="HideTWBExt"/>
          <w:b w:val="0"/>
        </w:rPr>
        <w:t>&lt;Members&gt;</w:t>
      </w:r>
      <w:r>
        <w:t>Tsvetelina Penkova,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16.e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16.e</w:t>
            </w:r>
            <w:r>
              <w:tab/>
            </w:r>
            <w:r>
              <w:rPr>
                <w:b/>
                <w:i/>
              </w:rPr>
              <w:t>mudina dalībvalstis un Komisiju par prioritāti noteikt ieguldījumus digitālajā infrastruktūrā visā pilsētvidē un lauku teritorijās, pieņemot tālredzīgu pieeju, kas atbalsta jaunuzņēmumu un augošo uzņēmumu izaugsmi un ilgtspēju, un stiprinot Eiropas līderību digitālajā jomā;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349</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17.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17.</w:t>
            </w:r>
            <w:r>
              <w:tab/>
            </w:r>
            <w:r>
              <w:rPr>
                <w:b/>
                <w:i/>
              </w:rPr>
              <w:t>saprot, ka nolūkā mazināt augošo uzņēmumu deficītu ir svarīgi stimulēt Eiropas institucionālos ieguldītājus, jo īpaši apdrošināšanas sabiedrības un pensiju fondus;</w:t>
            </w:r>
            <w:r>
              <w:t xml:space="preserve"> </w:t>
            </w:r>
            <w:r>
              <w:rPr>
                <w:b/>
                <w:i/>
              </w:rPr>
              <w:t>norāda, ka riska kapitāla fondu īpatsvars Eiropā ir jāpalielina, lai nodrošinātu lielāku finansējumu augošiem uzņēmumiem;</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350</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17.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17.</w:t>
            </w:r>
            <w:r>
              <w:tab/>
            </w:r>
            <w:r>
              <w:rPr>
                <w:b/>
                <w:i/>
              </w:rPr>
              <w:t>saprot, ka nolūkā mazināt augošo uzņēmumu deficītu ir svarīgi stimulēt Eiropas institucionālos ieguldītājus, jo īpaši apdrošināšanas sabiedrības un pensiju fondus;</w:t>
            </w:r>
            <w:r>
              <w:t xml:space="preserve"> </w:t>
            </w:r>
            <w:r>
              <w:rPr>
                <w:b/>
                <w:i/>
              </w:rPr>
              <w:t>norāda, ka riska kapitāla fondu īpatsvars Eiropā ir jāpalielina, lai nodrošinātu lielāku finansējumu augošiem uzņēmumiem;</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351</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17.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saprot, ka </w:t>
            </w:r>
            <w:r>
              <w:rPr>
                <w:b/>
                <w:i/>
              </w:rPr>
              <w:t>nolūkā</w:t>
            </w:r>
            <w:r>
              <w:t xml:space="preserve"> mazināt augošo uzņēmumu deficītu </w:t>
            </w:r>
            <w:r>
              <w:rPr>
                <w:b/>
                <w:i/>
              </w:rPr>
              <w:t>ir svarīgi stimulēt Eiropas institucionālos ieguldītājus, jo īpaši apdrošināšanas sabiedrības un</w:t>
            </w:r>
            <w:r>
              <w:t xml:space="preserve"> pensiju </w:t>
            </w:r>
            <w:r>
              <w:rPr>
                <w:b/>
                <w:i/>
              </w:rPr>
              <w:t>fondus</w:t>
            </w:r>
            <w:r>
              <w:t>; norāda, ka riska kapitāla fondu īpatsvars Eiropā ir jāpalielina, lai nodrošinātu lielāku finansējumu augošiem uzņēmumiem;</w:t>
            </w:r>
          </w:p>
        </w:tc>
        <w:tc>
          <w:tcPr>
            <w:tcW w:w="4876" w:type="dxa"/>
            <w:tcBorders>
              <w:top w:val="nil"/>
              <w:left w:val="nil"/>
              <w:bottom w:val="nil"/>
              <w:right w:val="nil"/>
            </w:tcBorders>
          </w:tcPr>
          <w:p>
            <w:pPr>
              <w:pStyle w:val="Normal6a"/>
            </w:pPr>
            <w:r>
              <w:t>17.</w:t>
            </w:r>
            <w:r>
              <w:tab/>
            </w:r>
            <w:r>
              <w:t xml:space="preserve">saprot, ka </w:t>
            </w:r>
            <w:r>
              <w:rPr>
                <w:b/>
                <w:i/>
              </w:rPr>
              <w:t>Eiropas institucionālo ieguldītāju, jo īpaši apdrošināšanas sabiedrību un pensiju fondu, piesaiste var potenciāli</w:t>
            </w:r>
            <w:r>
              <w:t xml:space="preserve"> mazināt augošo uzņēmumu deficītu</w:t>
            </w:r>
            <w:r>
              <w:rPr>
                <w:b/>
                <w:i/>
              </w:rPr>
              <w:t>;</w:t>
            </w:r>
            <w:r>
              <w:t xml:space="preserve"> </w:t>
            </w:r>
            <w:r>
              <w:rPr>
                <w:b/>
                <w:i/>
              </w:rPr>
              <w:t>uzsver, ka institucionālajiem ieguldītājiem, tostarp</w:t>
            </w:r>
            <w:r>
              <w:t xml:space="preserve"> pensiju </w:t>
            </w:r>
            <w:r>
              <w:rPr>
                <w:b/>
                <w:i/>
              </w:rPr>
              <w:t>fondiem, vajadzētu būt iespējai brīvi veikt ieguldījumus savu pensionāru un ieinteresēto personu interesēs un ka spiediens veikt ieguldījumus mazāk ienesīgos Eiropas projektos un uzņēmumos ir neilgtspējīgs</w:t>
            </w:r>
            <w:r>
              <w:t xml:space="preserve">; norāda, ka riska kapitāla fondu īpatsvars Eiropā ir jāpalielina, lai nodrošinātu lielāku finansējumu augošiem uzņēmumiem; </w:t>
            </w:r>
            <w:r>
              <w:rPr>
                <w:b/>
                <w:i/>
              </w:rPr>
              <w:t>aicina Komisiju mudināt dalībvalstis ar nepietiekami attīstītām pensiju sistēmām izstrādāt papildu (2. līmeņa) pensiju sistēmas, kas palīdzētu attīstīt riska kapitāla tirgus;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352</w:t>
      </w:r>
      <w:r>
        <w:rPr>
          <w:rStyle w:val="HideTWBExt"/>
        </w:rPr>
        <w:t>&lt;/NumAm&gt;</w:t>
      </w:r>
    </w:p>
    <w:p>
      <w:pPr>
        <w:pStyle w:val="NormalBold"/>
      </w:pPr>
      <w:r>
        <w:rPr>
          <w:rStyle w:val="HideTWBExt"/>
          <w:b w:val="0"/>
        </w:rPr>
        <w:t>&lt;RepeatBlock-By&gt;</w:t>
      </w:r>
      <w:r>
        <w:rPr>
          <w:rStyle w:val="HideTWBExt"/>
          <w:b w:val="0"/>
        </w:rPr>
        <w:t>&lt;Members&gt;</w:t>
      </w:r>
      <w:r>
        <w:t>Georgios Aftias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17.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saprot, ka nolūkā mazināt augošo uzņēmumu deficītu ir svarīgi stimulēt Eiropas institucionālos ieguldītājus, jo īpaši apdrošināšanas sabiedrības un pensiju fondus; norāda, ka riska kapitāla fondu īpatsvars Eiropā ir jāpalielina, lai nodrošinātu lielāku finansējumu augošiem uzņēmumiem;</w:t>
            </w:r>
          </w:p>
        </w:tc>
        <w:tc>
          <w:tcPr>
            <w:tcW w:w="4876" w:type="dxa"/>
            <w:tcBorders>
              <w:top w:val="nil"/>
              <w:left w:val="nil"/>
              <w:bottom w:val="nil"/>
              <w:right w:val="nil"/>
            </w:tcBorders>
          </w:tcPr>
          <w:p>
            <w:pPr>
              <w:pStyle w:val="Normal6a"/>
            </w:pPr>
            <w:r>
              <w:t>17.</w:t>
            </w:r>
            <w:r>
              <w:tab/>
            </w:r>
            <w:r>
              <w:t xml:space="preserve">saprot, ka nolūkā mazināt augošo uzņēmumu deficītu ir svarīgi stimulēt Eiropas institucionālos ieguldītājus, jo īpaši apdrošināšanas sabiedrības un pensiju fondus; norāda, ka riska kapitāla fondu īpatsvars Eiropā ir jāpalielina, lai nodrošinātu lielāku finansējumu augošiem uzņēmumiem; </w:t>
            </w:r>
            <w:r>
              <w:rPr>
                <w:b/>
                <w:i/>
              </w:rPr>
              <w:t>šajā nolūkā mudina Komisiju un dalībvalstis paplašināt valstu attīstības banku operatīvo lomu, ļaujot tām darboties kā tiešajiem aizdevējiem mikrouzņēmumiem un mazajiem uzņēmumiem, nevis tikai kā finanšu starpniekiem, un to darīt ar mērķi novērst pastāvīgi nepietiekamos ieguldījumus un izaugsmes ierobežojumus vietējā ekonomikā;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353</w:t>
      </w:r>
      <w:r>
        <w:rPr>
          <w:rStyle w:val="HideTWBExt"/>
        </w:rPr>
        <w:t>&lt;/NumAm&gt;</w:t>
      </w:r>
    </w:p>
    <w:p>
      <w:pPr>
        <w:pStyle w:val="NormalBold"/>
      </w:pPr>
      <w:r>
        <w:rPr>
          <w:rStyle w:val="HideTWBExt"/>
          <w:b w:val="0"/>
        </w:rPr>
        <w:t>&lt;RepeatBlock-By&gt;</w:t>
      </w:r>
      <w:r>
        <w:rPr>
          <w:rStyle w:val="HideTWBExt"/>
          <w:b w:val="0"/>
        </w:rPr>
        <w:t>&lt;Members&gt;</w:t>
      </w:r>
      <w:r>
        <w:t>Arba Kokalari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17.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saprot, ka nolūkā </w:t>
            </w:r>
            <w:r>
              <w:rPr>
                <w:b/>
                <w:i/>
              </w:rPr>
              <w:t>mazināt augošo uzņēmumu deficītu ir svarīgi</w:t>
            </w:r>
            <w:r>
              <w:t xml:space="preserve"> stimulēt Eiropas institucionālos ieguldītājus, jo īpaši apdrošināšanas </w:t>
            </w:r>
            <w:r>
              <w:rPr>
                <w:b/>
                <w:i/>
              </w:rPr>
              <w:t>sabiedrības un pensiju fondus;</w:t>
            </w:r>
            <w:r>
              <w:t xml:space="preserve"> </w:t>
            </w:r>
            <w:r>
              <w:rPr>
                <w:b/>
                <w:i/>
              </w:rPr>
              <w:t>norāda, ka</w:t>
            </w:r>
            <w:r>
              <w:t xml:space="preserve"> riska kapitāla </w:t>
            </w:r>
            <w:r>
              <w:rPr>
                <w:b/>
                <w:i/>
              </w:rPr>
              <w:t>fondu īpatsvars Eiropā ir jāpalielina, lai nodrošinātu lielāku finansējumu augošiem uzņēmumiem</w:t>
            </w:r>
            <w:r>
              <w:t>;</w:t>
            </w:r>
          </w:p>
        </w:tc>
        <w:tc>
          <w:tcPr>
            <w:tcW w:w="4876" w:type="dxa"/>
            <w:tcBorders>
              <w:top w:val="nil"/>
              <w:left w:val="nil"/>
              <w:bottom w:val="nil"/>
              <w:right w:val="nil"/>
            </w:tcBorders>
          </w:tcPr>
          <w:p>
            <w:pPr>
              <w:pStyle w:val="Normal6a"/>
            </w:pPr>
            <w:r>
              <w:t>17.</w:t>
            </w:r>
            <w:r>
              <w:tab/>
            </w:r>
            <w:r>
              <w:t xml:space="preserve">saprot, ka nolūkā </w:t>
            </w:r>
            <w:r>
              <w:rPr>
                <w:b/>
                <w:i/>
              </w:rPr>
              <w:t>iespējot un</w:t>
            </w:r>
            <w:r>
              <w:t xml:space="preserve"> stimulēt Eiropas institucionālos ieguldītājus, jo īpaši apdrošināšanas </w:t>
            </w:r>
            <w:r>
              <w:rPr>
                <w:b/>
                <w:i/>
              </w:rPr>
              <w:t>uzņēmumus un arodpensijas kapitāla uzkrāšanas institūcijas, ieguldīt pamatkapitālā ir būtiska, lai samazinātu augošo uzņēmumu deficītu;</w:t>
            </w:r>
            <w:r>
              <w:t xml:space="preserve"> </w:t>
            </w:r>
            <w:r>
              <w:rPr>
                <w:b/>
                <w:i/>
              </w:rPr>
              <w:t>atzīst priekšrocības, ko sniedz apdrošinātāju un arodpensijas fondu lielāka iesaiste akcijās un investīciju fondos, ja tas ir finansiāli pamatoti;</w:t>
            </w:r>
            <w:r>
              <w:t xml:space="preserve"> </w:t>
            </w:r>
            <w:r>
              <w:rPr>
                <w:b/>
                <w:i/>
              </w:rPr>
              <w:t>uzsver vajadzību veicināt labvēlīgu satvaru</w:t>
            </w:r>
            <w:r>
              <w:t xml:space="preserve"> riska kapitāla </w:t>
            </w:r>
            <w:r>
              <w:rPr>
                <w:b/>
                <w:i/>
              </w:rPr>
              <w:t>finansējumam un drošām ārvalstu tiešajām investīcijām 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354</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17.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saprot, ka nolūkā mazināt augošo uzņēmumu deficītu ir svarīgi stimulēt Eiropas institucionālos ieguldītājus, jo īpaši apdrošināšanas sabiedrības un pensiju fondus; norāda, ka riska kapitāla fondu īpatsvars Eiropā ir jāpalielina, lai nodrošinātu lielāku finansējumu augošiem uzņēmumiem;</w:t>
            </w:r>
          </w:p>
        </w:tc>
        <w:tc>
          <w:tcPr>
            <w:tcW w:w="4876" w:type="dxa"/>
            <w:tcBorders>
              <w:top w:val="nil"/>
              <w:left w:val="nil"/>
              <w:bottom w:val="nil"/>
              <w:right w:val="nil"/>
            </w:tcBorders>
          </w:tcPr>
          <w:p>
            <w:pPr>
              <w:pStyle w:val="Normal6a"/>
            </w:pPr>
            <w:r>
              <w:t>17.</w:t>
            </w:r>
            <w:r>
              <w:tab/>
            </w:r>
            <w:r>
              <w:t>saprot, ka nolūkā mazināt augošo uzņēmumu deficītu ir svarīgi stimulēt Eiropas institucionālos ieguldītājus</w:t>
            </w:r>
            <w:r>
              <w:rPr>
                <w:b/>
                <w:i/>
              </w:rPr>
              <w:t>, kas var darboties kā starpnieki starp privātajiem klientiem un ieguldījumu saņēmējiem</w:t>
            </w:r>
            <w:r>
              <w:t xml:space="preserve">, jo īpaši apdrošināšanas sabiedrības un pensiju fondus; norāda, ka riska kapitāla fondu īpatsvars Eiropā ir jāpalielina, lai nodrošinātu lielāku finansējumu augošiem uzņēmumiem; </w:t>
            </w:r>
            <w:r>
              <w:rPr>
                <w:b/>
                <w:i/>
              </w:rPr>
              <w:t>aicina Eiropas Komisiju izveidot normatīvo vidi, kas veicinātu institucionālo ieguldītāju kapitālieguldījumus;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355</w:t>
      </w:r>
      <w:r>
        <w:rPr>
          <w:rStyle w:val="HideTWBExt"/>
        </w:rPr>
        <w:t>&lt;/NumAm&gt;</w:t>
      </w:r>
    </w:p>
    <w:p>
      <w:pPr>
        <w:pStyle w:val="NormalBold"/>
      </w:pPr>
      <w:r>
        <w:rPr>
          <w:rStyle w:val="HideTWBExt"/>
          <w:b w:val="0"/>
        </w:rPr>
        <w:t>&lt;RepeatBlock-By&gt;</w:t>
      </w:r>
      <w:r>
        <w:rPr>
          <w:rStyle w:val="HideTWBExt"/>
          <w:b w:val="0"/>
        </w:rPr>
        <w:t>&lt;Members&gt;</w:t>
      </w:r>
      <w:r>
        <w:t>Billy Kelleher, Pascal Canfin, Stéphanie Yon-Courtin,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17.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saprot, ka nolūkā mazināt augošo uzņēmumu deficītu ir svarīgi stimulēt Eiropas institucionālos ieguldītājus, jo īpaši apdrošināšanas sabiedrības un pensiju fondus; norāda</w:t>
            </w:r>
            <w:r>
              <w:rPr>
                <w:b/>
                <w:i/>
              </w:rPr>
              <w:t>, ka</w:t>
            </w:r>
            <w:r>
              <w:t xml:space="preserve"> riska kapitāla fondu </w:t>
            </w:r>
            <w:r>
              <w:rPr>
                <w:b/>
                <w:i/>
              </w:rPr>
              <w:t>īpatsvars Eiropā ir jāpalielina, lai nodrošinātu lielāku finansējumu augošiem uzņēmumiem</w:t>
            </w:r>
            <w:r>
              <w:t>;</w:t>
            </w:r>
          </w:p>
        </w:tc>
        <w:tc>
          <w:tcPr>
            <w:tcW w:w="4876" w:type="dxa"/>
            <w:tcBorders>
              <w:top w:val="nil"/>
              <w:left w:val="nil"/>
              <w:bottom w:val="nil"/>
              <w:right w:val="nil"/>
            </w:tcBorders>
          </w:tcPr>
          <w:p>
            <w:pPr>
              <w:pStyle w:val="Normal6a"/>
            </w:pPr>
            <w:r>
              <w:t>17.</w:t>
            </w:r>
            <w:r>
              <w:tab/>
            </w:r>
            <w:r>
              <w:t>saprot, ka nolūkā mazināt augošo uzņēmumu deficītu ir svarīgi stimulēt Eiropas institucionālos ieguldītājus, jo īpaši apdrošināšanas sabiedrības</w:t>
            </w:r>
            <w:r>
              <w:rPr>
                <w:b/>
                <w:i/>
              </w:rPr>
              <w:t>, bankas</w:t>
            </w:r>
            <w:r>
              <w:t xml:space="preserve"> un pensiju fondus; norāda </w:t>
            </w:r>
            <w:r>
              <w:rPr>
                <w:b/>
                <w:i/>
              </w:rPr>
              <w:t>uz riska kapitāla, izaugsmes un privātā kapitāla fondu potenciālu nodrošināt lielāku finansējumu MVU un augošiem uzņēmumiem un mudina Komisiju apsvērt pasākumus, lai uzlabotu pārrobežu</w:t>
            </w:r>
            <w:r>
              <w:t xml:space="preserve"> riska kapitāla fondu </w:t>
            </w:r>
            <w:r>
              <w:rPr>
                <w:b/>
                <w:i/>
              </w:rPr>
              <w:t>ieguldījumu vidi kā daļu no uzkrājumu un investīciju savienības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356</w:t>
      </w:r>
      <w:r>
        <w:rPr>
          <w:rStyle w:val="HideTWBExt"/>
        </w:rPr>
        <w:t>&lt;/NumAm&gt;</w:t>
      </w:r>
    </w:p>
    <w:p>
      <w:pPr>
        <w:pStyle w:val="NormalBold"/>
      </w:pPr>
      <w:r>
        <w:rPr>
          <w:rStyle w:val="HideTWBExt"/>
          <w:b w:val="0"/>
        </w:rPr>
        <w:t>&lt;RepeatBlock-By&gt;</w:t>
      </w:r>
      <w:r>
        <w:rPr>
          <w:rStyle w:val="HideTWBExt"/>
          <w:b w:val="0"/>
        </w:rPr>
        <w:t>&lt;Members&gt;</w:t>
      </w:r>
      <w:r>
        <w:t>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17.a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uzsver, ka valsts atbalstu var izmantot ne tikai iekšējā tirgus pienācīgas darbības nodrošināšanai, bet arī kā stratēģisku instrumentu Eiropas ražošanas struktūras ilgtspējīgas izaugsmes veicināšanai;</w:t>
            </w:r>
            <w:r>
              <w:t xml:space="preserve"> </w:t>
            </w:r>
            <w:r>
              <w:rPr>
                <w:b/>
                <w:i/>
              </w:rPr>
              <w:t>tādēļ aicina Komisiju vērīgi izvērtēt valsts atbalsta potenciālu radīt labvēlīgus apstākļus mazo un vidējo uzņēmumu un augošo uzņēmumu attīstībai un noturībai, jo īpaši tādās inovatīvās un stratēģiski nozīmīgās nozarēs kā enerģētika un tehnoloģijas, kā arī mazāk labvēlīgā situācijā esošos un mazāk attīstītos Savienības reģionos;</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357</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17.a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aicina Komisiju atbalstīt īpašu MVU un augošo uzņēmumu izaugsmes tirgu attīstību, lai uzlabotu inovatīvu uzņēmumu piekļuvi publiskiem kapitāla tirgiem un atvieglotu investoru līdzdalības samazināšanu vai izbeigšanu;</w:t>
            </w:r>
            <w:r>
              <w:t xml:space="preserve"> </w:t>
            </w:r>
            <w:r>
              <w:rPr>
                <w:b/>
                <w:i/>
              </w:rPr>
              <w:t>atbalsta ES mēroga regulējuma izveidi MVU un augošu uzņēmumu biržu izveidei ar vienkāršotām prasībām iekļaušanai biržas sarakstā un labāku ieguldītāju aizsardzību;</w:t>
            </w:r>
            <w:r>
              <w:t xml:space="preserve"> </w:t>
            </w:r>
            <w:r>
              <w:rPr>
                <w:b/>
                <w:i/>
              </w:rPr>
              <w:t>mudina Eiropas Komisiju izveidot vienotu ES akciju tirgus fondu, lai institucionālos ieguldījumus novirzītu kapitāla tirgiem, tostarp jaunuzņēmumiem;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358</w:t>
      </w:r>
      <w:r>
        <w:rPr>
          <w:rStyle w:val="HideTWBExt"/>
        </w:rPr>
        <w:t>&lt;/NumAm&gt;</w:t>
      </w:r>
    </w:p>
    <w:p>
      <w:pPr>
        <w:pStyle w:val="NormalBold"/>
      </w:pPr>
      <w:r>
        <w:rPr>
          <w:rStyle w:val="HideTWBExt"/>
          <w:b w:val="0"/>
        </w:rPr>
        <w:t>&lt;RepeatBlock-By&gt;</w:t>
      </w:r>
      <w:r>
        <w:rPr>
          <w:rStyle w:val="HideTWBExt"/>
          <w:b w:val="0"/>
        </w:rPr>
        <w:t>&lt;Members&gt;</w:t>
      </w:r>
      <w:r>
        <w:t>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17.a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aicina Komisiju un Eiropas Vērtspapīru un tirgu iestādi nodrošināt, ka deleģētie un īstenošanas akti saistībā ar tiesību aktu kopumu par iekļaušanu biržas sarakstā ir pēc iespējas vienkārši un ka slogs tiek samazināts līdz minimumam;</w:t>
            </w:r>
            <w:r>
              <w:t xml:space="preserve"> </w:t>
            </w:r>
            <w:r>
              <w:rPr>
                <w:b/>
                <w:i/>
              </w:rPr>
              <w:t>atgādina, ka 2024. gada aprīlī tika pieņemta tiesību aktu pakete par iekļaušanu biržas sarakstā, lai atvieglotu mazāku uzņēmumu iekļaušanu biržas sarakstā;</w:t>
            </w:r>
            <w:r>
              <w:t xml:space="preserve"> </w:t>
            </w:r>
            <w:r>
              <w:rPr>
                <w:b/>
                <w:i/>
              </w:rPr>
              <w:t>pauž bažas par ierobežojumiem jaunu akcionāru aizsardzībai, kurus var pieņemt pēc valstu ieskatiem un kuri var radīt šķēršļus kapitāla tirgu integrācijai;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359</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17.a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uzsver, ka pašu kapitāls ir galvenais finanšu instruments inovatīviem un strauji augošiem uzņēmumiem, jo īpaši agrīnajos un augšanas posmos;</w:t>
            </w:r>
            <w:r>
              <w:t xml:space="preserve"> </w:t>
            </w:r>
            <w:r>
              <w:rPr>
                <w:b/>
                <w:i/>
              </w:rPr>
              <w:t>atgādina, ka riska kapitāla ierobežotā pieejamība daudzās dalībvalstīs un Eiropas kapitāla tirgu sadrumstalotība ierobežo Savienības uzņēmējdarbības struktūras konkurētspēju;</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360</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17.a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uzsver, ka sākotnējie publiskie piedāvājumi (SPP) uzņēmējiem ir svarīga izejas stratēģija;</w:t>
            </w:r>
            <w:r>
              <w:t xml:space="preserve"> </w:t>
            </w:r>
            <w:r>
              <w:rPr>
                <w:b/>
                <w:i/>
              </w:rPr>
              <w:t>uzskata, ka dinamisks SPP tirgus ir labi funkcionējošas finansēšanas ekosistēmas stūrakmens, kas sniedz labumu jauniem un inovatīviem uzņēmumiem;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361</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17.b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17.b</w:t>
            </w:r>
            <w:r>
              <w:tab/>
            </w:r>
            <w:r>
              <w:rPr>
                <w:b/>
                <w:i/>
              </w:rPr>
              <w:t>atgādina, ka piekļuve kapitāla tirgiem, tostarp gan parāda, gan kapitāla tirgiem, MVU rada ievērojamas izmaksas;</w:t>
            </w:r>
            <w:r>
              <w:t xml:space="preserve"> </w:t>
            </w:r>
            <w:r>
              <w:rPr>
                <w:b/>
                <w:i/>
              </w:rPr>
              <w:t>uzsver, ka ES regulējumam par iekļaušanu biržas sarakstā ir jābūt elastīgam un samērīgam;</w:t>
            </w:r>
            <w:r>
              <w:t xml:space="preserve"> </w:t>
            </w:r>
            <w:r>
              <w:rPr>
                <w:b/>
                <w:i/>
              </w:rPr>
              <w:t>atzinīgi vērtē tiesību akta par iekļaušanu biržas sarakstā pieņemšanu un prasa to nekavējoties īstenot;</w:t>
            </w:r>
            <w:r>
              <w:t xml:space="preserve"> </w:t>
            </w:r>
            <w:r>
              <w:rPr>
                <w:b/>
                <w:i/>
              </w:rPr>
              <w:t>uzsver, ka uzņēmumi pieņems lēmumu par iekļaušanu biržas sarakstā tikai tad, ja informācijas atklāšana, atbildība un administratīvais slogs būs pamatots un paveicams;</w:t>
            </w:r>
            <w:r>
              <w:t xml:space="preserve"> </w:t>
            </w:r>
            <w:r>
              <w:rPr>
                <w:b/>
                <w:i/>
              </w:rPr>
              <w:t>norāda, ka tas attiecas arī uz uzraudzības prasībām biržā kotētiem uzņēmumiem;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362</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17.b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17.b</w:t>
            </w:r>
            <w:r>
              <w:tab/>
            </w:r>
            <w:r>
              <w:rPr>
                <w:b/>
                <w:i/>
              </w:rPr>
              <w:t>uzsver, ka, lai piesaistītu vairāk riska kapitāla un veicinātu ieguldījumus inovatīvos uzņēmumos, ir jāuzlabo ieguldītāju izstāšanās mehānismi (kotēšanās biržās, pārrobežu iegāde utt.), izmantojot saskaņotāku un pieejamāku Eiropas regulējumu iekļaušanai biržas sarakstā un apvienošanai;</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363</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17.c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17.c</w:t>
            </w:r>
            <w:r>
              <w:tab/>
            </w:r>
            <w:r>
              <w:rPr>
                <w:b/>
                <w:i/>
              </w:rPr>
              <w:t>norāda, ka Finanšu instrumentu tirgus direktīvas (FITD II) pārstrādātajā redakcijā ir paredzēta īpaša tādu MVU izaugsmes tirgu kategorija, kuru uzdevums ir apmierināt mazāku uzņēmumu īpašās vajadzības;</w:t>
            </w:r>
            <w:r>
              <w:t xml:space="preserve"> </w:t>
            </w:r>
            <w:r>
              <w:rPr>
                <w:b/>
                <w:i/>
              </w:rPr>
              <w:t>aicina Eiropas Komisiju turpināt attīstīt šo instrumentu, nodrošinot elastīgāku regulatīvo režīmu, kas atbilst mazu un vidējas kapitalizācijas sabiedrību vajadzībām;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364</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17.d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17.d</w:t>
            </w:r>
            <w:r>
              <w:tab/>
            </w:r>
            <w:r>
              <w:rPr>
                <w:b/>
                <w:i/>
              </w:rPr>
              <w:t>aicina veikt ātru un vērienīgu Eiropas riska kapitāla fondu (EuVECA) regulas pārskatīšanu;</w:t>
            </w:r>
            <w:r>
              <w:t xml:space="preserve"> </w:t>
            </w:r>
            <w:r>
              <w:rPr>
                <w:b/>
                <w:i/>
              </w:rPr>
              <w:t>uzsver, ka šādā pārskatīšanā būtu jāietver ieguldāmo aktīvu un stratēģiju darbības jomas paplašināšana;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365</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18.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18.</w:t>
            </w:r>
            <w:r>
              <w:tab/>
            </w:r>
            <w:r>
              <w:rPr>
                <w:b/>
                <w:i/>
              </w:rPr>
              <w:t>mudina Komisiju stiprināt kolektīvo ieguldījumu platformas, lai piesaistītu privātos ieguldījumus;</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366</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18.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18.</w:t>
            </w:r>
            <w:r>
              <w:tab/>
            </w:r>
            <w:r>
              <w:rPr>
                <w:b/>
                <w:i/>
              </w:rPr>
              <w:t>mudina Komisiju stiprināt kolektīvo ieguldījumu platformas, lai piesaistītu privātos ieguldījumus;</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367</w:t>
      </w:r>
      <w:r>
        <w:rPr>
          <w:rStyle w:val="HideTWBExt"/>
        </w:rPr>
        <w:t>&lt;/NumAm&gt;</w:t>
      </w:r>
    </w:p>
    <w:p>
      <w:pPr>
        <w:pStyle w:val="NormalBold"/>
      </w:pPr>
      <w:r>
        <w:rPr>
          <w:rStyle w:val="HideTWBExt"/>
          <w:b w:val="0"/>
        </w:rPr>
        <w:t>&lt;RepeatBlock-By&gt;</w:t>
      </w:r>
      <w:r>
        <w:rPr>
          <w:rStyle w:val="HideTWBExt"/>
          <w:b w:val="0"/>
        </w:rPr>
        <w:t>&lt;Members&gt;</w:t>
      </w:r>
      <w:r>
        <w:t>Pascal Canfin, Stéphanie Yon-Courtin, Billy Kelleher,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18.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mudina Komisiju stiprināt kolektīvo ieguldījumu platformas, lai piesaistītu privātos ieguldījumus;</w:t>
            </w:r>
          </w:p>
        </w:tc>
        <w:tc>
          <w:tcPr>
            <w:tcW w:w="4876" w:type="dxa"/>
            <w:tcBorders>
              <w:top w:val="nil"/>
              <w:left w:val="nil"/>
              <w:bottom w:val="nil"/>
              <w:right w:val="nil"/>
            </w:tcBorders>
          </w:tcPr>
          <w:p>
            <w:pPr>
              <w:pStyle w:val="Normal6a"/>
            </w:pPr>
            <w:r>
              <w:t>18.</w:t>
            </w:r>
            <w:r>
              <w:tab/>
            </w:r>
            <w:r>
              <w:t xml:space="preserve">mudina Komisiju stiprināt kolektīvo ieguldījumu platformas, lai piesaistītu privātos ieguldījumus; </w:t>
            </w:r>
            <w:r>
              <w:rPr>
                <w:b/>
                <w:i/>
              </w:rPr>
              <w:t>prasa, lai Komisijas paziņojumā par uzkrājumu un investīciju savienību paredzētās Eiropas tehnoloģiju modeļu iniciatīvas 2.0 finanšu līdzekļi tiktu palielināti nolūkā atbalstīt ES finansējumu un jaunuzņēmumu iekļaušanu biržas sarakstos;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368</w:t>
      </w:r>
      <w:r>
        <w:rPr>
          <w:rStyle w:val="HideTWBExt"/>
        </w:rPr>
        <w:t>&lt;/NumAm&gt;</w:t>
      </w:r>
    </w:p>
    <w:p>
      <w:pPr>
        <w:pStyle w:val="NormalBold"/>
      </w:pPr>
      <w:r>
        <w:rPr>
          <w:rStyle w:val="HideTWBExt"/>
          <w:b w:val="0"/>
        </w:rPr>
        <w:t>&lt;RepeatBlock-By&gt;</w:t>
      </w:r>
      <w:r>
        <w:rPr>
          <w:rStyle w:val="HideTWBExt"/>
          <w:b w:val="0"/>
        </w:rPr>
        <w:t>&lt;Members&gt;</w:t>
      </w:r>
      <w:r>
        <w:t>Danuše Nerudová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18.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mudina Komisiju stiprināt kolektīvo ieguldījumu platformas, lai piesaistītu privātos ieguldījumus;</w:t>
            </w:r>
          </w:p>
        </w:tc>
        <w:tc>
          <w:tcPr>
            <w:tcW w:w="4876" w:type="dxa"/>
            <w:tcBorders>
              <w:top w:val="nil"/>
              <w:left w:val="nil"/>
              <w:bottom w:val="nil"/>
              <w:right w:val="nil"/>
            </w:tcBorders>
          </w:tcPr>
          <w:p>
            <w:pPr>
              <w:pStyle w:val="Normal6a"/>
            </w:pPr>
            <w:r>
              <w:t>18.</w:t>
            </w:r>
            <w:r>
              <w:tab/>
            </w:r>
            <w:r>
              <w:t xml:space="preserve">mudina Komisiju stiprināt kolektīvo ieguldījumu platformas, lai piesaistītu privātos ieguldījumus; </w:t>
            </w:r>
            <w:r>
              <w:rPr>
                <w:b/>
                <w:i/>
              </w:rPr>
              <w:t>atbalsta centienus stiprināt reģionāli iedibinātas līdzieguldījumu platformas un komerceņģeļu tīklus kā līdzekli, ar ko uzlabot kapitāla pieejamību strauji augošiem un inovāciju virzītiem MVU, tādējādi palīdzot novērst pastāvīgo agrīnā posma finansējuma trūkumu;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369</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18.a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uzsver, ka atbalsts MVU ir viens no svarīgākajiem EIB grupas mērķiem;</w:t>
            </w:r>
            <w:r>
              <w:t xml:space="preserve"> </w:t>
            </w:r>
            <w:r>
              <w:rPr>
                <w:b/>
                <w:i/>
              </w:rPr>
              <w:t>šajā sakarībā uzsver, ka ir jāpieņem elastīgāka riska novērtēšanas sistēma, lai labāk atbalstītu arī mazāka mēroga projektus un uzņēmumus, kas ir būtiski konkurētspējas uzlabošanai un iekļaujošas ekonomikas attīstības veicināšanai visās dalībvalstīs; uzsver, ka plašāka piekļuve kredītiem, pielāgotu finanšu instrumentu izveide un mērķtiecīgas investīcijas MVU var radīt plašu pozitīvu ietekmi, veicinot Savienības ekonomikas noturību;</w:t>
            </w:r>
            <w:r>
              <w:t xml:space="preserve"> </w:t>
            </w:r>
            <w:r>
              <w:rPr>
                <w:b/>
                <w:i/>
              </w:rPr>
              <w:t>aicina EIB nodrošināt lielāku finansējumu privāto ieguldījumu piesaistē;</w:t>
            </w:r>
            <w:r>
              <w:t xml:space="preserve"> </w:t>
            </w:r>
            <w:r>
              <w:rPr>
                <w:b/>
                <w:i/>
              </w:rPr>
              <w:t>aicina EIB grupu ievērojami palielināt tās ikgadējā finansējuma daļu, kas piešķirta privātā sektora ieguldījumiem, atzīstot to būtisko nozīmi ekonomikas izaugsmes, darbvietu radīšanas un tehnoloģiskā progresa veicināšanā Eiropas Savienībā;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370</w:t>
      </w:r>
      <w:r>
        <w:rPr>
          <w:rStyle w:val="HideTWBExt"/>
        </w:rPr>
        <w:t>&lt;/NumAm&gt;</w:t>
      </w:r>
    </w:p>
    <w:p>
      <w:pPr>
        <w:pStyle w:val="NormalBold"/>
      </w:pPr>
      <w:r>
        <w:rPr>
          <w:rStyle w:val="HideTWBExt"/>
          <w:b w:val="0"/>
        </w:rPr>
        <w:t>&lt;RepeatBlock-By&gt;</w:t>
      </w:r>
      <w:r>
        <w:rPr>
          <w:rStyle w:val="HideTWBExt"/>
          <w:b w:val="0"/>
        </w:rPr>
        <w:t>&lt;Members&gt;</w:t>
      </w:r>
      <w:r>
        <w:t>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18.a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piekrīt uzkrājumu un investīciju savienības paziņojumam par to, cik svarīgs ir ES līmeņa publiskais finansiālais atbalsts izaugsmes uzņēmumu finansēšanai;</w:t>
            </w:r>
            <w:r>
              <w:t xml:space="preserve"> </w:t>
            </w:r>
            <w:r>
              <w:rPr>
                <w:b/>
                <w:i/>
              </w:rPr>
              <w:t>šajā sakarībā aicina pārorientēt ES fondus, paredzot tajos mazāk programmu un lielāku elastību, lai laika gaitā varētu novirzītu naudu no vienas prioritātes citai;</w:t>
            </w:r>
            <w:r>
              <w:t xml:space="preserve"> </w:t>
            </w:r>
            <w:r>
              <w:rPr>
                <w:b/>
                <w:i/>
              </w:rPr>
              <w:t>iesaka izveidot īpašas finansēšanas shēmas augošiem tehnoloģiju uzņēmumiem;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371</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18.a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mudina Komisiju pārskatīt PKUI II direktīvu, kuras mērķis ir piesaistīt jo īpaši apdrošināšanas un pensiju fondus un palielināt to ieguldījumu daļu riska kapitāla fondos Eiropā nolūkā nodrošināt lielāku finansējumu jaunuzņēmumiem un augošiem uzņēmumiem;</w:t>
            </w:r>
            <w:r>
              <w:t xml:space="preserve"> </w:t>
            </w:r>
            <w:r>
              <w:rPr>
                <w:b/>
                <w:i/>
              </w:rPr>
              <w:t>institucionālo ieguldītāju iesaistīšana ir būtiska, lai samazinātu augošu uzņēmumu un ieguldījumu nepietiekamību Eiropā;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372</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18.b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18.b</w:t>
            </w:r>
            <w:r>
              <w:tab/>
            </w:r>
            <w:r>
              <w:rPr>
                <w:b/>
                <w:i/>
              </w:rPr>
              <w:t>atzinīgi vērtē gaidāmo Eiropas Investīciju bankas TechEU platformas darbības uzsākšanu un uzsver tās potenciālu novērst kritisko finansējuma trūkumu, ar ko saskaras jaunuzņēmumi tehnoloģiju nozarē;</w:t>
            </w:r>
            <w:r>
              <w:t xml:space="preserve"> </w:t>
            </w:r>
            <w:r>
              <w:rPr>
                <w:b/>
                <w:i/>
              </w:rPr>
              <w:t>aicina EIB grupu nodrošināt, ka TechEU platforma būs plaši pieejama visās dalībvalstīs, tostarp izmantojot vienkāršotas procedūras, lai nodrošinātu, ka tā piesaista talantus, investīcijas un kapitālu visās ES dalībvalstīs;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373</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19.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19.</w:t>
            </w:r>
            <w:r>
              <w:tab/>
            </w:r>
            <w:r>
              <w:rPr>
                <w:b/>
                <w:i/>
              </w:rPr>
              <w:t>uzsver, ka ir svarīgi novirzīt iedzīvotāju ietaupījumus produktīvos ieguldījumu instrumentos, kas var dot labumu MVU un augošiem uzņēmumiem;</w:t>
            </w:r>
            <w:r>
              <w:t xml:space="preserve"> </w:t>
            </w:r>
            <w:r>
              <w:rPr>
                <w:b/>
                <w:i/>
              </w:rPr>
              <w:t>mudina Komisiju veicināt vienkāršus un drošus privāto ieguldījumu kanālus un novērst regulatīvos šķēršļus;</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374</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19.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19.</w:t>
            </w:r>
            <w:r>
              <w:tab/>
            </w:r>
            <w:r>
              <w:rPr>
                <w:b/>
                <w:i/>
              </w:rPr>
              <w:t>uzsver, ka ir svarīgi novirzīt iedzīvotāju ietaupījumus produktīvos ieguldījumu instrumentos, kas var dot labumu MVU un augošiem uzņēmumiem;</w:t>
            </w:r>
            <w:r>
              <w:t xml:space="preserve"> </w:t>
            </w:r>
            <w:r>
              <w:rPr>
                <w:b/>
                <w:i/>
              </w:rPr>
              <w:t>mudina Komisiju veicināt vienkāršus un drošus privāto ieguldījumu kanālus un novērst regulatīvos šķēršļus;</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375</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19.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uzsver, ka ir svarīgi novirzīt iedzīvotāju ietaupījumus produktīvos ieguldījumu instrumentos, kas var dot labumu MVU un augošiem uzņēmumiem; </w:t>
            </w:r>
            <w:r>
              <w:rPr>
                <w:b/>
                <w:i/>
              </w:rPr>
              <w:t>mudina Komisiju veicināt vienkāršus un drošus privāto ieguldījumu kanālus un novērst regulatīvos šķēršļus</w:t>
            </w:r>
            <w:r>
              <w:t>;</w:t>
            </w:r>
          </w:p>
        </w:tc>
        <w:tc>
          <w:tcPr>
            <w:tcW w:w="4876" w:type="dxa"/>
            <w:tcBorders>
              <w:top w:val="nil"/>
              <w:left w:val="nil"/>
              <w:bottom w:val="nil"/>
              <w:right w:val="nil"/>
            </w:tcBorders>
          </w:tcPr>
          <w:p>
            <w:pPr>
              <w:pStyle w:val="Normal6a"/>
            </w:pPr>
            <w:r>
              <w:t>19.</w:t>
            </w:r>
            <w:r>
              <w:tab/>
            </w:r>
            <w:r>
              <w:t xml:space="preserve">uzsver, ka ir svarīgi novirzīt iedzīvotāju ietaupījumus produktīvos ieguldījumu instrumentos, kas var dot labumu MVU un augošiem uzņēmumiem; </w:t>
            </w:r>
            <w:r>
              <w:rPr>
                <w:b/>
                <w:i/>
              </w:rPr>
              <w:t>norāda, ka piekļuves un diversifikācijas apsvērumu dēļ privātajiem ieguldītājiem bieži vien ir grūti veikt tiešus ieguldījumus MVU un augošos uzņēmumos un ka šajā ziņā būtiska nozīme ir starpniekiem, piemēram, apdrošināšanas sabiedrībām un pensiju fondiem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376</w:t>
      </w:r>
      <w:r>
        <w:rPr>
          <w:rStyle w:val="HideTWBExt"/>
        </w:rPr>
        <w:t>&lt;/NumAm&gt;</w:t>
      </w:r>
    </w:p>
    <w:p>
      <w:pPr>
        <w:pStyle w:val="NormalBold"/>
      </w:pPr>
      <w:r>
        <w:rPr>
          <w:rStyle w:val="HideTWBExt"/>
          <w:b w:val="0"/>
        </w:rPr>
        <w:t>&lt;RepeatBlock-By&gt;</w:t>
      </w:r>
      <w:r>
        <w:rPr>
          <w:rStyle w:val="HideTWBExt"/>
          <w:b w:val="0"/>
        </w:rPr>
        <w:t>&lt;Members&gt;</w:t>
      </w:r>
      <w:r>
        <w:t>Tsvetelina Penkova,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19.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uzsver, ka ir svarīgi novirzīt iedzīvotāju ietaupījumus produktīvos ieguldījumu instrumentos, kas var dot labumu MVU un augošiem uzņēmumiem; mudina Komisiju veicināt vienkāršus un drošus privāto ieguldījumu kanālus un </w:t>
            </w:r>
            <w:r>
              <w:rPr>
                <w:b/>
                <w:i/>
              </w:rPr>
              <w:t>novērst regulatīvos šķēršļus</w:t>
            </w:r>
            <w:r>
              <w:t>;</w:t>
            </w:r>
          </w:p>
        </w:tc>
        <w:tc>
          <w:tcPr>
            <w:tcW w:w="4876" w:type="dxa"/>
            <w:tcBorders>
              <w:top w:val="nil"/>
              <w:left w:val="nil"/>
              <w:bottom w:val="nil"/>
              <w:right w:val="nil"/>
            </w:tcBorders>
          </w:tcPr>
          <w:p>
            <w:pPr>
              <w:pStyle w:val="Normal6a"/>
            </w:pPr>
            <w:r>
              <w:t>19.</w:t>
            </w:r>
            <w:r>
              <w:tab/>
            </w:r>
            <w:r>
              <w:t xml:space="preserve">uzsver, ka ir svarīgi novirzīt iedzīvotāju ietaupījumus produktīvos ieguldījumu instrumentos, kas var dot labumu MVU un augošiem uzņēmumiem; mudina Komisiju veicināt vienkāršus un drošus privāto ieguldījumu kanālus un </w:t>
            </w:r>
            <w:r>
              <w:rPr>
                <w:b/>
                <w:i/>
              </w:rPr>
              <w:t>nodrošināt, ka privātie ieguldītāji tiek pienācīgi aizsargāti, kad tiek pieņemti lēmumi par ieguldījumiem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377</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19.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uzsver, ka ir svarīgi </w:t>
            </w:r>
            <w:r>
              <w:rPr>
                <w:b/>
                <w:i/>
              </w:rPr>
              <w:t>novirzīt</w:t>
            </w:r>
            <w:r>
              <w:t xml:space="preserve"> iedzīvotāju </w:t>
            </w:r>
            <w:r>
              <w:rPr>
                <w:b/>
                <w:i/>
              </w:rPr>
              <w:t>ietaupījumus</w:t>
            </w:r>
            <w:r>
              <w:t xml:space="preserve"> produktīvos ieguldījumu instrumentos, kas var dot labumu MVU un augošiem uzņēmumiem; mudina Komisiju veicināt vienkāršus un drošus privāto ieguldījumu </w:t>
            </w:r>
            <w:r>
              <w:rPr>
                <w:b/>
                <w:i/>
              </w:rPr>
              <w:t>kanālus</w:t>
            </w:r>
            <w:r>
              <w:t xml:space="preserve"> un novērst regulatīvos šķēršļus;</w:t>
            </w:r>
          </w:p>
        </w:tc>
        <w:tc>
          <w:tcPr>
            <w:tcW w:w="4876" w:type="dxa"/>
            <w:tcBorders>
              <w:top w:val="nil"/>
              <w:left w:val="nil"/>
              <w:bottom w:val="nil"/>
              <w:right w:val="nil"/>
            </w:tcBorders>
          </w:tcPr>
          <w:p>
            <w:pPr>
              <w:pStyle w:val="Normal6a"/>
            </w:pPr>
            <w:r>
              <w:t>19.</w:t>
            </w:r>
            <w:r>
              <w:tab/>
            </w:r>
            <w:r>
              <w:t xml:space="preserve">uzsver, ka ir svarīgi </w:t>
            </w:r>
            <w:r>
              <w:rPr>
                <w:b/>
                <w:i/>
              </w:rPr>
              <w:t>radīt pareizos apstākļus</w:t>
            </w:r>
            <w:r>
              <w:t xml:space="preserve"> iedzīvotāju </w:t>
            </w:r>
            <w:r>
              <w:rPr>
                <w:b/>
                <w:i/>
              </w:rPr>
              <w:t>ietaupījumu novirzīšanai</w:t>
            </w:r>
            <w:r>
              <w:t xml:space="preserve"> produktīvos ieguldījumu instrumentos, kas var dot labumu MVU un augošiem uzņēmumiem; mudina Komisiju veicināt vienkāršus un drošus privāto ieguldījumu </w:t>
            </w:r>
            <w:r>
              <w:rPr>
                <w:b/>
                <w:i/>
              </w:rPr>
              <w:t>produktus</w:t>
            </w:r>
            <w:r>
              <w:t xml:space="preserve"> un novērst regulatīvos šķēršļus;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378</w:t>
      </w:r>
      <w:r>
        <w:rPr>
          <w:rStyle w:val="HideTWBExt"/>
        </w:rPr>
        <w:t>&lt;/NumAm&gt;</w:t>
      </w:r>
    </w:p>
    <w:p>
      <w:pPr>
        <w:pStyle w:val="NormalBold"/>
      </w:pPr>
      <w:r>
        <w:rPr>
          <w:rStyle w:val="HideTWBExt"/>
          <w:b w:val="0"/>
        </w:rPr>
        <w:t>&lt;RepeatBlock-By&gt;</w:t>
      </w:r>
      <w:r>
        <w:rPr>
          <w:rStyle w:val="HideTWBExt"/>
          <w:b w:val="0"/>
        </w:rPr>
        <w:t>&lt;Members&gt;</w:t>
      </w:r>
      <w:r>
        <w:t>Arba Kokalari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19.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uzsver, ka ir svarīgi </w:t>
            </w:r>
            <w:r>
              <w:rPr>
                <w:b/>
                <w:i/>
              </w:rPr>
              <w:t>novirzīt iedzīvotāju ietaupījumus produktīvos ieguldījumu instrumentos, kas</w:t>
            </w:r>
            <w:r>
              <w:t xml:space="preserve"> var dot labumu MVU un augošiem uzņēmumiem; mudina Komisiju veicināt vienkāršus un drošus privāto ieguldījumu kanālus un novērst regulatīvos šķēršļus;</w:t>
            </w:r>
          </w:p>
        </w:tc>
        <w:tc>
          <w:tcPr>
            <w:tcW w:w="4876" w:type="dxa"/>
            <w:tcBorders>
              <w:top w:val="nil"/>
              <w:left w:val="nil"/>
              <w:bottom w:val="nil"/>
              <w:right w:val="nil"/>
            </w:tcBorders>
          </w:tcPr>
          <w:p>
            <w:pPr>
              <w:pStyle w:val="Normal6a"/>
            </w:pPr>
            <w:r>
              <w:t>19.</w:t>
            </w:r>
            <w:r>
              <w:tab/>
            </w:r>
            <w:r>
              <w:t xml:space="preserve">uzsver, ka ir svarīgi </w:t>
            </w:r>
            <w:r>
              <w:rPr>
                <w:b/>
                <w:i/>
              </w:rPr>
              <w:t>palielināt privāto ieguldītāju līdzdalību kapitāla tirgos, jo tas</w:t>
            </w:r>
            <w:r>
              <w:t xml:space="preserve"> var dot labumu MVU un augošiem uzņēmumiem; mudina Komisiju veicināt vienkāršus un drošus privāto ieguldījumu kanālus un novērst regulatīvos šķēršļus;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379</w:t>
      </w:r>
      <w:r>
        <w:rPr>
          <w:rStyle w:val="HideTWBExt"/>
        </w:rPr>
        <w:t>&lt;/NumAm&gt;</w:t>
      </w:r>
    </w:p>
    <w:p>
      <w:pPr>
        <w:pStyle w:val="NormalBold"/>
      </w:pPr>
      <w:r>
        <w:rPr>
          <w:rStyle w:val="HideTWBExt"/>
          <w:b w:val="0"/>
        </w:rPr>
        <w:t>&lt;RepeatBlock-By&gt;</w:t>
      </w:r>
      <w:r>
        <w:rPr>
          <w:rStyle w:val="HideTWBExt"/>
          <w:b w:val="0"/>
        </w:rPr>
        <w:t>&lt;Members&gt;</w:t>
      </w:r>
      <w:r>
        <w:t>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19.a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aicina Komisiju un Eiropas uzraudzības iestādes pārskatīt normatīvo un prudenciālo regulējumu finanšu jomā, lai, nodrošinot labāku līdzsvaru starp finanšu stabilitāti un atbalstu reālajai ekonomikai, uzlabotu MVU un augošo uzņēmumu piekļuvi banku kredītiem;</w:t>
            </w:r>
            <w:r>
              <w:t xml:space="preserve"> </w:t>
            </w:r>
            <w:r>
              <w:rPr>
                <w:b/>
                <w:i/>
              </w:rPr>
              <w:t>uzsver, ka vietējām un reģionālajām bankām un kooperatīvajām krājaizdevu sabiedrībām, kuru darbība dziļi sakņojas vietējā ražošanas struktūrā, ir ārkārtīgi svarīga nozīme gan MVU stabilitātes novērtēšanā, gan šo uzņēmumu konkrēto vajadzību apmierināšanā;</w:t>
            </w:r>
            <w:r>
              <w:t xml:space="preserve"> </w:t>
            </w:r>
            <w:r>
              <w:rPr>
                <w:b/>
                <w:i/>
              </w:rPr>
              <w:t>aicina Eiropas tiesiskajā regulējumā atbalstīt — nevis nostādīt nelabvēlīgā situācijā ― šos ekonomikas dalībniekus, veicinot iekļaujošāku un uz attīstību orientētu finanšu sistēmu;</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380</w:t>
      </w:r>
      <w:r>
        <w:rPr>
          <w:rStyle w:val="HideTWBExt"/>
        </w:rPr>
        <w:t>&lt;/NumAm&gt;</w:t>
      </w:r>
    </w:p>
    <w:p>
      <w:pPr>
        <w:pStyle w:val="NormalBold"/>
      </w:pPr>
      <w:r>
        <w:rPr>
          <w:rStyle w:val="HideTWBExt"/>
          <w:b w:val="0"/>
        </w:rPr>
        <w:t>&lt;RepeatBlock-By&gt;</w:t>
      </w:r>
      <w:r>
        <w:rPr>
          <w:rStyle w:val="HideTWBExt"/>
          <w:b w:val="0"/>
        </w:rPr>
        <w:t>&lt;Members&gt;</w:t>
      </w:r>
      <w:r>
        <w:t>Billy Kelleher, Pascal Canfin, Stéphanie Yon-Courtin,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19.a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uzsver, ka ir pieņemta regula, ar ko izveido Eiropas vienoto piekļuves punktu (ESAP) un kas radīs ES mēroga datubāzi, kurā būs viegli meklēt finanšu un nefinanšu ziņošanas datus un kura darbosies no 2027. gada;</w:t>
            </w:r>
            <w:r>
              <w:t xml:space="preserve"> </w:t>
            </w:r>
            <w:r>
              <w:rPr>
                <w:b/>
                <w:i/>
              </w:rPr>
              <w:t>norāda, ka ESAP regula ļauj MVU brīvprātīgi iesniegt savu finanšu un nefinanšu informāciju šajā centralizētajā datubāzē, lai palielinātu to pamanāmību potenciālo ieguldītāju vidū;</w:t>
            </w:r>
            <w:r>
              <w:t xml:space="preserve"> </w:t>
            </w:r>
            <w:r>
              <w:rPr>
                <w:b/>
                <w:i/>
              </w:rPr>
              <w:t>mudina MVU un jaunuzņēmumus veikt šo brīvprātīgo iesniegšanu;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381</w:t>
      </w:r>
      <w:r>
        <w:rPr>
          <w:rStyle w:val="HideTWBExt"/>
        </w:rPr>
        <w:t>&lt;/NumAm&gt;</w:t>
      </w:r>
    </w:p>
    <w:p>
      <w:pPr>
        <w:pStyle w:val="NormalBold"/>
      </w:pPr>
      <w:r>
        <w:rPr>
          <w:rStyle w:val="HideTWBExt"/>
          <w:b w:val="0"/>
        </w:rPr>
        <w:t>&lt;RepeatBlock-By&gt;</w:t>
      </w:r>
      <w:r>
        <w:rPr>
          <w:rStyle w:val="HideTWBExt"/>
          <w:b w:val="0"/>
        </w:rPr>
        <w:t>&lt;Members&gt;</w:t>
      </w:r>
      <w:r>
        <w:t>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19.a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atzinīgi vērtē Komisijas nodomu, kas izklāstīts 28. maija ES jaunuzņēmumu un augošo uzņēmumu stratēģijā, izstrādāt intelektuālā īpašuma (IĪ) novērtēšanas sistēmu ar intelektuālo īpašumu nodrošinātam finansējumam;</w:t>
            </w:r>
            <w:r>
              <w:t xml:space="preserve"> </w:t>
            </w:r>
            <w:r>
              <w:rPr>
                <w:b/>
                <w:i/>
              </w:rPr>
              <w:t>mudina Komisiju to papildināt, izveidojot Eiropas mēroga garantiju instrumentu ar IĪ nodrošinātiem aizdevumiem MVU;</w:t>
            </w:r>
            <w:r>
              <w:t xml:space="preserve"> </w:t>
            </w:r>
            <w:r>
              <w:rPr>
                <w:b/>
                <w:i/>
              </w:rPr>
              <w:t>uzskata, ka šāds garantiju instruments būtu jāapsver saistībā ar nākamo 28. režīmu;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382</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19.a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atzīst kolektīvās finansēšanas platformu (crowdfunding) un jaunu tehnoloģisko rīku, piemēram, viedlīgumu un decentralizēta finansējuma, potenciālu paplašināt MVU piekļuvi nepastarpinātajam finansējumam;</w:t>
            </w:r>
            <w:r>
              <w:t xml:space="preserve"> </w:t>
            </w:r>
            <w:r>
              <w:rPr>
                <w:b/>
                <w:i/>
              </w:rPr>
              <w:t>aicina Komisiju pārskatīt savu tiesisko regulējumu, izmantojot pieeju, kuras pamatā ir inovācija un samērīgs risks;</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383</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19.a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prasa paātrināt ES riska kapitāla un privātā kapitāla tirgu attīstību, uzlabojot finansējuma pieejamību riska kapitāla ieguldījumiem, attīstot lielākus vēlāka attīstības posma riska kapitāla fondus, publiskas programmas riska kapitāla un komerceņģeļu ieguldījumiem un aktīvus SPP tirgus uzņēmumiem, kuru pamatā ir riska kapitāls;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384</w:t>
      </w:r>
      <w:r>
        <w:rPr>
          <w:rStyle w:val="HideTWBExt"/>
        </w:rPr>
        <w:t>&lt;/NumAm&gt;</w:t>
      </w:r>
    </w:p>
    <w:p>
      <w:pPr>
        <w:pStyle w:val="NormalBold"/>
      </w:pPr>
      <w:r>
        <w:rPr>
          <w:rStyle w:val="HideTWBExt"/>
          <w:b w:val="0"/>
        </w:rPr>
        <w:t>&lt;RepeatBlock-By&gt;</w:t>
      </w:r>
      <w:r>
        <w:rPr>
          <w:rStyle w:val="HideTWBExt"/>
          <w:b w:val="0"/>
        </w:rPr>
        <w:t>&lt;Members&gt;</w:t>
      </w:r>
      <w:r>
        <w:t>Danuše Nerudová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19.a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mudina Komisiju un dalībvalstis par prioritāti noteikt tādu Eiropas mēroga investīciju platformu un pārrobežu finansēšanas instrumentu izstrādi, kas pielāgoti MVU un augošiem uzņēmumiem, jo īpaši tiem, kas darbojas uz inovāciju balstītās un zaļajās nozarēs;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385</w:t>
      </w:r>
      <w:r>
        <w:rPr>
          <w:rStyle w:val="HideTWBExt"/>
        </w:rPr>
        <w:t>&lt;/NumAm&gt;</w:t>
      </w:r>
    </w:p>
    <w:p>
      <w:pPr>
        <w:pStyle w:val="NormalBold"/>
      </w:pPr>
      <w:r>
        <w:rPr>
          <w:rStyle w:val="HideTWBExt"/>
          <w:b w:val="0"/>
        </w:rPr>
        <w:t>&lt;RepeatBlock-By&gt;</w:t>
      </w:r>
      <w:r>
        <w:rPr>
          <w:rStyle w:val="HideTWBExt"/>
          <w:b w:val="0"/>
        </w:rPr>
        <w:t>&lt;Members&gt;</w:t>
      </w:r>
      <w:r>
        <w:t>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19.b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19.b</w:t>
            </w:r>
            <w:r>
              <w:tab/>
            </w:r>
            <w:r>
              <w:rPr>
                <w:b/>
                <w:i/>
              </w:rPr>
              <w:t>norāda, ka pat valsts finansējuma slieksnis, ko piemēro arī mazākām kooperatīvajām bankām, var radīt finansējuma ierobežojumu jaunizveidotiem uzņēmumiem;</w:t>
            </w:r>
            <w:r>
              <w:t xml:space="preserve"> </w:t>
            </w:r>
            <w:r>
              <w:rPr>
                <w:b/>
                <w:i/>
              </w:rPr>
              <w:t>šādi ierobežojumi vai robežvērtības būtu jāpārskata;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386</w:t>
      </w:r>
      <w:r>
        <w:rPr>
          <w:rStyle w:val="HideTWBExt"/>
        </w:rPr>
        <w:t>&lt;/NumAm&gt;</w:t>
      </w:r>
    </w:p>
    <w:p>
      <w:pPr>
        <w:pStyle w:val="NormalBold"/>
      </w:pPr>
      <w:r>
        <w:rPr>
          <w:rStyle w:val="HideTWBExt"/>
          <w:b w:val="0"/>
        </w:rPr>
        <w:t>&lt;RepeatBlock-By&gt;</w:t>
      </w:r>
      <w:r>
        <w:rPr>
          <w:rStyle w:val="HideTWBExt"/>
          <w:b w:val="0"/>
        </w:rPr>
        <w:t>&lt;Members&gt;</w:t>
      </w:r>
      <w:r>
        <w:t>Billy Kelleher, Pascal Canfin, Stéphanie Yon-Courtin,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19.c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19.c</w:t>
            </w:r>
            <w:r>
              <w:tab/>
            </w:r>
            <w:r>
              <w:rPr>
                <w:b/>
                <w:i/>
              </w:rPr>
              <w:t>uzsver Komisijas priekšsēdētājas politiskajās pamatnostādnēs nākamajai Eiropas Komisijai 2024.–2029. gadam</w:t>
            </w:r>
            <w:r>
              <w:rPr>
                <w:b/>
                <w:i/>
                <w:vertAlign w:val="superscript"/>
              </w:rPr>
              <w:t>1a</w:t>
            </w:r>
            <w:r>
              <w:t xml:space="preserve"> </w:t>
            </w:r>
            <w:r>
              <w:rPr>
                <w:b/>
                <w:i/>
              </w:rPr>
              <w:t>pausto un komisārei M. L. Albuquerque adresētajā pilnvarojuma vēstulē</w:t>
            </w:r>
            <w:r>
              <w:rPr>
                <w:b/>
                <w:i/>
                <w:vertAlign w:val="superscript"/>
              </w:rPr>
              <w:t>1b</w:t>
            </w:r>
            <w:r>
              <w:t xml:space="preserve"> </w:t>
            </w:r>
            <w:r>
              <w:rPr>
                <w:b/>
                <w:i/>
              </w:rPr>
              <w:t>atkārtoti pausto apņemšanos strādāt pie riska mazināšanas pasākumiem, lai piesaistītu privāto finansējumu no komercbankām, ieguldītājiem un riska kapitāla, tādējādi paplašinot finansēšanas iespējas jauniem vai strauji augošiem inovatīviem uzņēmumiem;</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Jaunievēlētās priekšsēdētājas Urzulas fon der Leienas runa "Eiropas izvēle.</w:t>
            </w:r>
            <w:r>
              <w:t xml:space="preserve"> </w:t>
            </w:r>
            <w:r>
              <w:rPr>
                <w:b/>
                <w:i/>
              </w:rPr>
              <w:t>Politikas pamatnostādnes nākamajai Eiropas Komisijai (2024−2029)”, 2024. gada 18. jūlijā Strasbūrā, https://commission.europa.eu/document/download/e6cd4328-673c-4e7a-8683-f63ffb2cf648_lv?filename=Political%20Guidelines%202024-2029_LV.pdf</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1b</w:t>
            </w:r>
            <w:r>
              <w:t xml:space="preserve"> </w:t>
            </w:r>
            <w:r>
              <w:rPr>
                <w:b/>
                <w:i/>
              </w:rPr>
              <w:t>https://commission.europa.eu/document/download/ac06a896-2645-4857-9958-467d2ce6f221_en?filename=Mission%20letter%20-%20ALBUQUERQUE.pdf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387</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20.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20.</w:t>
            </w:r>
            <w:r>
              <w:tab/>
            </w:r>
            <w:r>
              <w:rPr>
                <w:b/>
                <w:i/>
              </w:rPr>
              <w:t>uzsver, ka nolūkā palīdzēt uzņēmumiem paplašināt darbību ir ārkārtīgi svarīgi izveidot integrētāku inovācijas ekosistēmu ar universitāšu, jaunuzņēmumu, lielu uzņēmumu un riska kapitāla nodrošinātāju tīkliem, kuras pamatā ir piekļuve testēšanas iekārtām un tehnoloģiju infrastruktūrai;</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388</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20.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20.</w:t>
            </w:r>
            <w:r>
              <w:tab/>
            </w:r>
            <w:r>
              <w:rPr>
                <w:b/>
                <w:i/>
              </w:rPr>
              <w:t>uzsver, ka nolūkā palīdzēt uzņēmumiem paplašināt darbību ir ārkārtīgi svarīgi izveidot integrētāku inovācijas ekosistēmu ar universitāšu, jaunuzņēmumu, lielu uzņēmumu un riska kapitāla nodrošinātāju tīkliem, kuras pamatā ir piekļuve testēšanas iekārtām un tehnoloģiju infrastruktūrai;</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389</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20.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uzsver, ka nolūkā palīdzēt uzņēmumiem paplašināt darbību ir ārkārtīgi svarīgi izveidot integrētāku inovācijas ekosistēmu ar universitāšu, jaunuzņēmumu, lielu uzņēmumu un riska kapitāla nodrošinātāju tīkliem, kuras pamatā ir piekļuve testēšanas iekārtām un tehnoloģiju infrastruktūrai;</w:t>
            </w:r>
          </w:p>
        </w:tc>
        <w:tc>
          <w:tcPr>
            <w:tcW w:w="4876" w:type="dxa"/>
            <w:tcBorders>
              <w:top w:val="nil"/>
              <w:left w:val="nil"/>
              <w:bottom w:val="nil"/>
              <w:right w:val="nil"/>
            </w:tcBorders>
          </w:tcPr>
          <w:p>
            <w:pPr>
              <w:pStyle w:val="Normal6a"/>
            </w:pPr>
            <w:r>
              <w:t>20.</w:t>
            </w:r>
            <w:r>
              <w:tab/>
            </w:r>
            <w:r>
              <w:t xml:space="preserve">uzsver, ka nolūkā palīdzēt uzņēmumiem paplašināt darbību ir ārkārtīgi svarīgi izveidot integrētāku inovācijas ekosistēmu ar universitāšu, jaunuzņēmumu, lielu uzņēmumu un riska kapitāla nodrošinātāju tīkliem, kuras pamatā ir piekļuve testēšanas iekārtām un tehnoloģiju infrastruktūrai; </w:t>
            </w:r>
            <w:r>
              <w:rPr>
                <w:b/>
                <w:i/>
              </w:rPr>
              <w:t>uzsver arī pievienoto vērtību, ko sniedz uzņēmējdarbības kopienas, kuras veicina pieredzes apmaiņu, mācīšanos no līdzbiedriem un labas prakses izplatīšanu;</w:t>
            </w:r>
            <w:r>
              <w:t xml:space="preserve"> </w:t>
            </w:r>
            <w:r>
              <w:rPr>
                <w:b/>
                <w:i/>
              </w:rPr>
              <w:t>uzsver uzņēmēju forumu, privāto paātrinātāju un mentoru tīklu nozīmi jaunu uzņēmējdarbības projektu izaugsmes atbalstīšanā;</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390</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20.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uzsver, ka nolūkā palīdzēt uzņēmumiem paplašināt darbību ir ārkārtīgi svarīgi izveidot integrētāku inovācijas ekosistēmu ar universitāšu, jaunuzņēmumu, lielu uzņēmumu un riska kapitāla nodrošinātāju tīkliem, kuras pamatā ir piekļuve testēšanas iekārtām un tehnoloģiju infrastruktūrai;</w:t>
            </w:r>
          </w:p>
        </w:tc>
        <w:tc>
          <w:tcPr>
            <w:tcW w:w="4876" w:type="dxa"/>
            <w:tcBorders>
              <w:top w:val="nil"/>
              <w:left w:val="nil"/>
              <w:bottom w:val="nil"/>
              <w:right w:val="nil"/>
            </w:tcBorders>
          </w:tcPr>
          <w:p>
            <w:pPr>
              <w:pStyle w:val="Normal6a"/>
            </w:pPr>
            <w:r>
              <w:t>20.</w:t>
            </w:r>
            <w:r>
              <w:tab/>
            </w:r>
            <w:r>
              <w:t xml:space="preserve">uzsver, ka nolūkā palīdzēt uzņēmumiem paplašināt darbību ir ārkārtīgi svarīgi izveidot integrētāku inovācijas ekosistēmu ar universitāšu, jaunuzņēmumu, lielu uzņēmumu un riska kapitāla nodrošinātāju tīkliem, kuras pamatā ir piekļuve testēšanas iekārtām un tehnoloģiju infrastruktūrai; </w:t>
            </w:r>
            <w:r>
              <w:rPr>
                <w:b/>
                <w:i/>
              </w:rPr>
              <w:t>aicina Komisiju un dalībvalstis balstīties uz tādām iniciatīvām kā uzticamo ieguldītāju tīkls, kura mērķis ir piesaistīt privāto kapitālu plašā mērogā, lai atbalstītu Eiropas mērķus inovācijas jomā;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391</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20.a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aicina Komisiju veikt pētījumu un ietekmes novērtējumu par jauniem veidiem, kā nodrošināt pašu kapitāla finansējumu tiem MVU, kuri ir spējīgi no tā gūt labumu, ņemot vērā to lielumu vai izaugsmes izredzes;</w:t>
            </w:r>
            <w:r>
              <w:t xml:space="preserve"> </w:t>
            </w:r>
            <w:r>
              <w:rPr>
                <w:b/>
                <w:i/>
              </w:rPr>
              <w:t>šādā pētījumā būtu jāizskata iespējas, piemēram, izveidot Eiropas sākotnējā publiskā piedāvājuma (SPP) publiskā un privātā sektora fondu vai paplašināt mezanīna finansējumu;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392</w:t>
      </w:r>
      <w:r>
        <w:rPr>
          <w:rStyle w:val="HideTWBExt"/>
        </w:rPr>
        <w:t>&lt;/NumAm&gt;</w:t>
      </w:r>
    </w:p>
    <w:p>
      <w:pPr>
        <w:pStyle w:val="NormalBold"/>
      </w:pPr>
      <w:r>
        <w:rPr>
          <w:rStyle w:val="HideTWBExt"/>
          <w:b w:val="0"/>
        </w:rPr>
        <w:t>&lt;RepeatBlock-By&gt;</w:t>
      </w:r>
      <w:r>
        <w:rPr>
          <w:rStyle w:val="HideTWBExt"/>
          <w:b w:val="0"/>
        </w:rPr>
        <w:t>&lt;Members&gt;</w:t>
      </w:r>
      <w:r>
        <w:t>Anouk Van Brug, Billy Kelleher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20.a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mudina dalībvalstis paplašināt dalību otrā līmeņa pensiju shēmās un novirzīt daļu no šiem ilgtermiņa aktīviem uz riska un izaugsmes kapitāla fondiem, tādējādi radot stabilu un pastāvīgu iekšzemes ieguldītāju bāzi augošiem uzņēmumiem, ko var panākt arī ar automātisku pievienošanos;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393</w:t>
      </w:r>
      <w:r>
        <w:rPr>
          <w:rStyle w:val="HideTWBExt"/>
        </w:rPr>
        <w:t>&lt;/NumAm&gt;</w:t>
      </w:r>
    </w:p>
    <w:p>
      <w:pPr>
        <w:pStyle w:val="NormalBold"/>
      </w:pPr>
      <w:r>
        <w:rPr>
          <w:rStyle w:val="HideTWBExt"/>
          <w:b w:val="0"/>
        </w:rPr>
        <w:t>&lt;RepeatBlock-By&gt;</w:t>
      </w:r>
      <w:r>
        <w:rPr>
          <w:rStyle w:val="HideTWBExt"/>
          <w:b w:val="0"/>
        </w:rPr>
        <w:t>&lt;Members&gt;</w:t>
      </w:r>
      <w:r>
        <w:t>Pascal Canfin, Stéphanie Yon-Courtin,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20.a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norāda, ka Eiropas Komisijas iniciatīvai par plānoto 28. režīmu ir potenciāls vienkāršot privāto ieguldītāju darbu un piesaistīt vairāk kapitāla Eiropas inovatīviem jaunuzņēmumiem un MVU;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394</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5. apakšvirsraksts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Konkurētspējīgas ekosistēmas stiprināšana ES</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395</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5. apakšvirsraksts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Konkurētspējīgas ekosistēmas stiprināšana ES</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396</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21.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21.</w:t>
            </w:r>
            <w:r>
              <w:tab/>
            </w:r>
            <w:r>
              <w:rPr>
                <w:b/>
                <w:i/>
              </w:rPr>
              <w:t>uzskata, ka konkurētspējīgai ekosistēmai ES ir jāsastāv no spēcīgiem valstu tirgiem un ka valstu atšķirībām ir svarīga nozīme veselīgas konkurences veicināšanā starp dalībvalstīm un to stimulēšanā saglabāt ekonomikas dinamiku un pievilcību;</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397</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21.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21.</w:t>
            </w:r>
            <w:r>
              <w:tab/>
            </w:r>
            <w:r>
              <w:rPr>
                <w:b/>
                <w:i/>
              </w:rPr>
              <w:t>uzskata, ka konkurētspējīgai ekosistēmai ES ir jāsastāv no spēcīgiem valstu tirgiem un ka valstu atšķirībām ir svarīga nozīme veselīgas konkurences veicināšanā starp dalībvalstīm un to stimulēšanā saglabāt ekonomikas dinamiku un pievilcību;</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398</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21.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21.</w:t>
            </w:r>
            <w:r>
              <w:tab/>
            </w:r>
            <w:r>
              <w:rPr>
                <w:b/>
                <w:i/>
              </w:rPr>
              <w:t>uzskata, ka konkurētspējīgai ekosistēmai ES ir jāsastāv no spēcīgiem valstu tirgiem un ka valstu atšķirībām ir svarīga nozīme veselīgas konkurences veicināšanā starp dalībvalstīm un to stimulēšanā saglabāt ekonomikas dinamiku un pievilcību;</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399</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21.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21.</w:t>
            </w:r>
            <w:r>
              <w:tab/>
            </w:r>
            <w:r>
              <w:rPr>
                <w:b/>
                <w:i/>
              </w:rPr>
              <w:t>uzskata, ka konkurētspējīgai ekosistēmai ES ir jāsastāv no spēcīgiem valstu tirgiem un ka valstu atšķirībām ir svarīga nozīme veselīgas konkurences veicināšanā starp dalībvalstīm un to stimulēšanā saglabāt ekonomikas dinamiku un pievilcību;</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400</w:t>
      </w:r>
      <w:r>
        <w:rPr>
          <w:rStyle w:val="HideTWBExt"/>
        </w:rPr>
        <w:t>&lt;/NumAm&gt;</w:t>
      </w:r>
    </w:p>
    <w:p>
      <w:pPr>
        <w:pStyle w:val="NormalBold"/>
      </w:pPr>
      <w:r>
        <w:rPr>
          <w:rStyle w:val="HideTWBExt"/>
          <w:b w:val="0"/>
        </w:rPr>
        <w:t>&lt;RepeatBlock-By&gt;</w:t>
      </w:r>
      <w:r>
        <w:rPr>
          <w:rStyle w:val="HideTWBExt"/>
          <w:b w:val="0"/>
        </w:rPr>
        <w:t>&lt;Members&gt;</w:t>
      </w:r>
      <w:r>
        <w:t>Tsvetelina Penkova,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21.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uzskata, ka konkurētspējīgai ekosistēmai ES ir jāsastāv no spēcīgiem valstu tirgiem un ka valstu atšķirībām ir </w:t>
            </w:r>
            <w:r>
              <w:rPr>
                <w:b/>
                <w:i/>
              </w:rPr>
              <w:t>svarīga</w:t>
            </w:r>
            <w:r>
              <w:t xml:space="preserve"> nozīme veselīgas konkurences veicināšanā starp dalībvalstīm </w:t>
            </w:r>
            <w:r>
              <w:rPr>
                <w:b/>
                <w:i/>
              </w:rPr>
              <w:t>un</w:t>
            </w:r>
            <w:r>
              <w:t xml:space="preserve"> to stimulēšanā saglabāt ekonomikas dinamiku un pievilcību;</w:t>
            </w:r>
          </w:p>
        </w:tc>
        <w:tc>
          <w:tcPr>
            <w:tcW w:w="4876" w:type="dxa"/>
            <w:tcBorders>
              <w:top w:val="nil"/>
              <w:left w:val="nil"/>
              <w:bottom w:val="nil"/>
              <w:right w:val="nil"/>
            </w:tcBorders>
          </w:tcPr>
          <w:p>
            <w:pPr>
              <w:pStyle w:val="Normal6a"/>
            </w:pPr>
            <w:r>
              <w:t>21.</w:t>
            </w:r>
            <w:r>
              <w:tab/>
            </w:r>
            <w:r>
              <w:t xml:space="preserve">uzskata, ka konkurētspējīgai ekosistēmai ES ir jāsastāv no spēcīgiem valstu tirgiem un ka valstu atšķirībām ir nozīme veselīgas konkurences veicināšanā starp dalībvalstīm </w:t>
            </w:r>
            <w:r>
              <w:rPr>
                <w:b/>
                <w:i/>
              </w:rPr>
              <w:t>ES mērogā un vienlaicīgā</w:t>
            </w:r>
            <w:r>
              <w:t xml:space="preserve"> to stimulēšanā saglabāt ekonomikas dinamiku un pievilcību; </w:t>
            </w:r>
            <w:r>
              <w:rPr>
                <w:b/>
                <w:i/>
              </w:rPr>
              <w:t>tomēr uzsver, ka ES kapitāla tirgus pašlaik ir ļoti sadrumstalots atkarībā no valstu noteikumiem, un tas rada neefektivitāti un ierobežo tirgus dalībnieku iespējas pilnībā izmantot vienotā tirgus sniegtās priekšrocības un integrētāka tirgus mēroga ietekmi;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401</w:t>
      </w:r>
      <w:r>
        <w:rPr>
          <w:rStyle w:val="HideTWBExt"/>
        </w:rPr>
        <w:t>&lt;/NumAm&gt;</w:t>
      </w:r>
    </w:p>
    <w:p>
      <w:pPr>
        <w:pStyle w:val="NormalBold"/>
      </w:pPr>
      <w:r>
        <w:rPr>
          <w:rStyle w:val="HideTWBExt"/>
          <w:b w:val="0"/>
        </w:rPr>
        <w:t>&lt;RepeatBlock-By&gt;</w:t>
      </w:r>
      <w:r>
        <w:rPr>
          <w:rStyle w:val="HideTWBExt"/>
          <w:b w:val="0"/>
        </w:rPr>
        <w:t>&lt;Members&gt;</w:t>
      </w:r>
      <w:r>
        <w:t>Arba Kokalari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21.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uzskata, ka konkurētspējīgai ekosistēmai ES ir jāsastāv no spēcīgiem valstu tirgiem un ka valstu atšķirībām ir svarīga nozīme veselīgas konkurences veicināšanā starp dalībvalstīm un to stimulēšanā saglabāt ekonomikas dinamiku un pievilcību;</w:t>
            </w:r>
          </w:p>
        </w:tc>
        <w:tc>
          <w:tcPr>
            <w:tcW w:w="4876" w:type="dxa"/>
            <w:tcBorders>
              <w:top w:val="nil"/>
              <w:left w:val="nil"/>
              <w:bottom w:val="nil"/>
              <w:right w:val="nil"/>
            </w:tcBorders>
          </w:tcPr>
          <w:p>
            <w:pPr>
              <w:pStyle w:val="Normal6a"/>
            </w:pPr>
            <w:r>
              <w:t>21.</w:t>
            </w:r>
            <w:r>
              <w:tab/>
            </w:r>
            <w:r>
              <w:t xml:space="preserve">uzskata, ka konkurētspējīgai ekosistēmai ES ir jāsastāv no spēcīgiem valstu tirgiem un ka valstu atšķirībām ir svarīga nozīme veselīgas konkurences veicināšanā starp dalībvalstīm un to stimulēšanā saglabāt ekonomikas dinamiku un pievilcību; </w:t>
            </w:r>
            <w:r>
              <w:rPr>
                <w:b/>
                <w:i/>
              </w:rPr>
              <w:t>aicina Komisiju izstrādāt leģislatīvus un neleģislatīvus risinājumus, pamatojoties uz paraugpraksi un dažās dalībvalstīs jau labi attīstītajiem un labi funkcionējošajiem tirgiem;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402</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21.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uzskata, ka </w:t>
            </w:r>
            <w:r>
              <w:rPr>
                <w:b/>
                <w:i/>
              </w:rPr>
              <w:t>konkurētspējīgai ekosistēmai ES ir jāsastāv no</w:t>
            </w:r>
            <w:r>
              <w:t xml:space="preserve"> spēcīgiem valstu tirgiem </w:t>
            </w:r>
            <w:r>
              <w:rPr>
                <w:b/>
                <w:i/>
              </w:rPr>
              <w:t>un ka valstu atšķirībām ir svarīga nozīme veselīgas konkurences veicināšanā starp dalībvalstīm un to stimulēšanā saglabāt ekonomikas dinamiku un pievilcību</w:t>
            </w:r>
            <w:r>
              <w:t>;</w:t>
            </w:r>
          </w:p>
        </w:tc>
        <w:tc>
          <w:tcPr>
            <w:tcW w:w="4876" w:type="dxa"/>
            <w:tcBorders>
              <w:top w:val="nil"/>
              <w:left w:val="nil"/>
              <w:bottom w:val="nil"/>
              <w:right w:val="nil"/>
            </w:tcBorders>
          </w:tcPr>
          <w:p>
            <w:pPr>
              <w:pStyle w:val="Normal6a"/>
            </w:pPr>
            <w:r>
              <w:t>21.</w:t>
            </w:r>
            <w:r>
              <w:tab/>
            </w:r>
            <w:r>
              <w:t xml:space="preserve">uzskata, ka </w:t>
            </w:r>
            <w:r>
              <w:rPr>
                <w:b/>
                <w:i/>
              </w:rPr>
              <w:t>konkurētspējīga ekosistēma Savienībā būtu jāatbalsta ar</w:t>
            </w:r>
            <w:r>
              <w:t xml:space="preserve"> spēcīgiem valstu tirgiem</w:t>
            </w:r>
            <w:r>
              <w:rPr>
                <w:b/>
                <w:i/>
              </w:rPr>
              <w:t>, taču uzsver, ka tiem nevajadzētu kļūt par šķēršļiem efektīvai pārrobežu kapitāla sadalei ne arī par pamatu kapitāla ģeogrāfiskās izcelsmes noteikšanai par prioritāti;</w:t>
            </w:r>
            <w:r>
              <w:t xml:space="preserve"> </w:t>
            </w:r>
            <w:r>
              <w:rPr>
                <w:b/>
                <w:i/>
              </w:rPr>
              <w:t>uzstāj, ka MVU piekļuve finansējumam būtu jābalsta uz efektivitātes, mērogojamības un riska profila kritērijiem</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403</w:t>
      </w:r>
      <w:r>
        <w:rPr>
          <w:rStyle w:val="HideTWBExt"/>
        </w:rPr>
        <w:t>&lt;/NumAm&gt;</w:t>
      </w:r>
    </w:p>
    <w:p>
      <w:pPr>
        <w:pStyle w:val="NormalBold"/>
      </w:pPr>
      <w:r>
        <w:rPr>
          <w:rStyle w:val="HideTWBExt"/>
          <w:b w:val="0"/>
        </w:rPr>
        <w:t>&lt;RepeatBlock-By&gt;</w:t>
      </w:r>
      <w:r>
        <w:rPr>
          <w:rStyle w:val="HideTWBExt"/>
          <w:b w:val="0"/>
        </w:rPr>
        <w:t>&lt;Members&gt;</w:t>
      </w:r>
      <w:r>
        <w:t>Anouk Van Brug, Billy Kelleher, Stéphanie Yon-Courtin,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21.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uzskata, ka </w:t>
            </w:r>
            <w:r>
              <w:rPr>
                <w:b/>
                <w:i/>
              </w:rPr>
              <w:t>konkurētspējīgai ekosistēmai ES ir jāsastāv no spēcīgiem valstu tirgiem</w:t>
            </w:r>
            <w:r>
              <w:t xml:space="preserve"> un ka </w:t>
            </w:r>
            <w:r>
              <w:rPr>
                <w:b/>
                <w:i/>
              </w:rPr>
              <w:t>valstu atšķirībām ir svarīga nozīme veselīgas konkurences veicināšanā starp dalībvalstīm un to stimulēšanā</w:t>
            </w:r>
            <w:r>
              <w:t xml:space="preserve"> saglabāt ekonomikas dinamiku un pievilcību;</w:t>
            </w:r>
          </w:p>
        </w:tc>
        <w:tc>
          <w:tcPr>
            <w:tcW w:w="4876" w:type="dxa"/>
            <w:tcBorders>
              <w:top w:val="nil"/>
              <w:left w:val="nil"/>
              <w:bottom w:val="nil"/>
              <w:right w:val="nil"/>
            </w:tcBorders>
          </w:tcPr>
          <w:p>
            <w:pPr>
              <w:pStyle w:val="Normal6a"/>
            </w:pPr>
            <w:r>
              <w:t>21.</w:t>
            </w:r>
            <w:r>
              <w:tab/>
            </w:r>
            <w:r>
              <w:t xml:space="preserve">uzskata, ka </w:t>
            </w:r>
            <w:r>
              <w:rPr>
                <w:b/>
                <w:i/>
              </w:rPr>
              <w:t>konkurētspējīgu ekosistēmu ES veido spēcīgi tirgi</w:t>
            </w:r>
            <w:r>
              <w:t xml:space="preserve"> un ka </w:t>
            </w:r>
            <w:r>
              <w:rPr>
                <w:b/>
                <w:i/>
              </w:rPr>
              <w:t>veselīga konkurence stimulē uzņēmumus ieviest jauninājumus un</w:t>
            </w:r>
            <w:r>
              <w:t xml:space="preserve"> saglabāt ekonomikas dinamiku un pievilcību;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404</w:t>
      </w:r>
      <w:r>
        <w:rPr>
          <w:rStyle w:val="HideTWBExt"/>
        </w:rPr>
        <w:t>&lt;/NumAm&gt;</w:t>
      </w:r>
    </w:p>
    <w:p>
      <w:pPr>
        <w:pStyle w:val="NormalBold"/>
      </w:pPr>
      <w:r>
        <w:rPr>
          <w:rStyle w:val="HideTWBExt"/>
          <w:b w:val="0"/>
        </w:rPr>
        <w:t>&lt;RepeatBlock-By&gt;</w:t>
      </w:r>
      <w:r>
        <w:rPr>
          <w:rStyle w:val="HideTWBExt"/>
          <w:b w:val="0"/>
        </w:rPr>
        <w:t>&lt;Members&gt;</w:t>
      </w:r>
      <w:r>
        <w:t>Danuše Nerudová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21.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uzskata, ka konkurētspējīgai ekosistēmai </w:t>
            </w:r>
            <w:r>
              <w:rPr>
                <w:b/>
                <w:i/>
              </w:rPr>
              <w:t>ES ir jāsastāv no spēcīgiem valstu tirgiem un ka valstu atšķirībām ir svarīga nozīme veselīgas konkurences veicināšanā</w:t>
            </w:r>
            <w:r>
              <w:t xml:space="preserve"> starp dalībvalstīm un </w:t>
            </w:r>
            <w:r>
              <w:rPr>
                <w:b/>
                <w:i/>
              </w:rPr>
              <w:t>to stimulēšanā saglabāt ekonomikas dinamiku un pievilcību</w:t>
            </w:r>
            <w:r>
              <w:t>;</w:t>
            </w:r>
          </w:p>
        </w:tc>
        <w:tc>
          <w:tcPr>
            <w:tcW w:w="4876" w:type="dxa"/>
            <w:tcBorders>
              <w:top w:val="nil"/>
              <w:left w:val="nil"/>
              <w:bottom w:val="nil"/>
              <w:right w:val="nil"/>
            </w:tcBorders>
          </w:tcPr>
          <w:p>
            <w:pPr>
              <w:pStyle w:val="Normal6a"/>
            </w:pPr>
            <w:r>
              <w:t>21.</w:t>
            </w:r>
            <w:r>
              <w:tab/>
            </w:r>
            <w:r>
              <w:t xml:space="preserve">uzskata, ka konkurētspējīgai </w:t>
            </w:r>
            <w:r>
              <w:rPr>
                <w:b/>
                <w:i/>
              </w:rPr>
              <w:t>Eiropas</w:t>
            </w:r>
            <w:r>
              <w:t xml:space="preserve"> ekosistēmai </w:t>
            </w:r>
            <w:r>
              <w:rPr>
                <w:b/>
                <w:i/>
              </w:rPr>
              <w:t>būtu jābalstās uz dinamikas spēku;</w:t>
            </w:r>
            <w:r>
              <w:t xml:space="preserve"> </w:t>
            </w:r>
            <w:r>
              <w:rPr>
                <w:b/>
                <w:i/>
              </w:rPr>
              <w:t>uzsver, ka regulējuma daudzveidība, ja tā ir līdzsvarota ar sadarbspēju un kopīgiem standartiem, var veicināt veselīgu konkurenci</w:t>
            </w:r>
            <w:r>
              <w:t xml:space="preserve"> starp dalībvalstīm un </w:t>
            </w:r>
            <w:r>
              <w:rPr>
                <w:b/>
                <w:i/>
              </w:rPr>
              <w:t>stimulēt inovāciju un investīcijas valstu līmenī</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405</w:t>
      </w:r>
      <w:r>
        <w:rPr>
          <w:rStyle w:val="HideTWBExt"/>
        </w:rPr>
        <w:t>&lt;/NumAm&gt;</w:t>
      </w:r>
    </w:p>
    <w:p>
      <w:pPr>
        <w:pStyle w:val="NormalBold"/>
      </w:pPr>
      <w:r>
        <w:rPr>
          <w:rStyle w:val="HideTWBExt"/>
          <w:b w:val="0"/>
        </w:rPr>
        <w:t>&lt;RepeatBlock-By&gt;</w:t>
      </w:r>
      <w:r>
        <w:rPr>
          <w:rStyle w:val="HideTWBExt"/>
          <w:b w:val="0"/>
        </w:rPr>
        <w:t>&lt;Members&gt;</w:t>
      </w:r>
      <w:r>
        <w:t>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21.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uzskata, ka </w:t>
            </w:r>
            <w:r>
              <w:rPr>
                <w:b/>
                <w:i/>
              </w:rPr>
              <w:t>konkurētspējīgai ekosistēmai</w:t>
            </w:r>
            <w:r>
              <w:t xml:space="preserve"> ES ir </w:t>
            </w:r>
            <w:r>
              <w:rPr>
                <w:b/>
                <w:i/>
              </w:rPr>
              <w:t>jāsastāv no spēcīgiem valstu tirgiem un ka</w:t>
            </w:r>
            <w:r>
              <w:t xml:space="preserve"> valstu atšķirībām ir svarīga nozīme veselīgas konkurences veicināšanā starp dalībvalstīm un to stimulēšanā saglabāt ekonomikas dinamiku un pievilcību;</w:t>
            </w:r>
          </w:p>
        </w:tc>
        <w:tc>
          <w:tcPr>
            <w:tcW w:w="4876" w:type="dxa"/>
            <w:tcBorders>
              <w:top w:val="nil"/>
              <w:left w:val="nil"/>
              <w:bottom w:val="nil"/>
              <w:right w:val="nil"/>
            </w:tcBorders>
          </w:tcPr>
          <w:p>
            <w:pPr>
              <w:pStyle w:val="Normal6a"/>
            </w:pPr>
            <w:r>
              <w:t>21.</w:t>
            </w:r>
            <w:r>
              <w:tab/>
            </w:r>
            <w:r>
              <w:t xml:space="preserve">uzskata, ka </w:t>
            </w:r>
            <w:r>
              <w:rPr>
                <w:b/>
                <w:i/>
              </w:rPr>
              <w:t>konkurētspējīgu ekosistēmu</w:t>
            </w:r>
            <w:r>
              <w:t xml:space="preserve"> ES ir </w:t>
            </w:r>
            <w:r>
              <w:rPr>
                <w:b/>
                <w:i/>
              </w:rPr>
              <w:t>jāveido spēcīgam iekšējam tirgum, savukārt</w:t>
            </w:r>
            <w:r>
              <w:t xml:space="preserve"> valstu atšķirībām ir svarīga nozīme veselīgas konkurences veicināšanā starp dalībvalstīm un to stimulēšanā saglabāt ekonomikas dinamiku un pievilcību;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406</w:t>
      </w:r>
      <w:r>
        <w:rPr>
          <w:rStyle w:val="HideTWBExt"/>
        </w:rPr>
        <w:t>&lt;/NumAm&gt;</w:t>
      </w:r>
    </w:p>
    <w:p>
      <w:pPr>
        <w:pStyle w:val="NormalBold"/>
      </w:pPr>
      <w:r>
        <w:rPr>
          <w:rStyle w:val="HideTWBExt"/>
          <w:b w:val="0"/>
        </w:rPr>
        <w:t>&lt;RepeatBlock-By&gt;</w:t>
      </w:r>
      <w:r>
        <w:rPr>
          <w:rStyle w:val="HideTWBExt"/>
          <w:b w:val="0"/>
        </w:rPr>
        <w:t>&lt;Members&gt;</w:t>
      </w:r>
      <w:r>
        <w:t>Tsvetelina Penkova,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21.a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atzinīgi vērtē Eiropas Inovācijas padomes (EIP) izveidi, kuras mērķis ir ar dotācijām un finanšu instrumentiem atbalstīt inovatīvus jaunuzņēmumus un augošus uzņēmumus;</w:t>
            </w:r>
            <w:r>
              <w:t xml:space="preserve"> </w:t>
            </w:r>
            <w:r>
              <w:rPr>
                <w:b/>
                <w:i/>
              </w:rPr>
              <w:t>aicina EIP fondā īpašu uzmanību pievērst ģeogrāfiskajam līdzsvaram;</w:t>
            </w:r>
            <w:r>
              <w:t xml:space="preserve"> </w:t>
            </w:r>
            <w:r>
              <w:rPr>
                <w:b/>
                <w:i/>
              </w:rPr>
              <w:t>atzinīgi vērtē EIP paplašināšanas rīcības plānu un vispārējo mērķi palielināt paplašināšanas valstu dalību līdz vismaz 15 % no finansējuma visos EIP instrumentos, kā ieteikusi EIP valde;</w:t>
            </w:r>
            <w:r>
              <w:t xml:space="preserve"> </w:t>
            </w:r>
            <w:r>
              <w:rPr>
                <w:b/>
                <w:i/>
              </w:rPr>
              <w:t>aicina Komisiju pilnībā īstenot EIP valdes ieteiktos pasākumus, lai nodrošinātu, ka EIP fondam ir patiesa Eiropas ietekme;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407</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ECR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21.a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atzīst ieguvumus, ko sniedz nodokļu atvieglojumi un veselīga nodokļu konkurence, jo īpaši inovācijas un jauno tehnoloģiju jomā;</w:t>
            </w:r>
            <w:r>
              <w:t xml:space="preserve"> </w:t>
            </w:r>
            <w:r>
              <w:rPr>
                <w:b/>
                <w:i/>
              </w:rPr>
              <w:t>uzsver, ka nodokļu konkurence atšķiras no kaitējošas nodokļu prakses un tās pamatā jābūt skaidriem, pārredzamiem un taisnīgiem noteikumiem;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408</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21.a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uzsver, ka ir vajadzīgs Eiropas mēroga privāto ieguldījumu produkts, lai piesaistītu mājsaimniecību uzkrājumus produktīviem ieguldījumiem MVU un augošos uzņēmumos, un aicina pieņemt saskaņotus noteikumus, lai veicinātu pārrobežu ieguldījumus un uz MVU vērstu izaugsmes tirgu attīstību;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409</w:t>
      </w:r>
      <w:r>
        <w:rPr>
          <w:rStyle w:val="HideTWBExt"/>
        </w:rPr>
        <w:t>&lt;/NumAm&gt;</w:t>
      </w:r>
    </w:p>
    <w:p>
      <w:pPr>
        <w:pStyle w:val="NormalBold"/>
      </w:pPr>
      <w:r>
        <w:rPr>
          <w:rStyle w:val="HideTWBExt"/>
          <w:b w:val="0"/>
        </w:rPr>
        <w:t>&lt;RepeatBlock-By&gt;</w:t>
      </w:r>
      <w:r>
        <w:rPr>
          <w:rStyle w:val="HideTWBExt"/>
          <w:b w:val="0"/>
        </w:rPr>
        <w:t>&lt;Members&gt;</w:t>
      </w:r>
      <w:r>
        <w:t>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21.a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aicina Komisiju izpētīt tādu pasākumu iespējas, kas var veicināt mazāku banku līdzdalību alternatīvos finansēšanas instrumentos, piemēram, riska kapitāla un privātā kapitāla fondos;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410</w:t>
      </w:r>
      <w:r>
        <w:rPr>
          <w:rStyle w:val="HideTWBExt"/>
        </w:rPr>
        <w:t>&lt;/NumAm&gt;</w:t>
      </w:r>
    </w:p>
    <w:p>
      <w:pPr>
        <w:pStyle w:val="NormalBold"/>
      </w:pPr>
      <w:r>
        <w:rPr>
          <w:rStyle w:val="HideTWBExt"/>
          <w:b w:val="0"/>
        </w:rPr>
        <w:t>&lt;RepeatBlock-By&gt;</w:t>
      </w:r>
      <w:r>
        <w:rPr>
          <w:rStyle w:val="HideTWBExt"/>
          <w:b w:val="0"/>
        </w:rPr>
        <w:t>&lt;Members&gt;</w:t>
      </w:r>
      <w:r>
        <w:t>Tsvetelina Penkova,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21.b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21.b</w:t>
            </w:r>
            <w:r>
              <w:tab/>
            </w:r>
            <w:r>
              <w:rPr>
                <w:b/>
                <w:i/>
              </w:rPr>
              <w:t>uzsver, ka Eiropas Inovācijas padomei ir jābūt uzticamam tirgus dalībniekam;</w:t>
            </w:r>
            <w:r>
              <w:t xml:space="preserve"> </w:t>
            </w:r>
            <w:r>
              <w:rPr>
                <w:b/>
                <w:i/>
              </w:rPr>
              <w:t>atgādina, ka EIP ieguldījumiem vajadzētu piesaistīt privātos investorus, nevis tos atstumt; ņemot vērā EIP pieaugošo darbību, prasa izstrādāt skaidru EIP fonda pārvaldības stratēģiju, tostarp attiecībā uz kapitāla piešķiršanas metodēm un kritērijiem un fondu pārvaldnieku darbības novērtējumu;</w:t>
            </w:r>
            <w:r>
              <w:t xml:space="preserve"> </w:t>
            </w:r>
            <w:r>
              <w:rPr>
                <w:b/>
                <w:i/>
              </w:rPr>
              <w:t>atzinīgi vērtē Eiropas Investīciju bankas (EIB) veikto kvalitatīvo uzticamības pārbaudi un mudina Komisiju nodrošināt, ka šī kvalitāte tiek saglabāta atbilstīgi tirgus standartiem;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411</w:t>
      </w:r>
      <w:r>
        <w:rPr>
          <w:rStyle w:val="HideTWBExt"/>
        </w:rPr>
        <w:t>&lt;/NumAm&gt;</w:t>
      </w:r>
    </w:p>
    <w:p>
      <w:pPr>
        <w:pStyle w:val="NormalBold"/>
      </w:pPr>
      <w:r>
        <w:rPr>
          <w:rStyle w:val="HideTWBExt"/>
          <w:b w:val="0"/>
        </w:rPr>
        <w:t>&lt;RepeatBlock-By&gt;</w:t>
      </w:r>
      <w:r>
        <w:rPr>
          <w:rStyle w:val="HideTWBExt"/>
          <w:b w:val="0"/>
        </w:rPr>
        <w:t>&lt;Members&gt;</w:t>
      </w:r>
      <w:r>
        <w:t>Tsvetelina Penkova,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21.c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21.c</w:t>
            </w:r>
            <w:r>
              <w:tab/>
            </w:r>
            <w:r>
              <w:rPr>
                <w:b/>
                <w:i/>
              </w:rPr>
              <w:t>mudina Eiropas Investīciju bankas (EIB) grupu, tostarp Eiropas Investīciju fondu, un valstu attīstības bankas izvērtēt iespēju sniegt finansiālu atbalstu MVU, jaunuzņēmumiem un augošiem uzņēmumiem, tostarp tiem, kas darbojas jaunajās nozarēs un nozarēs ar augstu potenciālu, jo īpaši ES enerģētikas, klimatnoturības un digitālās pārveides jomā;</w:t>
            </w:r>
            <w:r>
              <w:t xml:space="preserve"> </w:t>
            </w:r>
            <w:r>
              <w:rPr>
                <w:b/>
                <w:i/>
              </w:rPr>
              <w:t>konstatē, ka daudzi jaunuzņēmumi nav pietiekami informēti par EIB piedāvājumiem, un uzsver, ka labāki EIB komunikācijas un informēšanas centieni ir būtiski, lai nodrošinātu, ka jaunuzņēmumi un augošie uzņēmumi var pilnībā gūt labumu no EIB instrumentiem un finansiālā atbalsta;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412</w:t>
      </w:r>
      <w:r>
        <w:rPr>
          <w:rStyle w:val="HideTWBExt"/>
        </w:rPr>
        <w:t>&lt;/NumAm&gt;</w:t>
      </w:r>
    </w:p>
    <w:p>
      <w:pPr>
        <w:pStyle w:val="NormalBold"/>
      </w:pPr>
      <w:r>
        <w:rPr>
          <w:rStyle w:val="HideTWBExt"/>
          <w:b w:val="0"/>
        </w:rPr>
        <w:t>&lt;RepeatBlock-By&gt;</w:t>
      </w:r>
      <w:r>
        <w:rPr>
          <w:rStyle w:val="HideTWBExt"/>
          <w:b w:val="0"/>
        </w:rPr>
        <w:t>&lt;Members&gt;</w:t>
      </w:r>
      <w:r>
        <w:t>Tsvetelina Penkova,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21.d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21.d</w:t>
            </w:r>
            <w:r>
              <w:tab/>
            </w:r>
            <w:r>
              <w:rPr>
                <w:b/>
                <w:i/>
              </w:rPr>
              <w:t>jo īpaši atzīst, ka EIB grupai ir izšķiroša nozīme finanšu instrumentu un resursu nodrošināšanā, lai atbalstītu tīro tehnoloģiju jaunuzņēmumus, augošos uzņēmumus un MVU visā Savienībā;</w:t>
            </w:r>
            <w:r>
              <w:t xml:space="preserve"> </w:t>
            </w:r>
            <w:r>
              <w:rPr>
                <w:b/>
                <w:i/>
              </w:rPr>
              <w:t>mudina sniegt īpašu EIB aizdevumu atbalstu MVU, jaunuzņēmumiem un augošiem uzņēmumiem, kas iesaistīti zaļajā un digitālajā pārkārtošanā, lai novērstu finansējuma trūkumu investīcijām infrastruktūrā un ražošanas jaudā;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413</w:t>
      </w:r>
      <w:r>
        <w:rPr>
          <w:rStyle w:val="HideTWBExt"/>
        </w:rPr>
        <w:t>&lt;/NumAm&gt;</w:t>
      </w:r>
    </w:p>
    <w:p>
      <w:pPr>
        <w:pStyle w:val="NormalBold"/>
      </w:pPr>
      <w:r>
        <w:rPr>
          <w:rStyle w:val="HideTWBExt"/>
          <w:b w:val="0"/>
        </w:rPr>
        <w:t>&lt;RepeatBlock-By&gt;</w:t>
      </w:r>
      <w:r>
        <w:rPr>
          <w:rStyle w:val="HideTWBExt"/>
          <w:b w:val="0"/>
        </w:rPr>
        <w:t>&lt;Members&gt;</w:t>
      </w:r>
      <w:r>
        <w:t>Tsvetelina Penkova,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21.e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21.e</w:t>
            </w:r>
            <w:r>
              <w:tab/>
            </w:r>
            <w:r>
              <w:rPr>
                <w:b/>
                <w:i/>
              </w:rPr>
              <w:t>atzīst, ka saskaņā ar Eiropas Patentu iestādes "Deep Tech Finder" sniegto informāciju vairāk nekā 10 % Eiropas jaunuzņēmumu, kas ir pieteikušies uz Eiropas patentiem, jau ir saņēmuši EIP finansējumu;</w:t>
            </w:r>
            <w:r>
              <w:t xml:space="preserve"> </w:t>
            </w:r>
            <w:r>
              <w:rPr>
                <w:b/>
                <w:i/>
              </w:rPr>
              <w:t>pauž pārliecību, ka ir jāpalielina izpratne par intelektuālā īpašuma nozīmi;</w:t>
            </w:r>
            <w:r>
              <w:t xml:space="preserve"> </w:t>
            </w:r>
            <w:r>
              <w:rPr>
                <w:b/>
                <w:i/>
              </w:rPr>
              <w:t>uzskata, ka labs piemērs ir vienotā patenta reforma, kuras mērķis ir nodrošināt vienotu aizsardzību visās iesaistītajās valstīs, izmantojot vienas pieturas aģentūru, samazinot administratīvo slogu un nodrošinot judikatūras konsekvenci;</w:t>
            </w:r>
            <w:r>
              <w:t xml:space="preserve"> </w:t>
            </w:r>
            <w:r>
              <w:rPr>
                <w:b/>
                <w:i/>
              </w:rPr>
              <w:t>aicina dalībvalstis, kas vēl nav ratificējušas Vienotās patentu tiesas izveides nolīgumu, darīt to jaunuzņēmumu ekosistēmas labā;</w:t>
            </w:r>
            <w:r>
              <w:t xml:space="preserve"> </w:t>
            </w:r>
            <w:r>
              <w:rPr>
                <w:b/>
                <w:i/>
              </w:rPr>
              <w:t>līdz šim vairāk nekā 35 % no vienotā patenta pieteikumu iesniedzējiem ir MVU, savukārt parasto Eiropas patentu pieteikumu kopskaitā šis īpatsvars ir tikai 20 %;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414</w:t>
      </w:r>
      <w:r>
        <w:rPr>
          <w:rStyle w:val="HideTWBExt"/>
        </w:rPr>
        <w:t>&lt;/NumAm&gt;</w:t>
      </w:r>
    </w:p>
    <w:p>
      <w:pPr>
        <w:pStyle w:val="NormalBold"/>
      </w:pPr>
      <w:r>
        <w:rPr>
          <w:rStyle w:val="HideTWBExt"/>
          <w:b w:val="0"/>
        </w:rPr>
        <w:t>&lt;RepeatBlock-By&gt;</w:t>
      </w:r>
      <w:r>
        <w:rPr>
          <w:rStyle w:val="HideTWBExt"/>
          <w:b w:val="0"/>
        </w:rPr>
        <w:t>&lt;Members&gt;</w:t>
      </w:r>
      <w:r>
        <w:t>Tsvetelina Penkova,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21.f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21.f</w:t>
            </w:r>
            <w:r>
              <w:tab/>
            </w:r>
            <w:r>
              <w:rPr>
                <w:b/>
                <w:i/>
              </w:rPr>
              <w:t>atzīst, ka salīdzinājumā ar vairāku atsevišķu patentu iegūšanu vienotais patents, kas ir spēkā visās iesaistītajās dalībvalstīs, pieteikumu iesniedzējiem piedāvā ievērojamu izmaksu samazinājumu aptuveni 30 % apmērā;</w:t>
            </w:r>
            <w:r>
              <w:t xml:space="preserve"> </w:t>
            </w:r>
            <w:r>
              <w:rPr>
                <w:b/>
                <w:i/>
              </w:rPr>
              <w:t>pašlaik izmaksas par tāda vienotā patenta iegūšanu, kas ir derīgs visās 18 iesaistītajās dalībvalstīs, ir līdzvērtīgas patenta iegūšanai četrās atsevišķās dalībvalstīs pirms vienotā patenta ieviešanas 2023. gadā;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415</w:t>
      </w:r>
      <w:r>
        <w:rPr>
          <w:rStyle w:val="HideTWBExt"/>
        </w:rPr>
        <w:t>&lt;/NumAm&gt;</w:t>
      </w:r>
    </w:p>
    <w:p>
      <w:pPr>
        <w:pStyle w:val="NormalBold"/>
      </w:pPr>
      <w:r>
        <w:rPr>
          <w:rStyle w:val="HideTWBExt"/>
          <w:b w:val="0"/>
        </w:rPr>
        <w:t>&lt;RepeatBlock-By&gt;</w:t>
      </w:r>
      <w:r>
        <w:rPr>
          <w:rStyle w:val="HideTWBExt"/>
          <w:b w:val="0"/>
        </w:rPr>
        <w:t>&lt;Members&gt;</w:t>
      </w:r>
      <w:r>
        <w:t>Tsvetelina Penkova,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21.g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21.g</w:t>
            </w:r>
            <w:r>
              <w:tab/>
            </w:r>
            <w:r>
              <w:rPr>
                <w:b/>
                <w:i/>
              </w:rPr>
              <w:t>ir pārliecināts, ka priekšnosacījumu radīšana, lai inovatīvi uzņēmumi varētu darboties vienkāršā, skaidrā un paredzamā vidē, ir būtiska, lai nodrošinātu to izaugsmes un paplašināšanās spēju vienotajā tirgū, jo iespēja piekļūt plašākam tirgum palielinās to spēju piesaistīt ieguldītājus;</w:t>
            </w:r>
            <w:r>
              <w:t xml:space="preserve"> </w:t>
            </w:r>
            <w:r>
              <w:rPr>
                <w:b/>
                <w:i/>
              </w:rPr>
              <w:t>uzsver, ka ir svarīgi politikas satvari, kas atvieglo un atbalsta sadarbību, likvidējot birokrātiskos šķēršļus, kuri izriet no nesaskaņotiem valstu regulatīvajiem režīmiem, un nodrošinot nepieciešamos stimulus, lai veicinātu visu ieinteresēto personu aktīvu līdzdalību inovācijas ekosistēmā;</w:t>
            </w:r>
            <w:r>
              <w:t xml:space="preserve"> </w:t>
            </w:r>
            <w:r>
              <w:rPr>
                <w:b/>
                <w:i/>
              </w:rPr>
              <w:t>aicina izveidot mehānismus, lai mazinātu riskus, kas saistīti ar paplašināšanos starptautiskā līmenī, nolūkā nodrošināt, ka jaunuzņēmumiem, augošiem uzņēmumiem un MVU ir nepieciešamais atbalsts un norādījumi, kas tiem palīdz tikt galā ar nenoteiktību, kura raksturīga pasaules tirgiem;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416</w:t>
      </w:r>
      <w:r>
        <w:rPr>
          <w:rStyle w:val="HideTWBExt"/>
        </w:rPr>
        <w:t>&lt;/NumAm&gt;</w:t>
      </w:r>
    </w:p>
    <w:p>
      <w:pPr>
        <w:pStyle w:val="NormalBold"/>
      </w:pPr>
      <w:r>
        <w:rPr>
          <w:rStyle w:val="HideTWBExt"/>
          <w:b w:val="0"/>
        </w:rPr>
        <w:t>&lt;RepeatBlock-By&gt;</w:t>
      </w:r>
      <w:r>
        <w:rPr>
          <w:rStyle w:val="HideTWBExt"/>
          <w:b w:val="0"/>
        </w:rPr>
        <w:t>&lt;Members&gt;</w:t>
      </w:r>
      <w:r>
        <w:t>Tsvetelina Penkova,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21.h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21.h</w:t>
            </w:r>
            <w:r>
              <w:tab/>
            </w:r>
            <w:r>
              <w:rPr>
                <w:b/>
                <w:i/>
              </w:rPr>
              <w:t>atzinīgi vērtē ES MVU sūtņa iecelšanu;</w:t>
            </w:r>
            <w:r>
              <w:t xml:space="preserve"> </w:t>
            </w:r>
            <w:r>
              <w:rPr>
                <w:b/>
                <w:i/>
              </w:rPr>
              <w:t>turklāt uzsver, ka šim sūtnim ir jāveic visaptveroša analīze un periodiski jāsniedz ziņojumi par Eiropas jaunuzņēmumu un augošo uzņēmumu situāciju, ietverot to ikdienas šķēršļus un grūtības;</w:t>
            </w:r>
            <w:r>
              <w:t xml:space="preserve"> </w:t>
            </w:r>
            <w:r>
              <w:rPr>
                <w:b/>
                <w:i/>
              </w:rPr>
              <w:t>mudina Komisiju attiecīgajos ģenerāldirektorātos iecelt jaunuzņēmumu un augošo uzņēmumu kontaktpunktus, lai labāk koordinētu īpašus politikas virzienus;</w:t>
            </w:r>
            <w:r>
              <w:t xml:space="preserve"> </w:t>
            </w:r>
            <w:r>
              <w:rPr>
                <w:b/>
                <w:i/>
              </w:rPr>
              <w:t>aicina Komisiju Eiropas Biznesa atbalsta tīkla ietvaros izveidot īpašu padomdevēju tīklu augošiem uzņēmumiem;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417</w:t>
      </w:r>
      <w:r>
        <w:rPr>
          <w:rStyle w:val="HideTWBExt"/>
        </w:rPr>
        <w:t>&lt;/NumAm&gt;</w:t>
      </w:r>
    </w:p>
    <w:p>
      <w:pPr>
        <w:pStyle w:val="NormalBold"/>
      </w:pPr>
      <w:r>
        <w:rPr>
          <w:rStyle w:val="HideTWBExt"/>
          <w:b w:val="0"/>
        </w:rPr>
        <w:t>&lt;RepeatBlock-By&gt;</w:t>
      </w:r>
      <w:r>
        <w:rPr>
          <w:rStyle w:val="HideTWBExt"/>
          <w:b w:val="0"/>
        </w:rPr>
        <w:t>&lt;Members&gt;</w:t>
      </w:r>
      <w:r>
        <w:t>Tsvetelina Penkova,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21.i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21.i</w:t>
            </w:r>
            <w:r>
              <w:tab/>
            </w:r>
            <w:r>
              <w:rPr>
                <w:b/>
                <w:i/>
              </w:rPr>
              <w:t>uzsver, ka ir ārkārtīgi svarīgi izveidot iekļaujošu jaunuzņēmumu, augošo uzņēmumu un MVU ekosistēmu, kas nodrošina vienlīdzīgu iespēju darbvietas visiem cilvēkiem, tostarp jauniešiem, pieredzējušiem profesionāļiem un nepietiekami pārstāvētām grupām;</w:t>
            </w:r>
            <w:r>
              <w:t xml:space="preserve"> </w:t>
            </w:r>
            <w:r>
              <w:rPr>
                <w:b/>
                <w:i/>
              </w:rPr>
              <w:t>aicina Komisiju un dalībvalstis virzīt proaktīvas iniciatīvas un politiku, kas aktīvi veicina iekļautību, novēršot sistēmiskus šķēršļus un aizspriedumus un veicinot vienlīdzīgus konkurences apstākļus nepietiekami pārstāvētām grupām;</w:t>
            </w:r>
            <w:r>
              <w:t xml:space="preserve"> </w:t>
            </w:r>
            <w:r>
              <w:rPr>
                <w:b/>
                <w:i/>
              </w:rPr>
              <w:t>mudina izstrādāt attiecīgas mentorēšanas programmas, tīklošanas iespējas, kā arī izglītības un citas iniciatīvas, kas īpaši paredzētas nepietiekami pārstāvētām grupām;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418</w:t>
      </w:r>
      <w:r>
        <w:rPr>
          <w:rStyle w:val="HideTWBExt"/>
        </w:rPr>
        <w:t>&lt;/NumAm&gt;</w:t>
      </w:r>
    </w:p>
    <w:p>
      <w:pPr>
        <w:pStyle w:val="NormalBold"/>
      </w:pPr>
      <w:r>
        <w:rPr>
          <w:rStyle w:val="HideTWBExt"/>
          <w:b w:val="0"/>
        </w:rPr>
        <w:t>&lt;RepeatBlock-By&gt;</w:t>
      </w:r>
      <w:r>
        <w:rPr>
          <w:rStyle w:val="HideTWBExt"/>
          <w:b w:val="0"/>
        </w:rPr>
        <w:t>&lt;Members&gt;</w:t>
      </w:r>
      <w:r>
        <w:t>Tsvetelina Penkova, 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21.j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21.j</w:t>
            </w:r>
            <w:r>
              <w:tab/>
            </w:r>
            <w:r>
              <w:rPr>
                <w:b/>
                <w:i/>
              </w:rPr>
              <w:t>iesaka stiprināt reģionālas jaunuzņēmumu ekosistēmas, kas apvieno vietējās universitātes, uzņēmējus, uzņēmumus un publiskā sektora struktūras, tostarp izmantojot inovācijas centrus, inkubatorus, paātrinātājprogrammas un riska kapitāla veidotājus, lai izmantotu katra reģiona priekšrocības un resursus;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419</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22.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22.</w:t>
            </w:r>
            <w:r>
              <w:tab/>
            </w:r>
            <w:r>
              <w:rPr>
                <w:b/>
                <w:i/>
              </w:rPr>
              <w:t>mudina Komisiju koncentrēties uz tirgu veicinošiem nosacījumiem, attiecīgiem kopsaucējiem dalībvalstīm un brīvprātīgām un papildinošām sistēmām saistībā ar subsidiaritāti;</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420</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22.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22.</w:t>
            </w:r>
            <w:r>
              <w:tab/>
            </w:r>
            <w:r>
              <w:rPr>
                <w:b/>
                <w:i/>
              </w:rPr>
              <w:t>mudina Komisiju koncentrēties uz tirgu veicinošiem nosacījumiem, attiecīgiem kopsaucējiem dalībvalstīm un brīvprātīgām un papildinošām sistēmām saistībā ar subsidiaritāti;</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421</w:t>
      </w:r>
      <w:r>
        <w:rPr>
          <w:rStyle w:val="HideTWBExt"/>
        </w:rPr>
        <w:t>&lt;/NumAm&gt;</w:t>
      </w:r>
    </w:p>
    <w:p>
      <w:pPr>
        <w:pStyle w:val="NormalBold"/>
      </w:pPr>
      <w:r>
        <w:rPr>
          <w:rStyle w:val="HideTWBExt"/>
          <w:b w:val="0"/>
        </w:rPr>
        <w:t>&lt;RepeatBlock-By&gt;</w:t>
      </w:r>
      <w:r>
        <w:rPr>
          <w:rStyle w:val="HideTWBExt"/>
          <w:b w:val="0"/>
        </w:rPr>
        <w:t>&lt;Members&gt;</w:t>
      </w:r>
      <w:r>
        <w:t>Jonás Fernández, Tsvetelina Penkova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22.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22.</w:t>
            </w:r>
            <w:r>
              <w:tab/>
            </w:r>
            <w:r>
              <w:rPr>
                <w:b/>
                <w:i/>
              </w:rPr>
              <w:t>mudina Komisiju koncentrēties uz tirgu veicinošiem nosacījumiem, attiecīgiem kopsaucējiem dalībvalstīm un brīvprātīgām un papildinošām sistēmām saistībā ar subsidiaritāti;</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422</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22.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22.</w:t>
            </w:r>
            <w:r>
              <w:tab/>
            </w:r>
            <w:r>
              <w:rPr>
                <w:b/>
                <w:i/>
              </w:rPr>
              <w:t>mudina Komisiju koncentrēties uz tirgu veicinošiem nosacījumiem, attiecīgiem kopsaucējiem dalībvalstīm un brīvprātīgām un papildinošām sistēmām saistībā ar subsidiaritāti;</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423</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22.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mudina Komisiju koncentrēties uz </w:t>
            </w:r>
            <w:r>
              <w:rPr>
                <w:b/>
                <w:i/>
              </w:rPr>
              <w:t>tirgu veicinošiem nosacījumiem, attiecīgiem kopsaucējiem</w:t>
            </w:r>
            <w:r>
              <w:t xml:space="preserve"> dalībvalstīm </w:t>
            </w:r>
            <w:r>
              <w:rPr>
                <w:b/>
                <w:i/>
              </w:rPr>
              <w:t>un</w:t>
            </w:r>
            <w:r>
              <w:t xml:space="preserve"> brīvprātīgām un papildinošām sistēmām </w:t>
            </w:r>
            <w:r>
              <w:rPr>
                <w:b/>
                <w:i/>
              </w:rPr>
              <w:t>saistībā ar</w:t>
            </w:r>
            <w:r>
              <w:t xml:space="preserve"> subsidiaritāti;</w:t>
            </w:r>
          </w:p>
        </w:tc>
        <w:tc>
          <w:tcPr>
            <w:tcW w:w="4876" w:type="dxa"/>
            <w:tcBorders>
              <w:top w:val="nil"/>
              <w:left w:val="nil"/>
              <w:bottom w:val="nil"/>
              <w:right w:val="nil"/>
            </w:tcBorders>
          </w:tcPr>
          <w:p>
            <w:pPr>
              <w:pStyle w:val="Normal6a"/>
            </w:pPr>
            <w:r>
              <w:t>22.</w:t>
            </w:r>
            <w:r>
              <w:tab/>
            </w:r>
            <w:r>
              <w:t xml:space="preserve">mudina Komisiju koncentrēties uz </w:t>
            </w:r>
            <w:r>
              <w:rPr>
                <w:b/>
                <w:i/>
              </w:rPr>
              <w:t>vienotā tirgus šķēršļu likvidēšanu, nodrošinot saskaņotus pamatnosacījumus tirgiem un attiecīgos kopsaucējus</w:t>
            </w:r>
            <w:r>
              <w:t xml:space="preserve"> dalībvalstīm</w:t>
            </w:r>
            <w:r>
              <w:rPr>
                <w:b/>
                <w:i/>
              </w:rPr>
              <w:t>, un uz</w:t>
            </w:r>
            <w:r>
              <w:t xml:space="preserve"> brīvprātīgām un papildinošām sistēmām</w:t>
            </w:r>
            <w:r>
              <w:rPr>
                <w:b/>
                <w:i/>
              </w:rPr>
              <w:t>, ievērojot</w:t>
            </w:r>
            <w:r>
              <w:t xml:space="preserve"> subsidiaritāti </w:t>
            </w:r>
            <w:r>
              <w:rPr>
                <w:b/>
                <w:i/>
              </w:rPr>
              <w:t>un pašierobežošanas principu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424</w:t>
      </w:r>
      <w:r>
        <w:rPr>
          <w:rStyle w:val="HideTWBExt"/>
        </w:rPr>
        <w:t>&lt;/NumAm&gt;</w:t>
      </w:r>
    </w:p>
    <w:p>
      <w:pPr>
        <w:pStyle w:val="NormalBold"/>
      </w:pPr>
      <w:r>
        <w:rPr>
          <w:rStyle w:val="HideTWBExt"/>
          <w:b w:val="0"/>
        </w:rPr>
        <w:t>&lt;RepeatBlock-By&gt;</w:t>
      </w:r>
      <w:r>
        <w:rPr>
          <w:rStyle w:val="HideTWBExt"/>
          <w:b w:val="0"/>
        </w:rPr>
        <w:t>&lt;Members&gt;</w:t>
      </w:r>
      <w:r>
        <w:t>Anouk Van Brug, Billy Kelleher, Stéphanie Yon-Courtin,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22.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mudina Komisiju koncentrēties uz tirgu veicinošiem nosacījumiem, attiecīgiem kopsaucējiem dalībvalstīm un brīvprātīgām un papildinošām sistēmām </w:t>
            </w:r>
            <w:r>
              <w:rPr>
                <w:b/>
                <w:i/>
              </w:rPr>
              <w:t>saistībā ar subsidiaritāti</w:t>
            </w:r>
            <w:r>
              <w:t>;</w:t>
            </w:r>
          </w:p>
        </w:tc>
        <w:tc>
          <w:tcPr>
            <w:tcW w:w="4876" w:type="dxa"/>
            <w:tcBorders>
              <w:top w:val="nil"/>
              <w:left w:val="nil"/>
              <w:bottom w:val="nil"/>
              <w:right w:val="nil"/>
            </w:tcBorders>
          </w:tcPr>
          <w:p>
            <w:pPr>
              <w:pStyle w:val="Normal6a"/>
            </w:pPr>
            <w:r>
              <w:t>22.</w:t>
            </w:r>
            <w:r>
              <w:tab/>
            </w:r>
            <w:r>
              <w:t xml:space="preserve">mudina Komisiju </w:t>
            </w:r>
            <w:r>
              <w:rPr>
                <w:b/>
                <w:i/>
              </w:rPr>
              <w:t>papildus tās iniciatīvai izveidot uzkrājumu un investīciju savienību</w:t>
            </w:r>
            <w:r>
              <w:t xml:space="preserve"> koncentrēties uz tirgu veicinošiem nosacījumiem, attiecīgiem kopsaucējiem dalībvalstīm un brīvprātīgām un papildinošām sistēmām;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425</w:t>
      </w:r>
      <w:r>
        <w:rPr>
          <w:rStyle w:val="HideTWBExt"/>
        </w:rPr>
        <w:t>&lt;/NumAm&gt;</w:t>
      </w:r>
    </w:p>
    <w:p>
      <w:pPr>
        <w:pStyle w:val="NormalBold"/>
      </w:pPr>
      <w:r>
        <w:rPr>
          <w:rStyle w:val="HideTWBExt"/>
          <w:b w:val="0"/>
        </w:rPr>
        <w:t>&lt;RepeatBlock-By&gt;</w:t>
      </w:r>
      <w:r>
        <w:rPr>
          <w:rStyle w:val="HideTWBExt"/>
          <w:b w:val="0"/>
        </w:rPr>
        <w:t>&lt;Members&gt;</w:t>
      </w:r>
      <w:r>
        <w:t>Sirpa Pietikäinen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22.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mudina Komisiju koncentrēties uz tirgu veicinošiem nosacījumiem, attiecīgiem kopsaucējiem dalībvalstīm un brīvprātīgām un papildinošām sistēmām </w:t>
            </w:r>
            <w:r>
              <w:rPr>
                <w:b/>
                <w:i/>
              </w:rPr>
              <w:t>saistībā ar subsidiaritāti</w:t>
            </w:r>
            <w:r>
              <w:t>;</w:t>
            </w:r>
          </w:p>
        </w:tc>
        <w:tc>
          <w:tcPr>
            <w:tcW w:w="4876" w:type="dxa"/>
            <w:tcBorders>
              <w:top w:val="nil"/>
              <w:left w:val="nil"/>
              <w:bottom w:val="nil"/>
              <w:right w:val="nil"/>
            </w:tcBorders>
          </w:tcPr>
          <w:p>
            <w:pPr>
              <w:pStyle w:val="Normal6a"/>
            </w:pPr>
            <w:r>
              <w:t>22.</w:t>
            </w:r>
            <w:r>
              <w:tab/>
            </w:r>
            <w:r>
              <w:t>mudina Komisiju koncentrēties uz tirgu veicinošiem nosacījumiem, attiecīgiem kopsaucējiem dalībvalstīm un brīvprātīgām un papildinošām sistēmām;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426</w:t>
      </w:r>
      <w:r>
        <w:rPr>
          <w:rStyle w:val="HideTWBExt"/>
        </w:rPr>
        <w:t>&lt;/NumAm&gt;</w:t>
      </w:r>
    </w:p>
    <w:p>
      <w:pPr>
        <w:pStyle w:val="NormalBold"/>
      </w:pPr>
      <w:r>
        <w:rPr>
          <w:rStyle w:val="HideTWBExt"/>
          <w:b w:val="0"/>
        </w:rPr>
        <w:t>&lt;RepeatBlock-By&gt;</w:t>
      </w:r>
      <w:r>
        <w:rPr>
          <w:rStyle w:val="HideTWBExt"/>
          <w:b w:val="0"/>
        </w:rPr>
        <w:t>&lt;Members&gt;</w:t>
      </w:r>
      <w:r>
        <w:t>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22.a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stingri prasa Savienības līmenī pieņemt visaptverošu un strukturētu stratēģiju to mazo un vidējo uzņēmumu atbalstam, kuri darbojas salu teritorijās, iekšzemes teritorijās, tālākajos reģionos, ekonomiski atpalikušās teritorijās un visos tajos Savienības apvidos, kas pastāvīgi atrodas nelabvēlīgākā situācijā tādu dabisku faktoru dēļ kā, piemēram, izolētība vai nomaļa ģeogrāfiskā atrašanās vieta;</w:t>
            </w:r>
            <w:r>
              <w:t xml:space="preserve"> </w:t>
            </w:r>
            <w:r>
              <w:rPr>
                <w:b/>
                <w:i/>
              </w:rPr>
              <w:t>uzsver, ka ir nepieciešams nodrošināt lielāku regulatīvo elastību un samazināt birokrātiskos šķēršļus uzņēmumiem, kas darbojas šajās teritorijās, īpašu uzmanību pievēršot ES salām un novājinātām teritorijām;</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427</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22.a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aicina Eiropas Komisiju izstrādāt un īstenot mērķtiecīgus finanšu instrumentus, kas pielāgoti mazāku ekonomiku un uzņēmumu vajadzībām, tādējādi nodrošinot vienlīdzīgu piekļuvi finansējuma iespējām;</w:t>
            </w:r>
            <w:r>
              <w:t xml:space="preserve"> </w:t>
            </w:r>
            <w:r>
              <w:rPr>
                <w:b/>
                <w:i/>
              </w:rPr>
              <w:t>uzsver, ka šādu iniciatīvu mērķim vajadzētu būt stimulēt inovāciju, atbalstīt ilgtspējīgu ekonomikas izaugsmi un samazināt investīciju atšķirības visā Savienībā, tādējādi veicinot Eiropas ekonomikas vispārējo konkurētspēju un noturību;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428</w:t>
      </w:r>
      <w:r>
        <w:rPr>
          <w:rStyle w:val="HideTWBExt"/>
        </w:rPr>
        <w:t>&lt;/NumAm&gt;</w:t>
      </w:r>
    </w:p>
    <w:p>
      <w:pPr>
        <w:pStyle w:val="NormalBold"/>
      </w:pPr>
      <w:r>
        <w:rPr>
          <w:rStyle w:val="HideTWBExt"/>
          <w:b w:val="0"/>
        </w:rPr>
        <w:t>&lt;RepeatBlock-By&gt;</w:t>
      </w:r>
      <w:r>
        <w:rPr>
          <w:rStyle w:val="HideTWBExt"/>
          <w:b w:val="0"/>
        </w:rPr>
        <w:t>&lt;Members&gt;</w:t>
      </w:r>
      <w:r>
        <w:t>Danuše Nerudová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22.a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mudina saglabāt saskaņotus izpildes mehānismus un minimālos sankciju standartus visās dalībvalstīs, lai nodrošinātu juridisko noteiktību MVU, kas vienotajā tirgū darbojas pāri robežām;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429</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22.a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aicina likvidēt šķēršļus pārrobežu ieguldījumiem un stiprināt kapitāla tirgu savienību, lai atvieglotu MVU piekļuvi gan kapitāla, gan parāda tirgiem;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430</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23.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23.</w:t>
            </w:r>
            <w:r>
              <w:tab/>
            </w:r>
            <w:r>
              <w:rPr>
                <w:b/>
                <w:i/>
              </w:rPr>
              <w:t>aicina Komisiju precizēt, no kā sastāvēs 28. tiesiskais regulējums, un atgādina, ka tam jābūt brīvprātīgam un pilnībā jāievēro dalībvalstu režīmi;</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431</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23.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23.</w:t>
            </w:r>
            <w:r>
              <w:tab/>
            </w:r>
            <w:r>
              <w:rPr>
                <w:b/>
                <w:i/>
              </w:rPr>
              <w:t>aicina Komisiju precizēt, no kā sastāvēs 28. tiesiskais regulējums, un atgādina, ka tam jābūt brīvprātīgam un pilnībā jāievēro dalībvalstu režīmi;</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432</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23.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rPr>
                <w:b/>
                <w:i/>
              </w:rPr>
              <w:t>aicina Komisiju precizēt, no kā sastāvēs 28. tiesiskais regulējums, un atgādina, ka tam jābūt brīvprātīgam un pilnībā</w:t>
            </w:r>
            <w:r>
              <w:t xml:space="preserve"> jāievēro </w:t>
            </w:r>
            <w:r>
              <w:rPr>
                <w:b/>
                <w:i/>
              </w:rPr>
              <w:t>dalībvalstu režīmi</w:t>
            </w:r>
            <w:r>
              <w:t>;</w:t>
            </w:r>
          </w:p>
        </w:tc>
        <w:tc>
          <w:tcPr>
            <w:tcW w:w="4876" w:type="dxa"/>
            <w:tcBorders>
              <w:top w:val="nil"/>
              <w:left w:val="nil"/>
              <w:bottom w:val="nil"/>
              <w:right w:val="nil"/>
            </w:tcBorders>
          </w:tcPr>
          <w:p>
            <w:pPr>
              <w:pStyle w:val="Normal6a"/>
            </w:pPr>
            <w:r>
              <w:t>23.</w:t>
            </w:r>
            <w:r>
              <w:tab/>
            </w:r>
            <w:r>
              <w:rPr>
                <w:b/>
                <w:i/>
              </w:rPr>
              <w:t>atzinīgi vērtē Letta ziņojumu un atsauci uz brīvprātīgu 28. režīmu, kurā īpaša uzmanība tiks veltīta inovatīvu jaunuzņēmumu piesaistīšanai un noturēšanai Eiropas Savienībā;</w:t>
            </w:r>
            <w:r>
              <w:t xml:space="preserve"> </w:t>
            </w:r>
            <w:r>
              <w:rPr>
                <w:b/>
                <w:i/>
              </w:rPr>
              <w:t>uzsver, ka šajā režīmā būtu</w:t>
            </w:r>
            <w:r>
              <w:t xml:space="preserve"> jāievēro </w:t>
            </w:r>
            <w:r>
              <w:rPr>
                <w:b/>
                <w:i/>
              </w:rPr>
              <w:t>subsidiaritātes princips, jāsamazina saistību izpildes izmaksas, jāveicina pārrobežu ieguldījumi, jānodrošina pievilcīgi un vienkārši nodokļu noteikumi un līdz minimumam jāsamazina izkropļojumi, vienlaikus turpinot cīņu pret izvairīšanos no nodokļu maksāšanas</w:t>
            </w:r>
            <w:r>
              <w:t xml:space="preserve">; </w:t>
            </w:r>
            <w:r>
              <w:rPr>
                <w:b/>
                <w:i/>
              </w:rPr>
              <w:t>uzsver, ka šo principu ievērošana ir ļoti svarīga, lai padarītu ES par vadošu investēšanas un inovācijas centru;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433</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23.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aicina Komisiju precizēt, no kā sastāvēs 28. </w:t>
            </w:r>
            <w:r>
              <w:rPr>
                <w:b/>
                <w:i/>
              </w:rPr>
              <w:t>tiesiskais regulējums, un atgādina, ka tam jābūt brīvprātīgam un pilnībā jāievēro</w:t>
            </w:r>
            <w:r>
              <w:t xml:space="preserve"> dalībvalstu </w:t>
            </w:r>
            <w:r>
              <w:rPr>
                <w:b/>
                <w:i/>
              </w:rPr>
              <w:t>režīmi</w:t>
            </w:r>
            <w:r>
              <w:t>;</w:t>
            </w:r>
          </w:p>
        </w:tc>
        <w:tc>
          <w:tcPr>
            <w:tcW w:w="4876" w:type="dxa"/>
            <w:tcBorders>
              <w:top w:val="nil"/>
              <w:left w:val="nil"/>
              <w:bottom w:val="nil"/>
              <w:right w:val="nil"/>
            </w:tcBorders>
          </w:tcPr>
          <w:p>
            <w:pPr>
              <w:pStyle w:val="Normal6a"/>
            </w:pPr>
            <w:r>
              <w:t>23.</w:t>
            </w:r>
            <w:r>
              <w:tab/>
            </w:r>
            <w:r>
              <w:t xml:space="preserve">aicina Komisiju precizēt, no kā sastāvēs 28. </w:t>
            </w:r>
            <w:r>
              <w:rPr>
                <w:b/>
                <w:i/>
              </w:rPr>
              <w:t>režīms, un novērtēt šāda režīma iespējamo ieviešanu un ietekmi;</w:t>
            </w:r>
            <w:r>
              <w:t xml:space="preserve"> </w:t>
            </w:r>
            <w:r>
              <w:rPr>
                <w:b/>
                <w:i/>
              </w:rPr>
              <w:t>uzskata, ka Komisijai nevajadzētu bezgalīgi turpināt ES-27 pieeju uzkrājumu un investīciju savienībai, jo ES konkurētspējas interesēs ir pārāk svarīgi atlikt šādas pieejas īstenošanu;</w:t>
            </w:r>
            <w:r>
              <w:t xml:space="preserve"> </w:t>
            </w:r>
            <w:r>
              <w:rPr>
                <w:b/>
                <w:i/>
              </w:rPr>
              <w:t>uzsver, ka vajadzētu būt iespējai virzīt uzkrājumu un investīciju savienības izveidi mazākā</w:t>
            </w:r>
            <w:r>
              <w:t xml:space="preserve"> dalībvalstu </w:t>
            </w:r>
            <w:r>
              <w:rPr>
                <w:b/>
                <w:i/>
              </w:rPr>
              <w:t>grupā vai labas gribas koalīcijā</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434</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23.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aicina Komisiju precizēt, no kā sastāvēs 28. tiesiskais regulējums, un atgādina, ka tam jābūt brīvprātīgam un pilnībā jāievēro dalībvalstu režīmi;</w:t>
            </w:r>
          </w:p>
        </w:tc>
        <w:tc>
          <w:tcPr>
            <w:tcW w:w="4876" w:type="dxa"/>
            <w:tcBorders>
              <w:top w:val="nil"/>
              <w:left w:val="nil"/>
              <w:bottom w:val="nil"/>
              <w:right w:val="nil"/>
            </w:tcBorders>
          </w:tcPr>
          <w:p>
            <w:pPr>
              <w:pStyle w:val="Normal6a"/>
            </w:pPr>
            <w:r>
              <w:t>23.</w:t>
            </w:r>
            <w:r>
              <w:tab/>
            </w:r>
            <w:r>
              <w:t xml:space="preserve">aicina Komisiju precizēt, no kā sastāvēs 28. tiesiskais regulējums, un atgādina, ka tam jābūt brīvprātīgam un pilnībā jāievēro dalībvalstu režīmi; </w:t>
            </w:r>
            <w:r>
              <w:rPr>
                <w:b/>
                <w:i/>
              </w:rPr>
              <w:t>šajā sakarībā atgādina, ka privātajam sektoram ir būtiska nozīme attīstībā un ka tādēļ par prioritāti būtu jānosaka tā vajadzību ievērošana, lai neradītu lielāku slogu vai likumdošanas nenoteiktību;</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435</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23.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aicina Komisiju precizēt, no kā sastāvēs 28. tiesiskais regulējums, un </w:t>
            </w:r>
            <w:r>
              <w:rPr>
                <w:b/>
                <w:i/>
              </w:rPr>
              <w:t>atgādina, ka tam jābūt brīvprātīgam un pilnībā jāievēro dalībvalstu režīmi</w:t>
            </w:r>
            <w:r>
              <w:t>;</w:t>
            </w:r>
          </w:p>
        </w:tc>
        <w:tc>
          <w:tcPr>
            <w:tcW w:w="4876" w:type="dxa"/>
            <w:tcBorders>
              <w:top w:val="nil"/>
              <w:left w:val="nil"/>
              <w:bottom w:val="nil"/>
              <w:right w:val="nil"/>
            </w:tcBorders>
          </w:tcPr>
          <w:p>
            <w:pPr>
              <w:pStyle w:val="Normal6a"/>
            </w:pPr>
            <w:r>
              <w:t>23.</w:t>
            </w:r>
            <w:r>
              <w:tab/>
            </w:r>
            <w:r>
              <w:t xml:space="preserve">aicina Komisiju precizēt, no kā sastāvēs 28. tiesiskais regulējums, un </w:t>
            </w:r>
            <w:r>
              <w:rPr>
                <w:b/>
                <w:i/>
              </w:rPr>
              <w:t>padziļināt pievienoto vērtību, ko tas var radīt, lai izveidotu saskaņotāku un pievilcīgāku MVU finansēšanas ekosistēmu Eiropas un ārvalstu kapitāla ieguldījumiem</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436</w:t>
      </w:r>
      <w:r>
        <w:rPr>
          <w:rStyle w:val="HideTWBExt"/>
        </w:rPr>
        <w:t>&lt;/NumAm&gt;</w:t>
      </w:r>
    </w:p>
    <w:p>
      <w:pPr>
        <w:pStyle w:val="NormalBold"/>
      </w:pPr>
      <w:r>
        <w:rPr>
          <w:rStyle w:val="HideTWBExt"/>
          <w:b w:val="0"/>
        </w:rPr>
        <w:t>&lt;RepeatBlock-By&gt;</w:t>
      </w:r>
      <w:r>
        <w:rPr>
          <w:rStyle w:val="HideTWBExt"/>
          <w:b w:val="0"/>
        </w:rPr>
        <w:t>&lt;Members&gt;</w:t>
      </w:r>
      <w:r>
        <w:t>Pascal Canfin, Stéphanie Yon-Courtin,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23.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aicina Komisiju </w:t>
            </w:r>
            <w:r>
              <w:rPr>
                <w:b/>
                <w:i/>
              </w:rPr>
              <w:t>precizēt, no kā sastāvēs 28. tiesiskais regulējums, un atgādina, ka tam jābūt brīvprātīgam un pilnībā jāievēro dalībvalstu režīmi</w:t>
            </w:r>
            <w:r>
              <w:t>;</w:t>
            </w:r>
          </w:p>
        </w:tc>
        <w:tc>
          <w:tcPr>
            <w:tcW w:w="4876" w:type="dxa"/>
            <w:tcBorders>
              <w:top w:val="nil"/>
              <w:left w:val="nil"/>
              <w:bottom w:val="nil"/>
              <w:right w:val="nil"/>
            </w:tcBorders>
          </w:tcPr>
          <w:p>
            <w:pPr>
              <w:pStyle w:val="Normal6a"/>
            </w:pPr>
            <w:r>
              <w:t>23.</w:t>
            </w:r>
            <w:r>
              <w:tab/>
            </w:r>
            <w:r>
              <w:t xml:space="preserve">aicina Komisiju </w:t>
            </w:r>
            <w:r>
              <w:rPr>
                <w:b/>
                <w:i/>
              </w:rPr>
              <w:t>pieņemt vērienīgu priekšlikumu par 28. režīmu, lai palīdzētu jaunuzņēmumiem kļūt par Eiropas tehnoloģiju līderiem un sekmētu to globālo konkurētspēju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437</w:t>
      </w:r>
      <w:r>
        <w:rPr>
          <w:rStyle w:val="HideTWBExt"/>
        </w:rPr>
        <w:t>&lt;/NumAm&gt;</w:t>
      </w:r>
    </w:p>
    <w:p>
      <w:pPr>
        <w:pStyle w:val="NormalBold"/>
      </w:pPr>
      <w:r>
        <w:rPr>
          <w:rStyle w:val="HideTWBExt"/>
          <w:b w:val="0"/>
        </w:rPr>
        <w:t>&lt;RepeatBlock-By&gt;</w:t>
      </w:r>
      <w:r>
        <w:rPr>
          <w:rStyle w:val="HideTWBExt"/>
          <w:b w:val="0"/>
        </w:rPr>
        <w:t>&lt;Members&gt;</w:t>
      </w:r>
      <w:r>
        <w:t>Jonás Fernández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23.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aicina Komisiju precizēt, </w:t>
            </w:r>
            <w:r>
              <w:rPr>
                <w:b/>
                <w:i/>
              </w:rPr>
              <w:t>no kā sastāvēs 28. tiesiskais regulējums, un atgādina, ka tam jābūt brīvprātīgam un pilnībā jāievēro dalībvalstu režīmi</w:t>
            </w:r>
            <w:r>
              <w:t>;</w:t>
            </w:r>
          </w:p>
        </w:tc>
        <w:tc>
          <w:tcPr>
            <w:tcW w:w="4876" w:type="dxa"/>
            <w:tcBorders>
              <w:top w:val="nil"/>
              <w:left w:val="nil"/>
              <w:bottom w:val="nil"/>
              <w:right w:val="nil"/>
            </w:tcBorders>
          </w:tcPr>
          <w:p>
            <w:pPr>
              <w:pStyle w:val="Normal6a"/>
            </w:pPr>
            <w:r>
              <w:t>23.</w:t>
            </w:r>
            <w:r>
              <w:tab/>
            </w:r>
            <w:r>
              <w:t xml:space="preserve">aicina Komisiju precizēt, </w:t>
            </w:r>
            <w:r>
              <w:rPr>
                <w:b/>
                <w:i/>
              </w:rPr>
              <w:t>ko varētu ietvert 28. režīms, un brīdina par tā iespējamo sadrumstalotības risku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438</w:t>
      </w:r>
      <w:r>
        <w:rPr>
          <w:rStyle w:val="HideTWBExt"/>
        </w:rPr>
        <w:t>&lt;/NumAm&gt;</w:t>
      </w:r>
    </w:p>
    <w:p>
      <w:pPr>
        <w:pStyle w:val="NormalBold"/>
      </w:pPr>
      <w:r>
        <w:rPr>
          <w:rStyle w:val="HideTWBExt"/>
          <w:b w:val="0"/>
        </w:rPr>
        <w:t>&lt;RepeatBlock-By&gt;</w:t>
      </w:r>
      <w:r>
        <w:rPr>
          <w:rStyle w:val="HideTWBExt"/>
          <w:b w:val="0"/>
        </w:rPr>
        <w:t>&lt;Members&gt;</w:t>
      </w:r>
      <w:r>
        <w:t>Anouk Van Brug, Billy Kelleher, Stéphanie Yon-Courtin, Gilles Boyer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23.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aicina Komisiju precizēt, no kā sastāvēs 28. </w:t>
            </w:r>
            <w:r>
              <w:rPr>
                <w:b/>
                <w:i/>
              </w:rPr>
              <w:t>tiesiskais regulējums</w:t>
            </w:r>
            <w:r>
              <w:t xml:space="preserve">, un atgādina, ka tam </w:t>
            </w:r>
            <w:r>
              <w:rPr>
                <w:b/>
                <w:i/>
              </w:rPr>
              <w:t>jābūt brīvprātīgam un pilnībā jāievēro dalībvalstu režīmi</w:t>
            </w:r>
            <w:r>
              <w:t>;</w:t>
            </w:r>
          </w:p>
        </w:tc>
        <w:tc>
          <w:tcPr>
            <w:tcW w:w="4876" w:type="dxa"/>
            <w:tcBorders>
              <w:top w:val="nil"/>
              <w:left w:val="nil"/>
              <w:bottom w:val="nil"/>
              <w:right w:val="nil"/>
            </w:tcBorders>
          </w:tcPr>
          <w:p>
            <w:pPr>
              <w:pStyle w:val="Normal6a"/>
            </w:pPr>
            <w:r>
              <w:t>23.</w:t>
            </w:r>
            <w:r>
              <w:tab/>
            </w:r>
            <w:r>
              <w:t>aicina Komisiju precizēt, no kā sastāvēs 28. </w:t>
            </w:r>
            <w:r>
              <w:rPr>
                <w:b/>
                <w:i/>
              </w:rPr>
              <w:t>režīms</w:t>
            </w:r>
            <w:r>
              <w:t xml:space="preserve">, un atgādina, ka tam </w:t>
            </w:r>
            <w:r>
              <w:rPr>
                <w:b/>
                <w:i/>
              </w:rPr>
              <w:t>jārada skaidra pievienotā vērtība ES līmenī</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439</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23.a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uzsver, ka Eiropas Investīciju bankai (EIB) ir izšķirīga loma ES riska kapitāla tirgu attīstīšanā;</w:t>
            </w:r>
            <w:r>
              <w:t xml:space="preserve"> </w:t>
            </w:r>
            <w:r>
              <w:rPr>
                <w:b/>
                <w:i/>
              </w:rPr>
              <w:t>aicina Komisiju un EIB grupu rīkoties, lai veicinātu institucionālo investoru iesaisti riska kapitālā, palīdzot tiem uzkrāt specializētās zināšanas par riska kapitālu;</w:t>
            </w:r>
            <w:r>
              <w:t xml:space="preserve"> </w:t>
            </w:r>
            <w:r>
              <w:rPr>
                <w:b/>
                <w:i/>
              </w:rPr>
              <w:t>tādēļ aicina EIB grupu izveidot Eiropas tehnoloģiju forumu, kas apvienotu visu riska kapitāla ekosistēmu, lai uzlabotu institucionālo investoru informētību un iesaisti jautājumos par "Tibi" iniciatīvas modeli;</w:t>
            </w:r>
            <w:r>
              <w:t xml:space="preserve"> </w:t>
            </w:r>
            <w:r>
              <w:rPr>
                <w:b/>
                <w:i/>
              </w:rPr>
              <w:t>aicina EIB piedāvāt šādiem investoriem iespēju iesaistīties Eiropas Investīciju fonda (EIF) un institucionālo investoru kolektīvu investīciju shēmā saskaņā ar pārredzamiem un iepriekš atrunātiem noteikumiem;</w:t>
            </w:r>
            <w:r>
              <w:t xml:space="preserve"> </w:t>
            </w:r>
            <w:r>
              <w:rPr>
                <w:b/>
                <w:i/>
              </w:rPr>
              <w:t>uzsver, ka EIB ir svarīgi īstenot labākus komunikācijas un informēšanas centienus, lai nodrošinātu, ka jaunuzņēmumi un augošie uzņēmumi pilnībā gūst labumu no EIB instrumentiem un finansiālā atbalsta;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440</w:t>
      </w:r>
      <w:r>
        <w:rPr>
          <w:rStyle w:val="HideTWBExt"/>
        </w:rPr>
        <w:t>&lt;/NumAm&gt;</w:t>
      </w:r>
    </w:p>
    <w:p>
      <w:pPr>
        <w:pStyle w:val="NormalBold"/>
      </w:pPr>
      <w:r>
        <w:rPr>
          <w:rStyle w:val="HideTWBExt"/>
          <w:b w:val="0"/>
        </w:rPr>
        <w:t>&lt;RepeatBlock-By&gt;</w:t>
      </w:r>
      <w:r>
        <w:rPr>
          <w:rStyle w:val="HideTWBExt"/>
          <w:b w:val="0"/>
        </w:rPr>
        <w:t>&lt;Members&gt;</w:t>
      </w:r>
      <w:r>
        <w:t>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23.a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aicina Komisiju racionalizēt valstu noteikumus par riska kapitāla fondu tirdzniecību un ieguldītāju aizsardzību;</w:t>
            </w:r>
            <w:r>
              <w:t xml:space="preserve"> </w:t>
            </w:r>
            <w:r>
              <w:rPr>
                <w:b/>
                <w:i/>
              </w:rPr>
              <w:t>atzīst, ka valstu tiesību aktus un praksi ir grūti mainīt;</w:t>
            </w:r>
            <w:r>
              <w:t xml:space="preserve"> </w:t>
            </w:r>
            <w:r>
              <w:rPr>
                <w:b/>
                <w:i/>
              </w:rPr>
              <w:t>ierosina gaidāmajā 28. režīmā paredzēt Eiropas mēroga riska kapitāla sistēmas integrāciju;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441</w:t>
      </w:r>
      <w:r>
        <w:rPr>
          <w:rStyle w:val="HideTWBExt"/>
        </w:rPr>
        <w:t>&lt;/NumAm&gt;</w:t>
      </w:r>
    </w:p>
    <w:p>
      <w:pPr>
        <w:pStyle w:val="NormalBold"/>
      </w:pPr>
      <w:r>
        <w:rPr>
          <w:rStyle w:val="HideTWBExt"/>
          <w:b w:val="0"/>
        </w:rPr>
        <w:t>&lt;RepeatBlock-By&gt;</w:t>
      </w:r>
      <w:r>
        <w:rPr>
          <w:rStyle w:val="HideTWBExt"/>
          <w:b w:val="0"/>
        </w:rPr>
        <w:t>&lt;Members&gt;</w:t>
      </w:r>
      <w:r>
        <w:t>Gaetano Pedulla'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24.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24.</w:t>
            </w:r>
            <w:r>
              <w:tab/>
            </w:r>
            <w:r>
              <w:rPr>
                <w:b/>
                <w:i/>
              </w:rPr>
              <w:t>aicina Komisiju ar dalībvalstu iestāžu atbalstu izstrādāt uzņēmējdarbības pamatnostādnes MVU un augošiem uzņēmumiem, lai palīdzētu tiem orientēties dažādās ES tiesību sistēmās tādos jautājumos kā uzņēmējdarbības tiesības, darba tiesības, maksātnespējas tiesības, nodokļu tiesības, intelektuālā īpašuma tiesības un valsts finansējuma iespējas;</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442</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24.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24.</w:t>
            </w:r>
            <w:r>
              <w:tab/>
            </w:r>
            <w:r>
              <w:rPr>
                <w:b/>
                <w:i/>
              </w:rPr>
              <w:t>aicina Komisiju ar dalībvalstu iestāžu atbalstu izstrādāt uzņēmējdarbības pamatnostādnes MVU un augošiem uzņēmumiem, lai palīdzētu tiem orientēties dažādās ES tiesību sistēmās tādos jautājumos kā uzņēmējdarbības tiesības, darba tiesības, maksātnespējas tiesības, nodokļu tiesības, intelektuālā īpašuma tiesības un valsts finansējuma iespējas;</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443</w:t>
      </w:r>
      <w:r>
        <w:rPr>
          <w:rStyle w:val="HideTWBExt"/>
        </w:rPr>
        <w:t>&lt;/NumAm&gt;</w:t>
      </w:r>
    </w:p>
    <w:p>
      <w:pPr>
        <w:pStyle w:val="NormalBold"/>
      </w:pPr>
      <w:r>
        <w:rPr>
          <w:rStyle w:val="HideTWBExt"/>
          <w:b w:val="0"/>
        </w:rPr>
        <w:t>&lt;RepeatBlock-By&gt;</w:t>
      </w:r>
      <w:r>
        <w:rPr>
          <w:rStyle w:val="HideTWBExt"/>
          <w:b w:val="0"/>
        </w:rPr>
        <w:t>&lt;Members&gt;</w:t>
      </w:r>
      <w:r>
        <w:t>Gilles Boyer, Billy Kelleher, Stéphanie Yon-Courtin, Pascal Canfin, Anouk Van Brug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24.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aicina Komisiju ar dalībvalstu iestāžu atbalstu izstrādāt uzņēmējdarbības pamatnostādnes MVU un augošiem uzņēmumiem, lai palīdzētu tiem orientēties dažādās ES tiesību sistēmās tādos jautājumos kā uzņēmējdarbības tiesības, darba tiesības, maksātnespējas tiesības, nodokļu tiesības, intelektuālā īpašuma tiesības un valsts finansējuma iespējas;</w:t>
            </w:r>
          </w:p>
        </w:tc>
        <w:tc>
          <w:tcPr>
            <w:tcW w:w="4876" w:type="dxa"/>
            <w:tcBorders>
              <w:top w:val="nil"/>
              <w:left w:val="nil"/>
              <w:bottom w:val="nil"/>
              <w:right w:val="nil"/>
            </w:tcBorders>
          </w:tcPr>
          <w:p>
            <w:pPr>
              <w:pStyle w:val="Normal6a"/>
            </w:pPr>
            <w:r>
              <w:t>24.</w:t>
            </w:r>
            <w:r>
              <w:tab/>
            </w:r>
            <w:r>
              <w:rPr>
                <w:b/>
                <w:i/>
              </w:rPr>
              <w:t>kamēr tiek īstenota ES līmeņa konverģence attiecībā uz maksātnespējas tiesību aktu pašreizējo sadrumstalotību dalībvalstīs,</w:t>
            </w:r>
            <w:r>
              <w:t xml:space="preserve"> aicina Komisiju ar dalībvalstu iestāžu atbalstu izstrādāt uzņēmējdarbības pamatnostādnes MVU un augošiem uzņēmumiem, lai palīdzētu tiem orientēties dažādās ES tiesību sistēmās tādos jautājumos kā uzņēmējdarbības tiesības, darba tiesības, maksātnespējas tiesības, nodokļu tiesības, intelektuālā īpašuma tiesības un valsts finansējuma iespējas; </w:t>
            </w:r>
            <w:r>
              <w:rPr>
                <w:b/>
                <w:i/>
              </w:rPr>
              <w:t>aicina Komisiju steidzami risināt šo būtisko problēmu, kā uzsvērts Draghi un Letta ziņojumos, un uzsver, ka tam būtu svarīga nozīme uzkrājumu un investīciju savienības izveidē;</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444</w:t>
      </w:r>
      <w:r>
        <w:rPr>
          <w:rStyle w:val="HideTWBExt"/>
        </w:rPr>
        <w:t>&lt;/NumAm&gt;</w:t>
      </w:r>
    </w:p>
    <w:p>
      <w:pPr>
        <w:pStyle w:val="NormalBold"/>
      </w:pPr>
      <w:r>
        <w:rPr>
          <w:rStyle w:val="HideTWBExt"/>
          <w:b w:val="0"/>
        </w:rPr>
        <w:t>&lt;RepeatBlock-By&gt;</w:t>
      </w:r>
      <w:r>
        <w:rPr>
          <w:rStyle w:val="HideTWBExt"/>
          <w:b w:val="0"/>
        </w:rPr>
        <w:t>&lt;Members&gt;</w:t>
      </w:r>
      <w:r>
        <w:t>Danuše Nerudová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24.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aicina Komisiju ar dalībvalstu iestāžu atbalstu izstrādāt uzņēmējdarbības pamatnostādnes MVU un augošiem uzņēmumiem, lai palīdzētu tiem orientēties dažādās ES tiesību sistēmās tādos jautājumos kā uzņēmējdarbības tiesības, darba tiesības, maksātnespējas tiesības, nodokļu tiesības, intelektuālā īpašuma tiesības un valsts finansējuma iespējas;</w:t>
            </w:r>
          </w:p>
        </w:tc>
        <w:tc>
          <w:tcPr>
            <w:tcW w:w="4876" w:type="dxa"/>
            <w:tcBorders>
              <w:top w:val="nil"/>
              <w:left w:val="nil"/>
              <w:bottom w:val="nil"/>
              <w:right w:val="nil"/>
            </w:tcBorders>
          </w:tcPr>
          <w:p>
            <w:pPr>
              <w:pStyle w:val="Normal6a"/>
            </w:pPr>
            <w:r>
              <w:t>24.</w:t>
            </w:r>
            <w:r>
              <w:tab/>
            </w:r>
            <w:r>
              <w:t xml:space="preserve">aicina Komisiju ar dalībvalstu iestāžu atbalstu izstrādāt uzņēmējdarbības pamatnostādnes MVU un augošiem uzņēmumiem, lai palīdzētu tiem orientēties dažādās ES tiesību sistēmās tādos jautājumos kā uzņēmējdarbības tiesības, darba tiesības, maksātnespējas tiesības, nodokļu tiesības, intelektuālā īpašuma tiesības un valsts finansējuma iespējas; </w:t>
            </w:r>
            <w:r>
              <w:rPr>
                <w:b/>
                <w:i/>
              </w:rPr>
              <w:t>aicina palielināt atbalstu, lai stiprinātu MVU digitālās, finansiālās un ar ilgtspēju saistītās spējas, tostarp izmantojot konsultāciju centrus, vienkāršotus norādījumu rīkus, tiešsaistes navigācijas platformas un pārrobežu apmācības programmas;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445</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24.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aicina Komisiju ar dalībvalstu iestāžu atbalstu izstrādāt uzņēmējdarbības pamatnostādnes MVU un augošiem uzņēmumiem, lai palīdzētu tiem orientēties dažādās ES tiesību sistēmās tādos jautājumos kā uzņēmējdarbības tiesības, darba tiesības, maksātnespējas tiesības, nodokļu tiesības, intelektuālā īpašuma tiesības un valsts finansējuma iespējas;</w:t>
            </w:r>
          </w:p>
        </w:tc>
        <w:tc>
          <w:tcPr>
            <w:tcW w:w="4876" w:type="dxa"/>
            <w:tcBorders>
              <w:top w:val="nil"/>
              <w:left w:val="nil"/>
              <w:bottom w:val="nil"/>
              <w:right w:val="nil"/>
            </w:tcBorders>
          </w:tcPr>
          <w:p>
            <w:pPr>
              <w:pStyle w:val="Normal6a"/>
            </w:pPr>
            <w:r>
              <w:t>24.</w:t>
            </w:r>
            <w:r>
              <w:tab/>
            </w:r>
            <w:r>
              <w:t xml:space="preserve">aicina Komisiju ar dalībvalstu iestāžu atbalstu izstrādāt uzņēmējdarbības pamatnostādnes MVU un augošiem uzņēmumiem </w:t>
            </w:r>
            <w:r>
              <w:rPr>
                <w:b/>
                <w:i/>
              </w:rPr>
              <w:t>un radīt vienas pieturas aģentūras šo uzņēmumu vajadzībām</w:t>
            </w:r>
            <w:r>
              <w:t>, lai palīdzētu tiem orientēties dažādās ES tiesību sistēmās tādos jautājumos kā uzņēmējdarbības tiesības, darba tiesības, maksātnespējas tiesības, nodokļu tiesības, intelektuālā īpašuma tiesības un valsts finansējuma iespējas;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446</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24.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aicina Komisiju </w:t>
            </w:r>
            <w:r>
              <w:rPr>
                <w:b/>
                <w:i/>
              </w:rPr>
              <w:t>ar</w:t>
            </w:r>
            <w:r>
              <w:t xml:space="preserve"> dalībvalstu </w:t>
            </w:r>
            <w:r>
              <w:rPr>
                <w:b/>
                <w:i/>
              </w:rPr>
              <w:t>iestāžu atbalstu izstrādāt</w:t>
            </w:r>
            <w:r>
              <w:t xml:space="preserve"> uzņēmējdarbības </w:t>
            </w:r>
            <w:r>
              <w:rPr>
                <w:b/>
                <w:i/>
              </w:rPr>
              <w:t>pamatnostādnes MVU un augošiem uzņēmumiem, lai palīdzētu tiem orientēties dažādās ES</w:t>
            </w:r>
            <w:r>
              <w:t xml:space="preserve"> tiesību </w:t>
            </w:r>
            <w:r>
              <w:rPr>
                <w:b/>
                <w:i/>
              </w:rPr>
              <w:t>sistēmās tādos jautājumos kā uzņēmējdarbības tiesības, darba tiesības</w:t>
            </w:r>
            <w:r>
              <w:t xml:space="preserve">, maksātnespējas </w:t>
            </w:r>
            <w:r>
              <w:rPr>
                <w:b/>
                <w:i/>
              </w:rPr>
              <w:t>tiesības, nodokļu tiesības,</w:t>
            </w:r>
            <w:r>
              <w:t xml:space="preserve"> intelektuālā īpašuma </w:t>
            </w:r>
            <w:r>
              <w:rPr>
                <w:b/>
                <w:i/>
              </w:rPr>
              <w:t>tiesības un valsts finansējuma iespējas</w:t>
            </w:r>
            <w:r>
              <w:t>;</w:t>
            </w:r>
          </w:p>
        </w:tc>
        <w:tc>
          <w:tcPr>
            <w:tcW w:w="4876" w:type="dxa"/>
            <w:tcBorders>
              <w:top w:val="nil"/>
              <w:left w:val="nil"/>
              <w:bottom w:val="nil"/>
              <w:right w:val="nil"/>
            </w:tcBorders>
          </w:tcPr>
          <w:p>
            <w:pPr>
              <w:pStyle w:val="Normal6a"/>
            </w:pPr>
            <w:r>
              <w:t>24.</w:t>
            </w:r>
            <w:r>
              <w:tab/>
            </w:r>
            <w:r>
              <w:t xml:space="preserve">aicina Komisiju </w:t>
            </w:r>
            <w:r>
              <w:rPr>
                <w:b/>
                <w:i/>
              </w:rPr>
              <w:t>apzināt attiecīgos</w:t>
            </w:r>
            <w:r>
              <w:t xml:space="preserve"> dalībvalstu uzņēmējdarbības tiesību, maksātnespējas </w:t>
            </w:r>
            <w:r>
              <w:rPr>
                <w:b/>
                <w:i/>
              </w:rPr>
              <w:t>tiesību un</w:t>
            </w:r>
            <w:r>
              <w:t xml:space="preserve"> intelektuālā īpašuma </w:t>
            </w:r>
            <w:r>
              <w:rPr>
                <w:b/>
                <w:i/>
              </w:rPr>
              <w:t>tiesību aspektus, kurus vidējā termiņā varētu labāk saskaņot un kuri sniegtu nepārprotamus papildu ieguvumus konkurētspējas ziņā</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447</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24.a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24.a</w:t>
            </w:r>
            <w:r>
              <w:tab/>
            </w:r>
            <w:r>
              <w:rPr>
                <w:b/>
                <w:i/>
              </w:rPr>
              <w:t>iesaka Eiropas Investīciju fondam (EIF) publicēt anonimizētus detalizētus datus par ieņēmumiem un citus būtiskākos statistikas datus par EIF atbalstītajiem fondiem;</w:t>
            </w:r>
            <w:r>
              <w:t xml:space="preserve"> </w:t>
            </w:r>
            <w:r>
              <w:rPr>
                <w:b/>
                <w:i/>
              </w:rPr>
              <w:t>aicina palielināt EIF budžetu, lai uzlabotu ES riska kapitāla ekosistēmu saskaņā ar ieteikumu Draghi ziņojumā;</w:t>
            </w:r>
            <w:r>
              <w:t xml:space="preserve"> </w:t>
            </w:r>
            <w:r>
              <w:rPr>
                <w:b/>
                <w:i/>
              </w:rPr>
              <w:t>aicina EIF palielināt tādu investīciju īpatsvaru, kam ir pozitīva ietekme uz vidi, un noteikt un piemērot stingrus ilgtspējas nosacījumus;</w:t>
            </w:r>
            <w:r>
              <w:t xml:space="preserve"> </w:t>
            </w:r>
            <w:r>
              <w:rPr>
                <w:b/>
                <w:i/>
              </w:rPr>
              <w:t>prasa EIF rādīt piemēru un prasīt saviem finanšu starpniekiem pārbaudīt un pārliecināties, ka visās to piegādes ķēdēs tiek ievērotas cilvēktiesības;</w:t>
            </w:r>
            <w:r>
              <w:t xml:space="preserve"> </w:t>
            </w:r>
            <w:r>
              <w:rPr>
                <w:b/>
                <w:i/>
              </w:rPr>
              <w:t>mudina EIF un valstu attīstības bankas palielināt finansiālo atbalstu jaunuzņēmumiem un augošiem uzņēmumiem, sniedzot aizdevumu garantijas un samazinot risku augošajiem ražošanas uzņēmumiem, izmantojot ražošanas garantijas;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448</w:t>
      </w:r>
      <w:r>
        <w:rPr>
          <w:rStyle w:val="HideTWBExt"/>
        </w:rPr>
        <w:t>&lt;/NumAm&gt;</w:t>
      </w:r>
    </w:p>
    <w:p>
      <w:pPr>
        <w:pStyle w:val="NormalBold"/>
      </w:pPr>
      <w:r>
        <w:rPr>
          <w:rStyle w:val="HideTWBExt"/>
          <w:b w:val="0"/>
        </w:rPr>
        <w:t>&lt;RepeatBlock-By&gt;</w:t>
      </w:r>
      <w:r>
        <w:rPr>
          <w:rStyle w:val="HideTWBExt"/>
          <w:b w:val="0"/>
        </w:rPr>
        <w:t>&lt;Members&gt;</w:t>
      </w:r>
      <w:r>
        <w:t>Lídia Pereira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24.a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24.a</w:t>
            </w:r>
            <w:r>
              <w:tab/>
            </w:r>
            <w:r>
              <w:rPr>
                <w:b/>
                <w:i/>
              </w:rPr>
              <w:t>aicina Padomi nodrošināt ekonomikas dalībniekiem juridisko noteiktību, drošību un paredzamību, atraisot juridiskus instrumentus, kas var palīdzēt uzlabot uzņēmējdarbības vidi Eiropā, proti, nodokļu politikas jomā (piemēram, HAT, FASTER vai SAFE);</w:t>
            </w:r>
            <w:r>
              <w:t xml:space="preserve"> </w:t>
            </w:r>
            <w:r>
              <w:rPr>
                <w:b/>
                <w:i/>
              </w:rPr>
              <w:t>aicina Komisiju izvērtēt vairākas likumdošanas iniciatīvas, kas var radīt nevajadzīgu slogu uzņēmumiem, jo īpaši MVU, un atsaukt attiecīgos priekšlikumus;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449</w:t>
      </w:r>
      <w:r>
        <w:rPr>
          <w:rStyle w:val="HideTWBExt"/>
        </w:rPr>
        <w:t>&lt;/NumAm&gt;</w:t>
      </w:r>
    </w:p>
    <w:p>
      <w:pPr>
        <w:pStyle w:val="NormalBold"/>
      </w:pPr>
      <w:r>
        <w:rPr>
          <w:rStyle w:val="HideTWBExt"/>
          <w:b w:val="0"/>
        </w:rPr>
        <w:t>&lt;RepeatBlock-By&gt;</w:t>
      </w:r>
      <w:r>
        <w:rPr>
          <w:rStyle w:val="HideTWBExt"/>
          <w:b w:val="0"/>
        </w:rPr>
        <w:t>&lt;Members&gt;</w:t>
      </w:r>
      <w:r>
        <w:t>Pascal Canfin, Stéphanie Yon-Courtin, Billy Kelleher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24.a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24.a</w:t>
            </w:r>
            <w:r>
              <w:tab/>
            </w:r>
            <w:r>
              <w:rPr>
                <w:b/>
                <w:i/>
              </w:rPr>
              <w:t>aicina Komisiju, tai pārskatot publiskā iepirkuma noteikumus, apsvērt publiskā iepirkuma stratēģisko nozīmi Eiropas jaunuzņēmumu un MVU finansiālajā attīstībā un labāk ņemt vērā ar inovāciju, ilgtspēju un suverenitāti saistītos kritērijus;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450</w:t>
      </w:r>
      <w:r>
        <w:rPr>
          <w:rStyle w:val="HideTWBExt"/>
        </w:rPr>
        <w:t>&lt;/NumAm&gt;</w:t>
      </w:r>
    </w:p>
    <w:p>
      <w:pPr>
        <w:pStyle w:val="NormalBold"/>
      </w:pPr>
      <w:r>
        <w:rPr>
          <w:rStyle w:val="HideTWBExt"/>
          <w:b w:val="0"/>
        </w:rPr>
        <w:t>&lt;RepeatBlock-By&gt;</w:t>
      </w:r>
      <w:r>
        <w:rPr>
          <w:rStyle w:val="HideTWBExt"/>
          <w:b w:val="0"/>
        </w:rPr>
        <w:t>&lt;Members&gt;</w:t>
      </w:r>
      <w:r>
        <w:t>Danuše Nerudová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24.a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24.a</w:t>
            </w:r>
            <w:r>
              <w:tab/>
            </w:r>
            <w:r>
              <w:rPr>
                <w:b/>
                <w:i/>
              </w:rPr>
              <w:t>aicina Komisiju uzlabot MVU piekļuves finansējumam uzraudzības instrumentus, tostarp izstrādāt ES mēroga rādītājus un infopaneļus, lai izsekotu finansējuma deficītu un novērtētu finanšu instrumentu ietekmi;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451</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25.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25.</w:t>
            </w:r>
            <w:r>
              <w:tab/>
            </w:r>
            <w:r>
              <w:rPr>
                <w:b/>
                <w:i/>
              </w:rPr>
              <w:t>uzdod priekšsēdētājai šo rezolūciju nosūtīt Padomei un Komisijai.</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452</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25.a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atgādina, ka Eiropas Inovācijas padome (EIP) ir jauna un unikāla Eiropas finansēšanas programma, kas izstrādāta, lai progresīvo tehnoloģiju jaunuzņēmumiem finansējuma meklēšanā nodrošinātu vienas pieturas aģentūru, kas tiem ļautu attīstīt inovāciju no agrīnas idejas līdz tirgū laistai produkcijai, kā arī paplašināt uzņēmumu;</w:t>
            </w:r>
            <w:r>
              <w:t xml:space="preserve"> </w:t>
            </w:r>
            <w:r>
              <w:rPr>
                <w:b/>
                <w:i/>
              </w:rPr>
              <w:t>atzinīgi vērtē EIP piešķirtā budžeta palielināšanu, kā arī tās plašākas darbības ar pašu kapitālu saskaņā ar priekšlikumu par Eiropas stratēģisko tehnoloģiju platformu;</w:t>
            </w:r>
            <w:r>
              <w:t xml:space="preserve"> </w:t>
            </w:r>
            <w:r>
              <w:rPr>
                <w:b/>
                <w:i/>
              </w:rPr>
              <w:t>mudina Komisiju daļu no ierosinātās Eiropas stratēģisko tehnoloģiju platformas atvēlēt konkrēti MVU;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453</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25.b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25.b</w:t>
            </w:r>
            <w:r>
              <w:tab/>
            </w:r>
            <w:r>
              <w:rPr>
                <w:b/>
                <w:i/>
              </w:rPr>
              <w:t>aicina Komisiju sekmēt jaunuzņēmumu un augošu uzņēmumu dalību ES finansēšanas programmās;</w:t>
            </w:r>
            <w:r>
              <w:t xml:space="preserve"> </w:t>
            </w:r>
            <w:r>
              <w:rPr>
                <w:b/>
                <w:i/>
              </w:rPr>
              <w:t>aicina Komisiju nodrošināt, lai Konkurētspējas fonds sniegtu taisnīgu atbalstu jaunpienācējiem;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454</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25.c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25.c</w:t>
            </w:r>
            <w:r>
              <w:tab/>
            </w:r>
            <w:r>
              <w:rPr>
                <w:b/>
                <w:i/>
              </w:rPr>
              <w:t>mudina Komisiju uzlabot jaunuzņēmumu un augošo uzņēmumu finansēšanas mehānismus, tostarp publiskos iepirkumus un dotāciju, aizdevumu un garantiju piešķiršanu, un vienlaikus rūpēties par to, lai neizspiestu privātos ieguldījumus;</w:t>
            </w:r>
            <w:r>
              <w:t xml:space="preserve"> </w:t>
            </w:r>
            <w:r>
              <w:rPr>
                <w:b/>
                <w:i/>
              </w:rPr>
              <w:t>aicina Komisiju rīkoties kā sākuma klientam, daļu no sava iepirkuma atvēlot Eiropas augošajiem uzņēmumiem;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455</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25.d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25.d</w:t>
            </w:r>
            <w:r>
              <w:tab/>
            </w:r>
            <w:r>
              <w:rPr>
                <w:b/>
                <w:i/>
              </w:rPr>
              <w:t>ar bažām norāda uz priekšlikumiem, kas ierosināti vērtspapīrošanas stimulēšanai, atvieglojot regulatīvo uzticamības pārbaudi, kapitāla un likviditātes prasības un tādējādi vēl vairāk novirzoties no “Bāzele III” regulējuma;</w:t>
            </w:r>
            <w:r>
              <w:t xml:space="preserve"> </w:t>
            </w:r>
            <w:r>
              <w:rPr>
                <w:b/>
                <w:i/>
              </w:rPr>
              <w:t>brīdina, ka tas apdraudētu finanšu stabilitāti un palielinātu sistēmiskos riskus, nesniedzot nekādu pievienoto vērtību reālajai ekonomikai;</w:t>
            </w:r>
            <w:r>
              <w:t xml:space="preserve"> </w:t>
            </w:r>
            <w:r>
              <w:rPr>
                <w:b/>
                <w:i/>
              </w:rPr>
              <w:t>atgādina, ka Eiropas uzraudzības iestāžu (EUI) Apvienotās komitejas 2022. gada ziņojumā ir secināts, ka banku vērtspapīrošanas kapitāla regulējuma pielāgošana nebūtu risinājums, kas nodrošinātu vērtspapīrošanas tirgus atdzimšanu;</w:t>
            </w:r>
            <w:r>
              <w:t xml:space="preserve"> </w:t>
            </w:r>
            <w:r>
              <w:rPr>
                <w:b/>
                <w:i/>
              </w:rPr>
              <w:t>uzsver, ka viendabīguma kritērijs ir ārkārtīgi svarīgs, lai vērtspapīrošanu uzskatītu par vienkāršu, pārredzamu un standartizētu (VPS);</w:t>
            </w:r>
            <w:r>
              <w:t xml:space="preserve"> </w:t>
            </w:r>
            <w:r>
              <w:rPr>
                <w:b/>
                <w:i/>
              </w:rPr>
              <w:t>atgādina, ka lielāko daļu vērtspapīrošanas veido hipotēkas vērtspapīri;</w:t>
            </w:r>
            <w:r>
              <w:t xml:space="preserve"> </w:t>
            </w:r>
            <w:r>
              <w:rPr>
                <w:b/>
                <w:i/>
              </w:rPr>
              <w:t>tādēļ skeptiski vērtē to, ka vērtspapīrošanas tirgus attīstības veicināšana palielinās aizdevumus MVU;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456</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25.e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25.e</w:t>
            </w:r>
            <w:r>
              <w:tab/>
            </w:r>
            <w:r>
              <w:rPr>
                <w:b/>
                <w:i/>
              </w:rPr>
              <w:t>mudina Komisiju ātri ierosināt saskaņotu tiesisko regulējumu pārrobežu uzņēmējdarbībai, tostarp digitālo uzņēmumu veidošanai, maksātnespējai, darbaspēkam un nodokļu tiesību aktiem, lai būtu vieglāk iedibināt uzņēmumus, tiem darboties, pieņemt darbā pāri robežām un paplašināt darbību pāri ES robežām;</w:t>
            </w:r>
            <w:r>
              <w:t xml:space="preserve"> </w:t>
            </w:r>
            <w:r>
              <w:rPr>
                <w:b/>
                <w:i/>
              </w:rPr>
              <w:t>atgādina Komisijai, ka, lai šāds satvars sekmīgi darbotos, ir jāveic saskaņoti un vērienīgi centieni, iesaistot visas ieinteresētās personas, jo īpaši jaunuzņēmumus un augošus uzņēmumus, un dalībvalstis ar mērķi palielināt informētību par šādu “28. režīmu” un tā popularitāti;</w:t>
            </w:r>
            <w:r>
              <w:t xml:space="preserve"> </w:t>
            </w:r>
            <w:r>
              <w:rPr>
                <w:b/>
                <w:i/>
              </w:rPr>
              <w:t>aicina to ātri īstenot, lai nodrošinātu pievilcīgu, labi funkcionējošu un pieņemtu alternatīvu pašreizējai sadrumstalotajai regulatīvajai videi;</w:t>
            </w:r>
            <w:r>
              <w:t xml:space="preserve"> </w:t>
            </w:r>
            <w:r>
              <w:rPr>
                <w:b/>
                <w:i/>
              </w:rPr>
              <w:t>iesaka 28. režīmā par prioritāti noteikt digitālus risinājumus pēc noklusējuma, vienreizēju ziņošanu un “regulatīvās smilškastes” inovācijai un iekļaut īpašus noteikumus MVU, augošiem uzņēmumiem un maziem vidējas kapitalizācijas uzņēmumiem;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457</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25.f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25.f</w:t>
            </w:r>
            <w:r>
              <w:tab/>
            </w:r>
            <w:r>
              <w:rPr>
                <w:b/>
                <w:i/>
              </w:rPr>
              <w:t>uzsver, ka nolūkā palīdzēt uzņēmumiem paplašināt darbību ir ārkārtīgi svarīgi izveidot integrētāku inovācijas ekosistēmu, kura apvieno universitāšu, jaunuzņēmumu, lielu uzņēmumu un riska kapitāla nodrošinātāju tīklus un kuras pamatā ir piekļuve testēšanas iekārtām un tehnoloģiju infrastruktūrai;</w:t>
            </w:r>
            <w:r>
              <w:t xml:space="preserve"> </w:t>
            </w:r>
            <w:r>
              <w:rPr>
                <w:b/>
                <w:i/>
              </w:rPr>
              <w:t>aicina saskaņot darbinieku akciju iegādes aplikšanu ar nodokļiem un izveidot Eiropas jaunuzņēmumu vīzu, lai piesaistītu un noturētu novatorus un profesionāļus, kuru izcelsme nav 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458</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25.g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25.g</w:t>
            </w:r>
            <w:r>
              <w:tab/>
            </w:r>
            <w:r>
              <w:rPr>
                <w:b/>
                <w:i/>
              </w:rPr>
              <w:t>uzskata, ka inovatīvi uzņēmumi varētu gūt labumu no vienota ES noteikumu kopuma, jo īpaši nodokļu jomā;</w:t>
            </w:r>
            <w:r>
              <w:t xml:space="preserve"> </w:t>
            </w:r>
            <w:r>
              <w:rPr>
                <w:b/>
                <w:i/>
              </w:rPr>
              <w:t>atgādina, ka MVU saskaras ar būtiskiem fiskāliem izaicinājumiem sarežģīto nodokļu jomas noteikumu un sadrumstaloto nodokļu sistēmu dēļ, un tas rada lielu administratīvu slogu un nodokļu saistību izpildes izmaksas, kavējot šo uzņēmumu izaugsmi un inovāciju;</w:t>
            </w:r>
            <w:r>
              <w:t xml:space="preserve"> </w:t>
            </w:r>
            <w:r>
              <w:rPr>
                <w:b/>
                <w:i/>
              </w:rPr>
              <w:t>mudina Komisiju izpētīt risinājumus, kas vienkāršotu nodokļu procedūras un samazinātu nodokļu saistību izpildes izmaksas, un vienlaikus izvērtēt, kāpēc ierosinātā direktīva, ar ko izveido galvenā biroja nodokļu sistēmu (HOT) mazajiem un vidējiem uzņēmumiem, Padomē netika uzņemta ar lielu entuziasmu;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459</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25.h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25.h</w:t>
            </w:r>
            <w:r>
              <w:tab/>
            </w:r>
            <w:r>
              <w:rPr>
                <w:b/>
                <w:i/>
              </w:rPr>
              <w:t>uzdod priekšsēdētājai šo rezolūciju nosūtīt Padomei un Komisijai.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774.474</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206</w:t>
    </w:r>
    <w:r>
      <w:fldChar w:fldCharType="end"/>
    </w:r>
    <w:r>
      <w:t>/</w:t>
    </w:r>
    <w:r>
      <w:fldChar w:fldCharType="begin"/>
    </w:r>
    <w:r>
      <w:instrText xml:space="preserve"> NUMPAGES </w:instrText>
    </w:r>
    <w:r>
      <w:fldChar w:fldCharType="separate"/>
    </w:r>
    <w:r>
      <w:t>206</w:t>
    </w:r>
    <w:r>
      <w:fldChar w:fldCharType="end"/>
    </w:r>
    <w:r>
      <w:tab/>
    </w:r>
    <w:r>
      <w:rPr>
        <w:rStyle w:val="HideTWBExt"/>
      </w:rPr>
      <w:t>&lt;PathFdR&gt;</w:t>
    </w:r>
    <w:r>
      <w:t>AM\1323021LV.docx</w:t>
    </w:r>
    <w:r>
      <w:rPr>
        <w:rStyle w:val="HideTWBExt"/>
      </w:rPr>
      <w:t>&lt;/PathFdR&gt;</w:t>
    </w:r>
  </w:p>
  <w:p>
    <w:pPr>
      <w:pStyle w:val="EPFooter2"/>
    </w:pPr>
    <w:r>
      <w:t>LV</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AM\1323021LV.docx</w:t>
    </w:r>
    <w:r>
      <w:rPr>
        <w:rStyle w:val="HideTWBExt"/>
      </w:rPr>
      <w:t>&lt;/PathFdR&gt;</w:t>
    </w:r>
    <w:r>
      <w:tab/>
    </w:r>
    <w:r>
      <w:fldChar w:fldCharType="begin"/>
    </w:r>
    <w:r>
      <w:instrText xml:space="preserve"> PAGE </w:instrText>
    </w:r>
    <w:r>
      <w:fldChar w:fldCharType="separate"/>
    </w:r>
    <w:r>
      <w:t>205</w:t>
    </w:r>
    <w:r>
      <w:fldChar w:fldCharType="end"/>
    </w:r>
    <w:r>
      <w:t>/</w:t>
    </w:r>
    <w:r>
      <w:fldChar w:fldCharType="begin"/>
    </w:r>
    <w:r>
      <w:instrText xml:space="preserve"> NUMPAGES </w:instrText>
    </w:r>
    <w:r>
      <w:fldChar w:fldCharType="separate"/>
    </w:r>
    <w:r>
      <w:t>206</w:t>
    </w:r>
    <w:r>
      <w:fldChar w:fldCharType="end"/>
    </w:r>
    <w:r>
      <w:tab/>
    </w:r>
    <w:r>
      <w:t>PE</w:t>
    </w:r>
    <w:r>
      <w:rPr>
        <w:rStyle w:val="HideTWBExt"/>
      </w:rPr>
      <w:t>&lt;NoPE&gt;</w:t>
    </w:r>
    <w:r>
      <w:t>774.474</w:t>
    </w:r>
    <w:r>
      <w:rPr>
        <w:rStyle w:val="HideTWBExt"/>
      </w:rPr>
      <w:t>&lt;/NoPE&gt;</w:t>
    </w:r>
    <w:r>
      <w:rPr>
        <w:rStyle w:val="HideTWBExt"/>
      </w:rPr>
      <w:t>&lt;Version&gt;</w:t>
    </w:r>
    <w:r>
      <w:t>v01-00</w:t>
    </w:r>
    <w:r>
      <w:rPr>
        <w:rStyle w:val="HideTWBExt"/>
      </w:rPr>
      <w:t>&lt;/Version&gt;</w:t>
    </w:r>
  </w:p>
  <w:p>
    <w:pPr>
      <w:pStyle w:val="EPFooter2"/>
    </w:pPr>
    <w:r>
      <w:tab/>
    </w:r>
    <w:r>
      <w:tab/>
    </w:r>
    <w:r>
      <w:t>LV</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AM\1323021LV.docx</w:t>
    </w:r>
    <w:r>
      <w:rPr>
        <w:rStyle w:val="HideTWBExt"/>
      </w:rPr>
      <w:t>&lt;/PathFdR&gt;</w:t>
    </w:r>
    <w:r>
      <w:tab/>
    </w:r>
    <w:r>
      <w:tab/>
    </w:r>
    <w:r>
      <w:t>PE</w:t>
    </w:r>
    <w:r>
      <w:rPr>
        <w:rStyle w:val="HideTWBExt"/>
      </w:rPr>
      <w:t>&lt;NoPE&gt;</w:t>
    </w:r>
    <w:r>
      <w:t>774.474</w:t>
    </w:r>
    <w:r>
      <w:rPr>
        <w:rStyle w:val="HideTWBExt"/>
      </w:rPr>
      <w:t>&lt;/NoPE&gt;</w:t>
    </w:r>
    <w:r>
      <w:rPr>
        <w:rStyle w:val="HideTWBExt"/>
      </w:rPr>
      <w:t>&lt;Version&gt;</w:t>
    </w:r>
    <w:r>
      <w:t>v01-00</w:t>
    </w:r>
    <w:r>
      <w:rPr>
        <w:rStyle w:val="HideTWBExt"/>
      </w:rPr>
      <w:t>&lt;/Version&gt;</w:t>
    </w:r>
  </w:p>
  <w:p>
    <w:pPr>
      <w:pStyle w:val="EPFooter2"/>
    </w:pPr>
    <w:r>
      <w:t>LV</w:t>
    </w:r>
    <w:r>
      <w:tab/>
    </w:r>
    <w:r>
      <w:rPr>
        <w:rStyle w:val="EPFooter2Motto"/>
      </w:rPr>
      <w:t>Vienoti daudzveidībā</w:t>
    </w:r>
    <w:r>
      <w:tab/>
    </w:r>
    <w:r>
      <w:t>LV</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lv-LV"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NormalBold">
    <w:name w:val="NormalBold"/>
    <w:basedOn w:val="Normal"/>
    <w:pPr>
      <w:widowControl w:val="0"/>
    </w:pPr>
    <w:rPr>
      <w:b/>
    </w:rPr>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olumnHeading">
    <w:name w:val="AmColumnHeading"/>
    <w:basedOn w:val="Normal"/>
    <w:pPr>
      <w:widowControl w:val="0"/>
      <w:spacing w:after="240"/>
      <w:jc w:val="center"/>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 w:type="paragraph" w:customStyle="1" w:styleId="NormalBold12b">
    <w:name w:val="NormalBold12b"/>
    <w:basedOn w:val="Normal"/>
    <w:pPr>
      <w:widowControl w:val="0"/>
      <w:spacing w:before="240"/>
    </w:pPr>
    <w:rPr>
      <w:b/>
    </w:r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JustText">
    <w:name w:val="AmJustText"/>
    <w:basedOn w:val="Normal"/>
    <w:pPr>
      <w:widowControl w:val="0"/>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206</Pages>
  <Words>29532</Words>
  <Characters>204262</Characters>
  <Application>Microsoft Office Word</Application>
  <DocSecurity>0</DocSecurity>
  <Lines>1</Lines>
  <Paragraphs>4084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230233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1323021</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205113</vt:lpwstr>
  </property>
  <property fmtid="{D5CDD505-2E9C-101B-9397-08002B2CF9AE}" pid="7" name="dmxml.render.traceId">
    <vt:lpwstr>6863b56eeecc9702d2fa2f4eeace2e8b</vt:lpwstr>
  </property>
  <property fmtid="{D5CDD505-2E9C-101B-9397-08002B2CF9AE}" pid="8" name="FooterPath">
    <vt:lpwstr>AM\1323021LV.docx</vt:lpwstr>
  </property>
  <property fmtid="{D5CDD505-2E9C-101B-9397-08002B2CF9AE}" pid="9" name="PE Number">
    <vt:lpwstr>774.474</vt:lpwstr>
  </property>
  <property fmtid="{D5CDD505-2E9C-101B-9397-08002B2CF9AE}" pid="10" name="UID">
    <vt:lpwstr>eu.europa.europarl-DIN1-2025-0000121646_01.00-lv-01.00_text-xml</vt:lpwstr>
  </property>
</Properties>
</file>