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 Europejski</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{ECON}</w:t>
      </w:r>
      <w:r>
        <w:t>Komisja Gospodarcza i Monetarna</w:t>
      </w:r>
      <w:r>
        <w:rPr>
          <w:rStyle w:val="HideTWBExt"/>
        </w:rPr>
        <w:t>&lt;/Commission&gt;</w:t>
      </w:r>
    </w:p>
    <w:p>
      <w:pPr>
        <w:pStyle w:val="LineBottom"/>
      </w:pPr>
      <w:r>
        <w:t xml:space="preserve"> </w:t>
      </w:r>
    </w:p>
    <w:p>
      <w:pPr>
        <w:pStyle w:val="CoverReference"/>
      </w:pPr>
      <w:r>
        <w:rPr>
          <w:rStyle w:val="HideTWBExt"/>
        </w:rPr>
        <w:t>&lt;RefProc&gt;</w:t>
      </w:r>
      <w:r>
        <w:t>2025/2072</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{13/06/2025}</w:t>
      </w:r>
      <w:r>
        <w:t>13.6.2025</w:t>
      </w:r>
      <w:r>
        <w:rPr>
          <w:rStyle w:val="HideTWBExt"/>
        </w:rPr>
        <w:t>&lt;/Date&gt;</w:t>
      </w:r>
    </w:p>
    <w:p>
      <w:pPr>
        <w:pStyle w:val="CoverDocType"/>
      </w:pPr>
      <w:r>
        <w:rPr>
          <w:rStyle w:val="HideTWBExt"/>
        </w:rPr>
        <w:t>&lt;TypeAM&gt;</w:t>
      </w:r>
      <w:r>
        <w:t>POPRAWKI</w:t>
      </w:r>
      <w:r>
        <w:rPr>
          <w:rStyle w:val="HideTWBExt"/>
        </w:rPr>
        <w:t>&lt;/TypeAM&gt;</w:t>
      </w:r>
    </w:p>
    <w:p>
      <w:pPr>
        <w:pStyle w:val="CoverDocType24a"/>
      </w:pPr>
      <w:r>
        <w:rPr>
          <w:rStyle w:val="HideTWBExt"/>
        </w:rPr>
        <w:t>&lt;RangeAM&gt;</w:t>
      </w:r>
      <w:r>
        <w:t>1</w:t>
      </w:r>
      <w:r>
        <w:t xml:space="preserve"> - </w:t>
      </w:r>
      <w:r>
        <w:t>459</w:t>
      </w:r>
      <w:r>
        <w:rPr>
          <w:rStyle w:val="HideTWBExt"/>
        </w:rPr>
        <w:t>&lt;/RangeAM&gt;</w:t>
      </w:r>
    </w:p>
    <w:p>
      <w:pPr>
        <w:pStyle w:val="CoverBold"/>
      </w:pPr>
      <w:r>
        <w:rPr>
          <w:rStyle w:val="HideTWBExt"/>
        </w:rPr>
        <w:t>&lt;TitreType&gt;</w:t>
      </w:r>
      <w:r>
        <w:t>Projekt sprawozdania</w:t>
      </w:r>
      <w:r>
        <w:rPr>
          <w:rStyle w:val="HideTWBExt"/>
        </w:rPr>
        <w:t>&lt;/TitreType&gt;</w:t>
      </w:r>
    </w:p>
    <w:p>
      <w:pPr>
        <w:pStyle w:val="CoverBold"/>
      </w:pPr>
      <w:r>
        <w:rPr>
          <w:rStyle w:val="HideTWBExt"/>
        </w:rPr>
        <w:t>&lt;Rapporteur&gt;</w:t>
      </w:r>
      <w:r>
        <w:t>Jorge Martín Frías</w:t>
      </w:r>
      <w:r>
        <w:rPr>
          <w:rStyle w:val="HideTWBExt"/>
        </w:rPr>
        <w:t>&lt;/Rapporteur&gt;</w:t>
      </w:r>
    </w:p>
    <w:p>
      <w:pPr>
        <w:pStyle w:val="CoverNormal24a"/>
      </w:pPr>
      <w:r>
        <w:rPr>
          <w:rStyle w:val="HideTWBExt"/>
        </w:rPr>
        <w:t>&lt;DocRefPE&gt;</w:t>
      </w:r>
      <w:r>
        <w:t>(PE772.123v01-00)</w:t>
      </w:r>
      <w:r>
        <w:rPr>
          <w:rStyle w:val="HideTWBExt"/>
        </w:rPr>
        <w:t>&lt;/DocRefPE&gt;</w:t>
      </w:r>
    </w:p>
    <w:p>
      <w:pPr>
        <w:pStyle w:val="CoverNormal"/>
      </w:pPr>
      <w:r>
        <w:rPr>
          <w:rStyle w:val="HideTWBExt"/>
        </w:rPr>
        <w:t>&lt;Titre&gt;</w:t>
      </w:r>
      <w:r>
        <w:t>Dostęp do finansowania dla MŚP i przedsiębiorstw scale-up</w:t>
      </w:r>
      <w:r>
        <w:rPr>
          <w:rStyle w:val="HideTWBExt"/>
        </w:rPr>
        <w:t>&lt;/Titre&gt;</w:t>
      </w:r>
    </w:p>
    <w:p>
      <w:pPr>
        <w:pStyle w:val="CoverNormal24a"/>
      </w:pPr>
      <w:r>
        <w:rPr>
          <w:rStyle w:val="HideTWBExt"/>
        </w:rPr>
        <w:t>&lt;DocRef&gt;</w:t>
      </w:r>
      <w:r>
        <w:t>(2025/2072(INI))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Poprawka</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uwzględniając komunikat Komisji z 29 stycznia 2025 r. pt. „Kompas konkurencyjności dla UE” (COM(2025)0030),</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 a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publikację przez Ursulę von der Leyen 18 lipca 2024 r. dokumentu pt. „Wybór Europy: wytyczne polityczne na następną kadencję Komisji Europejskiej 2024−2029”,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 b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raport Maria Draghiego z 9 września 2024 r. na temat przyszłości europejskiej konkurencyjności (raport Draghiego),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 c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raport Enrica Letty z 17 kwietnia 2024 r. pt. „Much more than a market” [Znacznie więcej niż rynek] (raport Letty),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 d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sprawozdanie Christiana Noyera z 25 kwietnia 2024 r. pt. „Developing European capital markets to finance the future” [Rozwój europejskich rynków kapitałowych w celu finansowania przyszłości],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 e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oświadczenie Eurogrupy w rozszerzonym składzie w sprawie przyszłości unii rynków kapitałowych z 11 marca 2024 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 f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plan działania wysokiego szczebla z maja 2024 r. dotyczący działań następczych w związku z oświadczeniem Eurogrupy w rozszerzonym składzie w sprawie przyszłości unii rynków kapitałowych,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 g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konkluzje Rady Europejskiej z 17 i 18 kwietnia 2024 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 h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oświadczenie Europejskiego Urzędu Nadzoru Ubezpieczeń i Pracowniczych Programów Emerytalnych z 25 kwietnia 2024 r. pt. „How European insurers and pension funds can contribute to further strengthen the Capital Markets Union” [Jak europejscy ubezpieczyciele i europejskie fundusze emerytalne mogą przyczynić się do dalszego wzmocnienia unii rynków kapitałowych],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 i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stanowisko Europejskiego Urzędu Nadzoru Giełd i Papierów Wartościowych (ESMA) z maja 2024 r. pt. „Building more effective and attractive capital markets in the EU” [Budowanie bardziej efektywnych i atrakcyjnych rynków kapitałowych w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 j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oświadczenie Rady Prezesów Europejskiego Banku Centralnego z 7 marca 2024 r. w sprawie rozwoju unii rynków kapitałowych,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 k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komunikat Komisji z 29 stycznia 2025 r. pt. „Kompas konkurencyjności dla UE” (COM(2025)0030),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 l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sprawozdanie Europejskiego Banku Centralnego pt. „Survey on the Access to Finance of Enterprises in the euro area – First Quarter of 2025” [Badanie na temat dostępu przedsiębiorstw w strefie euro do finansowania – pierwszy kwartał 2025 r.], opublikowane w kwietniu 2025 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 m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komunikat Komisji z 19 marca 2025 r. pt. „Unia oszczędności i inwestycji – Strategia na rzecz zwiększenia zamożności obywateli i konkurencyjności gospodarczej w UE” (COM(2025)0124),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 n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komunikat Komisji z 28 maja 2025 r. pt. „Strategia UE na rzecz przedsiębiorstw typu start-up i przedsiębiorstw scale-up – wybór Europy do rozpoczęcia i zwiększenia skali” (COM(2025)270),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 o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sprawozdanie Komisji pt. „Survey on the access to finance of enterprises (SAFE) – Analytical report 2024” [Badanie na temat dostępu przedsiębiorstw do finansowania – sprawozdanie analityczne za 2024 r.], opublikowane w styczniu 2025 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 p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sprawozdanie Komisji z 4 lipca 2024 r. pt. „Annual Report on European SMEs 2023/2024” [Sprawozdanie roczne w sprawie europejskich MŚP w latach 2023–2024],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 q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swoją rezolucję z 14 grudnia 2023 r. w sprawie zwiększenia innowacyjności oraz konkurencyjności przemysłowej i technologicznej dzięki sprzyjającym warunkom dla przedsiębiorstw typu start-up i przedsiębiorstw scale-up,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 r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komunikat Komisji z 12 września 2023 r. w sprawie pakietu pomocy gospodarczej dla MŚP (COM(2023)0535),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 s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swoją rezolucję z 8 października 2020 r. w sprawie dalszego rozwoju unii rynków kapitałowych:</w:t>
            </w:r>
            <w:r>
              <w:t xml:space="preserve"> </w:t>
            </w:r>
            <w:r>
              <w:rPr>
                <w:b/>
                <w:i/>
              </w:rPr>
              <w:t>poprawa dostępu do finansowania z rynków kapitałowych, w szczególności dla MŚP, oraz zwiększenie możliwości udziału inwestorów detalicznych</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Dz.U. C 395 z 29.9.2021, s. 89.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 t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swoją rezolucję z 9 lipca 2015 r. w sprawie tworzenia unii rynków kapitałowych,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 u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art. 55 Regulaminu,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 v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sprawozdanie Komisji Gospodarczej i Monetarnej (A10-0000/2025),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uwzględniając deklarację budapeszteńską przyjętą na nieformalnym posiedzeniu szefów państw i rządów 8 listopada 2024 r.,</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uwzględniając publikację przewodniczącej Komisji Ursuli von der Leyen z 18 lipca 2024 r. zatytułowaną „Wybór Europy – wytyczne polityczne na następną kadencję Komisji Europejskiej 2024−2029”,</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uwzględniając sprawozdanie Europejskiego Banku Centralnego pt. „Survey on the Access to Finance of Enterprises in the euro area – First Quarter of 2025” [Badanie na temat dostępu przedsiębiorstw w strefie euro do finansowania – pierwszy kwartał 2025 r.], opublikowane w kwietniu 2025 r.,</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uwzględniając komunikat Komisji z 19 marca 2025 r. pt. „Unia oszczędności i inwestycji – Strategia na rzecz zwiększenia zamożności obywateli i konkurencyjności gospodarczej w UE” (COM(2025)0124),</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5 a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komunikat Komisji z 28 maja 2025 r. pt. „An EU Startup and Scaleup Strategy:</w:t>
            </w:r>
            <w:r>
              <w:t xml:space="preserve"> </w:t>
            </w:r>
            <w:r>
              <w:rPr>
                <w:b/>
                <w:i/>
              </w:rPr>
              <w:t>Choose Europe to start and scale” [„Strategia UE na rzecz przedsiębiorstw typu start-up i przedsiębiorstw scale-up. Wybierz Europę jako miejsce rozpoczęcia działalności i zwiększenia jej skali”] (COM(2025) 270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5 b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komunikat Komisji z 22 listopada 2018 r. pt. „Jednolity rynek:</w:t>
            </w:r>
            <w:r>
              <w:t xml:space="preserve"> </w:t>
            </w:r>
            <w:r>
              <w:rPr>
                <w:b/>
                <w:i/>
              </w:rPr>
              <w:t>nasz europejski rynek wewnętrzny w niepewnym świecie. Strategia na rzecz prostszego, płynniejszego i silniejszego jednolitego rynku” (COM/2025/500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uwzględniając sprawozdanie Komisji pt. „Survey on the access to finance of enterprises (SAFE) – Analytical report 2024” [Badanie na temat dostępu przedsiębiorstw do finansowania – sprawozdanie analityczne za 2024 r.], opublikowane w styczniu 2025 r.,</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uwzględniając sprawozdanie Maria Draghiego pt. „Przyszłość europejskiej konkurencyjności” opublikowane we wrześniu 2024 r.,</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uwzględniając sprawozdanie Komisji z 4 lipca 2024 r. pt. „Annual Report on European SMEs 2023/2024” [Sprawozdanie roczne w sprawie europejskich MŚP w latach 2023–2024],</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uwzględniając sprawozdanie Enrica Letty pt. „Much more than a market” [Znacznie więcej niż rynek], opublikowane w kwietniu 2024 r.,</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uwzględniając konkluzje z nadzwyczajnego posiedzenia Rady Europejskiej w dniach 17–18 kwietnia 2024 r.,</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uwzględniając swoją rezolucję z 14 grudnia 2023 r. w sprawie zwiększenia innowacyjności oraz konkurencyjności przemysłowej i technologicznej dzięki sprzyjającym warunkom dla przedsiębiorstw typu start-up i przedsiębiorstw scale-up</w:t>
            </w:r>
            <w:r>
              <w:rPr>
                <w:b/>
                <w:i/>
                <w:vertAlign w:val="superscript"/>
              </w:rPr>
              <w:t>1</w:t>
            </w:r>
            <w:r>
              <w:rPr>
                <w:b/>
                <w:i/>
              </w:rPr>
              <w:t>,</w:t>
            </w:r>
          </w:p>
        </w:tc>
        <w:tc>
          <w:tcPr>
            <w:tcW w:w="4876" w:type="dxa"/>
            <w:tcBorders>
              <w:top w:val="nil"/>
              <w:left w:val="nil"/>
              <w:bottom w:val="nil"/>
              <w:right w:val="nil"/>
            </w:tcBorders>
          </w:tcPr>
          <w:p>
            <w:pPr>
              <w:pStyle w:val="Normal6a"/>
            </w:pPr>
            <w:r>
              <w:rPr>
                <w:b/>
                <w:i/>
              </w:rPr>
              <w:t>skreśla się</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w:t>
            </w:r>
            <w:r>
              <w:t xml:space="preserve"> </w:t>
            </w:r>
            <w:r>
              <w:rPr>
                <w:b/>
                <w:i/>
              </w:rPr>
              <w:t>Dz.U.</w:t>
            </w:r>
            <w:r>
              <w:t xml:space="preserve"> </w:t>
            </w:r>
            <w:r>
              <w:rPr>
                <w:b/>
                <w:i/>
              </w:rPr>
              <w:t>C, C/2024/4182, 2.8.2024, ELI:</w:t>
            </w:r>
            <w:r>
              <w:t xml:space="preserve"> </w:t>
            </w:r>
            <w:r>
              <w:rPr>
                <w:b/>
                <w:i/>
              </w:rPr>
              <w:t>http://data.europa.eu/eli/C/2024/4182/oj.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uwzględniając komunikat Komisji z 12 września 2023 r. w sprawie pakietu pomocy gospodarczej dla MŚP (COM(2023)0535),</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uwzględniając art. 55 Regulaminu,</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uwzględniając sprawozdanie Komisji Gospodarczej i Monetarnej (A10-0000/2025),</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Jonás Fernández, Tsvetelina Penkova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14 a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sprawozdanie Międzynarodowego Funduszu Walutowego z października 2024 r. w sprawie regionalnych perspektyw gospodarczych dla Europy,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14 a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strategię Komisji na rzecz przedsiębiorstw typu start-up i scale-up, która została opublikowana 28 maja 2025 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14 b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komunikat Komisji z 21 maja 2025 r. pt. „Jednolity rynek:</w:t>
            </w:r>
            <w:r>
              <w:t xml:space="preserve"> </w:t>
            </w:r>
            <w:r>
              <w:rPr>
                <w:b/>
                <w:i/>
              </w:rPr>
              <w:t>nasz europejski rynek wewnętrzny w niepewnym świecie. Strategia na rzecz prostszego, płynniejszego i silniejszego jednolitego rynku”,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mając na uwadze, że mikroprzedsiębiorstwa oraz małe i średnie przedsiębiorstwa (MMŚP) są podstawą europejskiej gospodarki, a w 2023 r.</w:t>
            </w:r>
            <w:r>
              <w:t xml:space="preserve"> </w:t>
            </w:r>
            <w:r>
              <w:rPr>
                <w:b/>
                <w:i/>
              </w:rPr>
              <w:t>MŚP stanowiły 99,8 % wszystkich przedsiębiorstw i odpowiadały za 65,2 % zatrudnienia oraz 53,1 % wartości dodanej w sektorze przedsiębiorstw niefinansowych w UE</w:t>
            </w:r>
            <w:r>
              <w:rPr>
                <w:b/>
                <w:i/>
                <w:vertAlign w:val="superscript"/>
              </w:rPr>
              <w:t>2</w:t>
            </w:r>
            <w:r>
              <w:rPr>
                <w:b/>
                <w:i/>
              </w:rPr>
              <w:t>;</w:t>
            </w:r>
          </w:p>
        </w:tc>
        <w:tc>
          <w:tcPr>
            <w:tcW w:w="4876" w:type="dxa"/>
            <w:tcBorders>
              <w:top w:val="nil"/>
              <w:left w:val="nil"/>
              <w:bottom w:val="nil"/>
              <w:right w:val="nil"/>
            </w:tcBorders>
          </w:tcPr>
          <w:p>
            <w:pPr>
              <w:pStyle w:val="Normal6a"/>
            </w:pPr>
            <w:r>
              <w:rPr>
                <w:b/>
                <w:i/>
              </w:rPr>
              <w:t>skreśla się</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w:t>
            </w:r>
            <w:r>
              <w:t xml:space="preserve"> </w:t>
            </w:r>
            <w:r>
              <w:rPr>
                <w:b/>
                <w:i/>
              </w:rPr>
              <w:t>Katsinis, A., Lagüera-González, J., Di Bella, L., Odenthal, L., Hell, M., Lozar, B., „Annual Report on European SMEs 2023/2024” [Sprawozdanie roczne w sprawie europejskich MŚP w latach 2023–2024], Urząd Publikacji Unii Europejskiej, 2024 r.</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mając na uwadze, że mikroprzedsiębiorstwa oraz małe i średnie przedsiębiorstwa (MMŚP) są podstawą europejskiej gospodarki, a w 2023 r.</w:t>
            </w:r>
            <w:r>
              <w:t xml:space="preserve"> </w:t>
            </w:r>
            <w:r>
              <w:rPr>
                <w:b/>
                <w:i/>
              </w:rPr>
              <w:t>MŚP stanowiły 99,8 % wszystkich przedsiębiorstw i odpowiadały za 65,2 % zatrudnienia oraz 53,1 % wartości dodanej w sektorze przedsiębiorstw niefinansowych w UE</w:t>
            </w:r>
            <w:r>
              <w:rPr>
                <w:b/>
                <w:i/>
                <w:vertAlign w:val="superscript"/>
              </w:rPr>
              <w:t>2</w:t>
            </w:r>
            <w:r>
              <w:rPr>
                <w:b/>
                <w:i/>
              </w:rPr>
              <w:t>;</w:t>
            </w:r>
          </w:p>
        </w:tc>
        <w:tc>
          <w:tcPr>
            <w:tcW w:w="4876" w:type="dxa"/>
            <w:tcBorders>
              <w:top w:val="nil"/>
              <w:left w:val="nil"/>
              <w:bottom w:val="nil"/>
              <w:right w:val="nil"/>
            </w:tcBorders>
          </w:tcPr>
          <w:p>
            <w:pPr>
              <w:pStyle w:val="Normal6a"/>
            </w:pPr>
            <w:r>
              <w:rPr>
                <w:b/>
                <w:i/>
              </w:rPr>
              <w:t>skreśla się</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w:t>
            </w:r>
            <w:r>
              <w:t xml:space="preserve"> </w:t>
            </w:r>
            <w:r>
              <w:rPr>
                <w:b/>
                <w:i/>
              </w:rPr>
              <w:t>Katsinis, A., Lagüera-González, J., Di Bella, L., Odenthal, L., Hell, M., Lozar, B., „Annual Report on European SMEs 2023/2024” [Sprawozdanie roczne w sprawie europejskich MŚP w latach 2023–2024], Urząd Publikacji Unii Europejskiej, 2024 r.</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A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mając na uwadze, że zgodnie z definicją stosowaną obecnie przez Unię Europejską MŚP jest ponad 23 mln i stanowią ponad 99 % przedsiębiorstw działających Europie oraz zatrudniają od 90 do 100 mln osób, odgrywając kluczową rolę w odporności gospodarczej, spójności regionalnej i innowacjach;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A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mając na uwadze, że aby w pełni uwolnić potencjał wzrostu, innowacji i tworzenia miejsc pracy, konieczne jest promowanie stabilnego otoczenia regulacyjnego sprzyjającego inwestycjom prywatnym, aby poprawić dostęp do finansowania poprzez zintegrowaną unię oszczędności i inwestycji;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A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mając na uwadze, że MŚP to trzon naszej gospodarki, ponieważ stanowią 99 % wszystkich przedsiębiorstw w UE, zatrudniają około 100 mln osób i odpowiadają za ponad połowę europejskiego PKB;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w imieniu grupy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A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mając na uwadze, że UE jako całość, a zwłaszcza jej największe gospodarki, doświadczają obecnie znacznego spowolnienia gospodarczego i problemów, które dotykają przedsiębiorstw tracących konkurencyjność wobec Chin i USA;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mając na uwadze, że europejskie MŚP różnią się pod względem zakresu, lokalizacji, własności i zdolności innowacyjnych, a zatem stoją w obliczu różnych wyzwań i mają różne potrzeby w zakresie finansowania;</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mając na uwadze, że europejskie MŚP różnią się pod względem zakresu, lokalizacji, własności i zdolności innowacyjnych, a zatem stoją w obliczu różnych wyzwań i mają różne potrzeby w zakresie finansowania;</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mając na uwadze, że europejskie MŚP różnią się pod względem zakresu, lokalizacji, własności i zdolności innowacyjnych, a zatem stoją w obliczu różnych wyzwań i mają różne potrzeby w zakresie finansowania;</w:t>
            </w:r>
          </w:p>
        </w:tc>
        <w:tc>
          <w:tcPr>
            <w:tcW w:w="4876" w:type="dxa"/>
            <w:tcBorders>
              <w:top w:val="nil"/>
              <w:left w:val="nil"/>
              <w:bottom w:val="nil"/>
              <w:right w:val="nil"/>
            </w:tcBorders>
          </w:tcPr>
          <w:p>
            <w:pPr>
              <w:pStyle w:val="Normal6a"/>
            </w:pPr>
            <w:r>
              <w:t>B.</w:t>
            </w:r>
            <w:r>
              <w:tab/>
            </w:r>
            <w:r>
              <w:t xml:space="preserve">mając na uwadze, że europejskie MŚP różnią się pod względem zakresu, lokalizacji, </w:t>
            </w:r>
            <w:r>
              <w:rPr>
                <w:b/>
                <w:i/>
              </w:rPr>
              <w:t>branży,</w:t>
            </w:r>
            <w:r>
              <w:t xml:space="preserve"> własności</w:t>
            </w:r>
            <w:r>
              <w:rPr>
                <w:b/>
                <w:i/>
              </w:rPr>
              <w:t>, potrzeb finansowych</w:t>
            </w:r>
            <w:r>
              <w:t xml:space="preserve"> i zdolności innowacyjnych, a zatem stoją w obliczu różnych wyzwań i mają różne potrzeby w zakresie finansowania;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mając na uwadze, że europejskie MŚP różnią się pod względem zakresu, lokalizacji, własności i zdolności innowacyjnych, a zatem stoją w obliczu różnych wyzwań i mają różne potrzeby w zakresie finansowania;</w:t>
            </w:r>
          </w:p>
        </w:tc>
        <w:tc>
          <w:tcPr>
            <w:tcW w:w="4876" w:type="dxa"/>
            <w:tcBorders>
              <w:top w:val="nil"/>
              <w:left w:val="nil"/>
              <w:bottom w:val="nil"/>
              <w:right w:val="nil"/>
            </w:tcBorders>
          </w:tcPr>
          <w:p>
            <w:pPr>
              <w:pStyle w:val="Normal6a"/>
            </w:pPr>
            <w:r>
              <w:t>B.</w:t>
            </w:r>
            <w:r>
              <w:tab/>
            </w:r>
            <w:r>
              <w:t>mając na uwadze, że europejskie MŚP różnią się pod względem zakresu, lokalizacji</w:t>
            </w:r>
            <w:r>
              <w:rPr>
                <w:b/>
                <w:i/>
              </w:rPr>
              <w:t>, modelu biznesowego</w:t>
            </w:r>
            <w:r>
              <w:t>, własności i zdolności innowacyjnych, a zatem stoją w obliczu różnych wyzwań i mają różne potrzeby w zakresie finansowania;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B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mając na uwadze, że definicja MŚP stosowana przez Unię Europejską nie odzwierciedla realiów rynku, ponieważ jednakowo traktuje przedsiębiorstwa rodzinne i przedsiębiorstwa zatrudniające 250 pracowników, których roczny obrót nie przekracza 50 mln EUR lub całkowita roczna suma bilansowa nie przekracza 43 mln EUR, co powoduje brak ochrony prawdziwych MŚP;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B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mając na uwadze, że innowacyjne przedsiębiorstwa typu start-up i scale-up zwykle szybciej opracowują nowe rozwiązania i technologie, które odpowiadają na pilne potrzeby związane z niskoemisyjnością i środowiskiem, przygotowując w ten sposób grunt pod wzrost konkurencyjności i rozwój wielu nowych przedsiębiorstw;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B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jednym z istotnych powodów, dla których Unia Europejska pozostaje w tyle za swoimi konkurentami – Chinami i Stanami Zjednoczonymi – są trudności z finansowaniem przedsiębiorstw, zwłaszcza małych i średnich, które muszą zwiększyć skalę swojej działalności, aby móc się rozwijać;</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B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mając na uwadze, że większość europejskich MŚP działa głównie w skali krajowej;</w:t>
            </w:r>
            <w:r>
              <w:t xml:space="preserve"> </w:t>
            </w:r>
            <w:r>
              <w:rPr>
                <w:b/>
                <w:i/>
              </w:rPr>
              <w:t>mając na uwadze, że stosunkowo niewiele MŚP prowadzi działalność transgraniczną na terenie UE, a te, które prowadzą eksport poza Unię, stanowią mniejszość;</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w imieniu grupy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B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mając na uwadze, że MŚP we wschodnich regionach przygranicznych znajdują się w szczególnie trudnej sytuacji z powodu rosyjskiej agresji na Ukrainę i jej skutków gospodarczych;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w imieniu grupy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B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mając na uwadze, że ograniczenia w czasie pandemii COVID-19 szczególnie mocno dotknęły MŚP, a ich konsekwencje są nadal odczuwalne;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mając na uwadze, że w sprawozdaniu Draghiego wykazano, że przeszkody regulacyjne i obciążenia administracyjne należą do głównych wyzwań dla MŚP, oraz zalecono wyłączenie MŚP z zakresu regulacji ze względu na zasadę proporcjonalności;</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mając na uwadze, że w sprawozdaniu Draghiego wykazano, że przeszkody regulacyjne i obciążenia administracyjne należą do głównych wyzwań dla MŚP, oraz zalecono wyłączenie MŚP z zakresu regulacji ze względu na zasadę proporcjonalności;</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mając na uwadze, że w sprawozdaniu Draghiego wykazano, że przeszkody regulacyjne i obciążenia administracyjne należą do głównych wyzwań dla MŚP, oraz zalecono </w:t>
            </w:r>
            <w:r>
              <w:rPr>
                <w:b/>
                <w:i/>
              </w:rPr>
              <w:t>wyłączenie MŚP z zakresu regulacji</w:t>
            </w:r>
            <w:r>
              <w:t xml:space="preserve"> ze względu na zasadę proporcjonalności;</w:t>
            </w:r>
          </w:p>
        </w:tc>
        <w:tc>
          <w:tcPr>
            <w:tcW w:w="4876" w:type="dxa"/>
            <w:tcBorders>
              <w:top w:val="nil"/>
              <w:left w:val="nil"/>
              <w:bottom w:val="nil"/>
              <w:right w:val="nil"/>
            </w:tcBorders>
          </w:tcPr>
          <w:p>
            <w:pPr>
              <w:pStyle w:val="Normal6a"/>
            </w:pPr>
            <w:r>
              <w:t>C.</w:t>
            </w:r>
            <w:r>
              <w:tab/>
            </w:r>
            <w:r>
              <w:t xml:space="preserve">mając na uwadze, że w sprawozdaniu Draghiego wykazano, że przeszkody regulacyjne i obciążenia administracyjne należą do głównych wyzwań dla MŚP, oraz zalecono </w:t>
            </w:r>
            <w:r>
              <w:rPr>
                <w:b/>
                <w:i/>
              </w:rPr>
              <w:t>redukcję obciążenia regulacyjnego</w:t>
            </w:r>
            <w:r>
              <w:t xml:space="preserve"> ze względu na zasadę proporcjonalności</w:t>
            </w:r>
            <w:r>
              <w:rPr>
                <w:b/>
                <w:i/>
              </w:rPr>
              <w:t>, należycie dbając o zagwarantowanie im pewności i stabilności</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mając na uwadze, że w sprawozdaniu Draghiego wykazano, że przeszkody regulacyjne i obciążenia administracyjne należą do głównych wyzwań dla MŚP</w:t>
            </w:r>
            <w:r>
              <w:rPr>
                <w:b/>
                <w:i/>
              </w:rPr>
              <w:t>, oraz zalecono wyłączenie MŚP z zakresu regulacji ze względu na zasadę proporcjonalności</w:t>
            </w:r>
            <w:r>
              <w:t>;</w:t>
            </w:r>
          </w:p>
        </w:tc>
        <w:tc>
          <w:tcPr>
            <w:tcW w:w="4876" w:type="dxa"/>
            <w:tcBorders>
              <w:top w:val="nil"/>
              <w:left w:val="nil"/>
              <w:bottom w:val="nil"/>
              <w:right w:val="nil"/>
            </w:tcBorders>
          </w:tcPr>
          <w:p>
            <w:pPr>
              <w:pStyle w:val="Normal6a"/>
            </w:pPr>
            <w:r>
              <w:t>C.</w:t>
            </w:r>
            <w:r>
              <w:tab/>
            </w:r>
            <w:r>
              <w:t>mając na uwadze, że w sprawozdaniu Draghiego wykazano, że przeszkody regulacyjne i obciążenia administracyjne należą do głównych wyzwań dla MŚP;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w imieniu grupy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C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mając na uwadze, że według Europejskiego Banku Centralnego około 80 % finansowania zewnętrznego europejskich przedsiębiorstw pochodzi z banków, a 20 % – z rynków kapitałowych;</w:t>
            </w:r>
            <w:r>
              <w:t xml:space="preserve"> </w:t>
            </w:r>
            <w:r>
              <w:rPr>
                <w:b/>
                <w:i/>
              </w:rPr>
              <w:t>mając na uwadze, że w Stanach Zjednoczonych jedynie 30 % kredytów dla przedsiębiorstw pochodzi z banków, a 70 % z rynków kapitałowych, w postaci obligacji korporacyjnych lub z emisji akcji;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C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mając na uwadze, że większa mobilizacja finansowania prywatnego wymaga różnych działań, takich jak przyspieszenie URK, ze szczególnym uwzględnieniem poprawy dostępu do kapitału wysokiego ryzyka i finansowania kapitałowego, w szczególności dla innowacyjnych przedsiębiorstw;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C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mając na uwadze, że według raportu Draghiego ponad 60 % unijnych przedsiębiorstw postrzega regulacje jako przeszkodę dla inwestycji, a 55 % MŚP uznaje przeszkody regulacyjne i obciążenia administracyjne za największe wyzwanie;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C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mając na uwadze, że przedsiębiorstwom typu start-up i mikroprzedsiębiorstwom jest szczególnie trudno uzyskać odpowiednie finansowanie oraz zidentyfikować i spełnić regulacyjne wymogi finansowe, szczególnie na etapie rozwoju;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C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mając na uwadze, że deregulacja nie przynosi korzyści MŚP, ponieważ umożliwia największym i najbardziej agresywnym przedsiębiorstwom na rynku eliminowanie mniejszych firm;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C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mając na uwadze, że prostsze, bardziej przewidywalne i konkurencyjne ramy regulacyjne mają kluczowe znaczenie dla rozwoju MŚP w gospodarce rynkowej;</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C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mając na uwadze, że większość finansowania MŚP w UE pochodzi z banków;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mając na uwadze, że Komisja dąży do poprawy dostępu MŚP do finansowania, aby zwiększyć skalę ich działalności, zmniejszyć nieefektywność i propagować interoperacyjność, a ponadto postawiła sobie za cel zmniejszenie obciążeń sprawozdawczych dla MŚP o co najmniej 35 % oraz zapowiedziała, że w ocenach skutków będzie uwzględniać również wpływ na MŚP i konkurencyjność;</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mając na uwadze, że Komisja dąży do poprawy dostępu MŚP do finansowania, aby zwiększyć skalę ich działalności, zmniejszyć nieefektywność i propagować interoperacyjność, a ponadto postawiła sobie za cel zmniejszenie obciążeń sprawozdawczych dla MŚP o co najmniej 35 % oraz zapowiedziała, że w ocenach skutków będzie uwzględniać również wpływ na MŚP i konkurencyjność;</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mając na uwadze, że Komisja dąży do poprawy dostępu MŚP do finansowania, aby zwiększyć skalę ich działalności, zmniejszyć nieefektywność i propagować interoperacyjność, a ponadto postawiła sobie za cel zmniejszenie obciążeń sprawozdawczych dla MŚP o co najmniej 35 % oraz zapowiedziała, że w ocenach skutków będzie uwzględniać również wpływ na MŚP i konkurencyjność;</w:t>
            </w:r>
          </w:p>
        </w:tc>
        <w:tc>
          <w:tcPr>
            <w:tcW w:w="4876" w:type="dxa"/>
            <w:tcBorders>
              <w:top w:val="nil"/>
              <w:left w:val="nil"/>
              <w:bottom w:val="nil"/>
              <w:right w:val="nil"/>
            </w:tcBorders>
          </w:tcPr>
          <w:p>
            <w:pPr>
              <w:pStyle w:val="Normal6a"/>
            </w:pPr>
            <w:r>
              <w:t>D.</w:t>
            </w:r>
            <w:r>
              <w:tab/>
            </w:r>
            <w:r>
              <w:t xml:space="preserve">mając na uwadze, że Komisja dąży do poprawy dostępu MŚP do finansowania, </w:t>
            </w:r>
            <w:r>
              <w:rPr>
                <w:b/>
                <w:i/>
              </w:rPr>
              <w:t>zwłaszcza prywatnego,</w:t>
            </w:r>
            <w:r>
              <w:t xml:space="preserve"> aby zwiększyć skalę ich działalności, zmniejszyć nieefektywność</w:t>
            </w:r>
            <w:r>
              <w:rPr>
                <w:b/>
                <w:i/>
              </w:rPr>
              <w:t>, zlikwidować silne uzależnienie od zadłużenia</w:t>
            </w:r>
            <w:r>
              <w:t xml:space="preserve"> i propagować interoperacyjność, a ponadto postawiła sobie za cel zmniejszenie obciążeń sprawozdawczych dla MŚP o co najmniej 35 % oraz zapowiedziała, że w ocenach skutków będzie uwzględniać również wpływ na MŚP i konkurencyjność;</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D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mając na uwadze, że dobrze rozwinięty ekosystem kapitału wysokiego ryzyka, którego nadal brakuje w UE, może wspierać innowacyjne przedsiębiorstwa typu start-up i oferować finansowanie MŚP i przedsiębiorstwom typu scale-up, aby mogły się rozwijać i stać się konkurencyjne;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w imieniu grupy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D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mając na uwadze, że obciążenia sprawozdawcze, które obecnie należy zmniejszyć, aby chronić MŚP, wprowadzono w ramach Europejskiego Zielonego Ładu i skompromitowanej koncepcji ekologicznego przywództwa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D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mając na uwadze, że obecnie rynek inwestycyjny w UE jest rozdrobniony i charakteryzuje się znacznymi różnicami w dostępie do finansowania prywatnego, szczególnie w przypadku innowacyjnych i szybko rozwijających się firm;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D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mając na uwadze, że strategie agresywnego planowania podatkowego stosowane przez korporacje wielonarodowe wykorzystujące różne krajowe systemy podatkowe prowadzą do nieuczciwej konkurencji, która stawia europejskie MŚP w niekorzystnej sytuacji;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Jorge Martín Frías, Enikő Győri, Tomáš Kubín,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D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mając na uwadze, że Komisja Europejska opublikowała strategię na rzecz przedsiębiorstw typu start-up i scale-up;</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D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mając na uwadze, że innowacyjne przedsiębiorstwa typu scale-up i MŚP mają zasadnicze znaczenie z punktu widzenia konkurencyjności UE w sektorach strategicznych, w tym w sektorze technologii cyfrowych, czystych technologii i zdolności obronnych;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mając na uwadze, że w Europie brakuje bardziej dynamicznego i korzystnego otoczenia dla rozwoju działalności innowacyjnych przedsiębiorstw, przez co niemal 30 % „jednorożców” przeniosło swoje siedziby za granicę</w:t>
            </w:r>
            <w:r>
              <w:rPr>
                <w:b/>
                <w:i/>
                <w:vertAlign w:val="superscript"/>
              </w:rPr>
              <w:t>3</w:t>
            </w:r>
            <w:r>
              <w:rPr>
                <w:b/>
                <w:i/>
              </w:rPr>
              <w:t>;</w:t>
            </w:r>
          </w:p>
        </w:tc>
        <w:tc>
          <w:tcPr>
            <w:tcW w:w="4876" w:type="dxa"/>
            <w:tcBorders>
              <w:top w:val="nil"/>
              <w:left w:val="nil"/>
              <w:bottom w:val="nil"/>
              <w:right w:val="nil"/>
            </w:tcBorders>
          </w:tcPr>
          <w:p>
            <w:pPr>
              <w:pStyle w:val="Normal6a"/>
            </w:pPr>
            <w:r>
              <w:rPr>
                <w:b/>
                <w:i/>
              </w:rPr>
              <w:t>skreśla się</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w:t>
            </w:r>
            <w:r>
              <w:t xml:space="preserve"> </w:t>
            </w:r>
            <w:r>
              <w:rPr>
                <w:b/>
                <w:i/>
              </w:rPr>
              <w:t>Draghi, Mario, „The Future of European Competitiveness – A Competitiveness Strategy for Europe” [Przyszłość europejskiej konkurencyjności – strategia konkurencyjności dla Europy], 2024 r.</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mając na uwadze, że w Europie brakuje bardziej dynamicznego i korzystnego otoczenia dla rozwoju działalności innowacyjnych przedsiębiorstw, przez co niemal 30 % „jednorożców” przeniosło swoje siedziby za granicę</w:t>
            </w:r>
            <w:r>
              <w:rPr>
                <w:b/>
                <w:i/>
                <w:vertAlign w:val="superscript"/>
              </w:rPr>
              <w:t>3</w:t>
            </w:r>
            <w:r>
              <w:rPr>
                <w:b/>
                <w:i/>
              </w:rPr>
              <w:t>;</w:t>
            </w:r>
          </w:p>
        </w:tc>
        <w:tc>
          <w:tcPr>
            <w:tcW w:w="4876" w:type="dxa"/>
            <w:tcBorders>
              <w:top w:val="nil"/>
              <w:left w:val="nil"/>
              <w:bottom w:val="nil"/>
              <w:right w:val="nil"/>
            </w:tcBorders>
          </w:tcPr>
          <w:p>
            <w:pPr>
              <w:pStyle w:val="Normal6a"/>
            </w:pPr>
            <w:r>
              <w:rPr>
                <w:b/>
                <w:i/>
              </w:rPr>
              <w:t>skreśla się</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w:t>
            </w:r>
            <w:r>
              <w:t xml:space="preserve"> </w:t>
            </w:r>
            <w:r>
              <w:rPr>
                <w:b/>
                <w:i/>
              </w:rPr>
              <w:t>Draghi, Mario, „The Future of European Competitiveness – A Competitiveness Strategy for Europe” [Przyszłość europejskiej konkurencyjności – strategia konkurencyjności dla Europy], 2024 r.</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mając na uwadze, że w Europie brakuje bardziej dynamicznego i korzystnego otoczenia dla rozwoju działalności innowacyjnych przedsiębiorstw, przez co </w:t>
            </w:r>
            <w:r>
              <w:rPr>
                <w:b/>
                <w:i/>
              </w:rPr>
              <w:t>niemal 30 %</w:t>
            </w:r>
            <w:r>
              <w:t xml:space="preserve"> „jednorożców” przeniosło </w:t>
            </w:r>
            <w:r>
              <w:rPr>
                <w:b/>
                <w:i/>
              </w:rPr>
              <w:t>swoje siedziby za granicę</w:t>
            </w:r>
            <w:r>
              <w:rPr>
                <w:b/>
                <w:i/>
                <w:vertAlign w:val="superscript"/>
              </w:rPr>
              <w:t>3</w:t>
            </w:r>
            <w:r>
              <w:t>;</w:t>
            </w:r>
          </w:p>
        </w:tc>
        <w:tc>
          <w:tcPr>
            <w:tcW w:w="4876" w:type="dxa"/>
            <w:tcBorders>
              <w:top w:val="nil"/>
              <w:left w:val="nil"/>
              <w:bottom w:val="nil"/>
              <w:right w:val="nil"/>
            </w:tcBorders>
          </w:tcPr>
          <w:p>
            <w:pPr>
              <w:pStyle w:val="Normal6a"/>
            </w:pPr>
            <w:r>
              <w:t>E.</w:t>
            </w:r>
            <w:r>
              <w:tab/>
            </w:r>
            <w:r>
              <w:t>mając na uwadze, że w Europie brakuje bardziej dynamicznego i korzystnego otoczenia dla rozwoju działalności innowacyjnych przedsiębiorstw, przez co</w:t>
            </w:r>
            <w:r>
              <w:rPr>
                <w:b/>
                <w:i/>
              </w:rPr>
              <w:t>, zgodnie z raportem Draghiego, choć w latach 2008–2021 w Europie powstało 147</w:t>
            </w:r>
            <w:r>
              <w:t xml:space="preserve"> „jednorożców”</w:t>
            </w:r>
            <w:r>
              <w:rPr>
                <w:b/>
                <w:i/>
              </w:rPr>
              <w:t>, to aż 40 z nich</w:t>
            </w:r>
            <w:r>
              <w:t xml:space="preserve"> przeniosło </w:t>
            </w:r>
            <w:r>
              <w:rPr>
                <w:b/>
                <w:i/>
              </w:rPr>
              <w:t>siedzibę do państw trzecich, głównie do Stanów Zjednoczonych</w:t>
            </w:r>
            <w:r>
              <w:t xml:space="preserve">; </w:t>
            </w:r>
            <w:r>
              <w:rPr>
                <w:b/>
                <w:i/>
              </w:rPr>
              <w:t>mając na uwadze, że koszty biurokratyczne w Europie szacuje się na około 150 mld EUR (1,3 % PKB rocznie), a MFW szacuje, że rozdrobnienie rynku wewnętrznego odpowiada stawce celnej w wysokości 100 %;</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w:t>
            </w:r>
            <w:r>
              <w:t xml:space="preserve"> </w:t>
            </w:r>
            <w:r>
              <w:rPr>
                <w:b/>
                <w:i/>
              </w:rPr>
              <w:t>Draghi, Mario, „The Future of European Competitiveness – A Competitiveness Strategy for Europe” [Przyszłość europejskiej konkurencyjności – strategia konkurencyjności dla Europy], 2024 r.</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E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mając na uwadze, że przedsiębiorstwa typu start-up i scale-up charakteryzują się ograniczonymi kadrami i stosunkowo ograniczoną zdolnością do przestrzegania skomplikowanych systemów regulacyjnych lub procedur finansowania;</w:t>
            </w:r>
            <w:r>
              <w:t xml:space="preserve"> </w:t>
            </w:r>
            <w:r>
              <w:rPr>
                <w:b/>
                <w:i/>
              </w:rPr>
              <w:t>mając na uwadze, że ich potrzeby biznesowe i specyficzne wyzwania często różnią się od potrzeb małych i średnich przedsiębiorstw (MŚP),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E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mając na uwadze, że w raporcie Draghiego stwierdzono strukturalną lukę w rozpowszechnianiu technologii i pośrednich innowacji w gospodarce europejskiej, co szczególnie wpływa na MŚP i ogranicza ich zdolność do zwiększania skali;</w:t>
            </w:r>
            <w:r>
              <w:t xml:space="preserve"> </w:t>
            </w:r>
            <w:r>
              <w:rPr>
                <w:b/>
                <w:i/>
              </w:rPr>
              <w:t>mając na uwadze, że w raporcie podkreślono, że większość inwestycji w konkurencyjność musi pochodzić z sektora prywatnego;</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E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mając na uwadze, że w raporcie zauważono, iż w ciągu ostatnich 50 lat w Unii nie powstała żadna spółka o kapitalizacji rynkowej przekraczającej 100 mld EUR, choć w tym samym okresie w Stanach Zjednoczonych powstało sześć spółek o wartości ponad 1 bln USD;</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E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mając na uwadze, że w skład grupy EBI wchodzi EBI i Europejski Fundusz Inwestycyjny (EFI);</w:t>
            </w:r>
            <w:r>
              <w:t xml:space="preserve"> </w:t>
            </w:r>
            <w:r>
              <w:rPr>
                <w:b/>
                <w:i/>
              </w:rPr>
              <w:t>mając na uwadze, że EBI jest największą wielostronną instytucją finansową na świecie i odgrywa kluczową rolę w finansowaniu projektów promujących wzrost gospodarczy i innowacje w całej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E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biorąc pod uwagę, że choć MŚP są nieproporcjonalnie narażone na wstrząsy zewnętrzne, takie jak kryzysy finansowe, niestabilność geopolityczna lub transformacja ekologiczna i cyfrowa, są mimo to kluczowymi podmiotami w pobudzaniu zrównoważonego wzrostu sprzyjającego włączeniu społecznemu;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Jonás Fernández, Tsvetelina Penkova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E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mając na uwadze, że zgodnie z regionalną prognozą gospodarczą MFW dla Europy z października 2024 r. tzw. ukryte cła na rynku wewnętrznym UE szacuje się na około 45 % w przypadku handlu towarami i 110 % w przypadku handlu usługami;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E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mając na uwadze, że Komisja zamierza przedstawić w związku z tym wniosek dotyczący 28. systemu, który uprości obowiązujące przepisy, w tym istotne aspekty prawa spółek, prawa upadłościowego, prawa pracy i prawa podatkowego, oraz zmniejszy koszty upadłości;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E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mając na uwadze, że w UE nadal nie istnieje w pełni zintegrowana i skuteczna unia rynków kapitałowych, co utrudnia MŚP i przedsiębiorstwom typu scale-up dostęp do różnych transgranicznych źródeł kapitału prywatnego;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E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mając na uwadze, że dwie główne luki w finansowaniu europejskich czystych technologii to: kapitał potrzebny na pierwszym i ostatnim etapie oraz dług lub kredyt potrzebny na zwiększenie skali działalności;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E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mając na uwadze, że gospodarka rynkowa jest niezwykle ważna dla wspierania innowacji, wzrostu i inwestycji, a poszanowanie jej zasad ma fundamentalne znaczenie dla konkurencyjności gospodarczej Europy;</w:t>
            </w:r>
            <w:r>
              <w:t xml:space="preserve"> </w:t>
            </w:r>
            <w:r>
              <w:rPr>
                <w:b/>
                <w:i/>
              </w:rPr>
              <w:t>mając na uwadze, że w gospodarce rynkowej kapitał prywatny odgrywa zasadniczą rolę w napędzaniu innowacji, przedsiębiorczości i zatrudnienia, co jest szczególnie istotne dla rozwoju sektora kapitału wysokiego ryzyka;</w:t>
            </w:r>
            <w:r>
              <w:t xml:space="preserve"> </w:t>
            </w:r>
            <w:r>
              <w:rPr>
                <w:b/>
                <w:i/>
              </w:rPr>
              <w:t>mając na uwadze, że pomimo wysokich oszczędności inwestycje prywatne w Europie, w szczególności w kapitał wysokiego ryzyka, pozostają daleko w tyle za inwestycjami Stanów Zjednoczonych;</w:t>
            </w:r>
            <w:r>
              <w:t xml:space="preserve"> </w:t>
            </w:r>
            <w:r>
              <w:rPr>
                <w:b/>
                <w:i/>
              </w:rPr>
              <w:t>mając na uwadze, że polityka kreująca wolne i konkurencyjne otoczenie rynkowe ma zasadnicze znaczenie dla wypełnienia tej luki i zagwarantowania, że Europa będzie mogła w pełni wykorzystać swój potencjał gospodarczy, przyciągając zarówno inwestycje krajowe, jak i zagraniczne;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E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mając na uwadze, że Komisja realizuje różne inicjatywy, które mają promować przedsiębiorczość, innowacje i transformację cyfrową w UE, takie jak strategia na rzecz przedsiębiorstw typu start-up i scale-up, tablica wyników ekoinnowacji, wspólnoty wiedzy i innowacji (WWiI), Europejska Platforma Współpracy Klastrów, cyfrowa dekada i strategia jednolitego rynku cyfrowego, a także programy finansowania poświęcone innowacjom w innych obszarach polityki,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E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mając na uwadze, że brak jednolitego rynku kapitałowego nie tylko ogranicza dostęp do finansowania, ale również utrudnia UE zatrzymanie szybko rozwijających się przedsiębiorstw i grozi zwiększonym odpływem kapitału do państw trzecich;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E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biorąc pod uwagę, że dostęp do finansowania pozostaje jedną z najistotniejszych przeszkód w rozwoju MŚP, zwłaszcza gdy chcą zwiększyć skalę działalności, w zielonej transformacji i transformacji cyfrowej;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E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mając na uwadze, że inwestorzy instytucjonalni, na przykład ubezpieczyciele, wnoszą istotny wkład w finansowanie MŚP dzięki przenoszeniu i transformacji ryzyka;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E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mając na uwadze, że dobrze skapitalizowany sektor bankowy będzie nadal odgrywał istotną rolę w finansowaniu przedsiębiorstw, zwłaszcza MŚP;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E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Ec.</w:t>
            </w:r>
            <w:r>
              <w:tab/>
            </w:r>
            <w:r>
              <w:rPr>
                <w:b/>
                <w:i/>
              </w:rPr>
              <w:t>mając na uwadze, że osłabienie zasad pomocy państwa i konkurencji w Unii zwiększa bariery wejścia na rynek dla przedsiębiorstw typu start-up i scale-up, a tym samym utrudnia konkurencyjną alokację kapitału w oparciu o merytoryczne kryteria;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E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Ec.</w:t>
            </w:r>
            <w:r>
              <w:tab/>
            </w:r>
            <w:r>
              <w:rPr>
                <w:b/>
                <w:i/>
              </w:rPr>
              <w:t>mając na uwadze, że istnieją zauważalne rozbieżności historyczne między kulturą inwestycyjną w Europie i w innych regionach świata, zwłaszcza w przypadku kapitału wysokiego ryzyka i finansowania przez aniołów biznesu,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E d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Ed.</w:t>
            </w:r>
            <w:r>
              <w:tab/>
            </w:r>
            <w:r>
              <w:rPr>
                <w:b/>
                <w:i/>
              </w:rPr>
              <w:t>mając na uwadze, że potrzebne są dalsze inwestycje i postępy w infrastrukturze cyfrowej, aby dotrzymać kroku ewolucji technologii oraz umożliwić unijnym przedsiębiorstwom typu start-up, scale-up i MŚP utrzymanie wiodącej pozycji w zakresie innowacji i konkurencyjności na arenie światowej;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E d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Ed.</w:t>
            </w:r>
            <w:r>
              <w:tab/>
            </w:r>
            <w:r>
              <w:rPr>
                <w:b/>
                <w:i/>
              </w:rPr>
              <w:t>mając na uwadze, że mikroprzedsiębiorstwa to duży odsetek europejskich MŚP i bardzo często mają one trudności z dostępem do finansowania i uzyskaniem pełnej wiedzy na temat możliwości istniejących na szczeblu europejskim i krajowym;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E e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Ee.</w:t>
            </w:r>
            <w:r>
              <w:tab/>
            </w:r>
            <w:r>
              <w:rPr>
                <w:b/>
                <w:i/>
              </w:rPr>
              <w:t>mając na uwadze, że nadal utrzymuje się luka między przedsiębiorczością kobiet a przedsiębiorczością mężczyzn oraz że odmiennie traktuje się zarządzane przez kobiety mikroprzedsiębiorstwa oraz małe i średnie przedsiębiorstwa w dostępie do finansowania;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E f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Ef.</w:t>
            </w:r>
            <w:r>
              <w:tab/>
            </w:r>
            <w:r>
              <w:rPr>
                <w:b/>
                <w:i/>
              </w:rPr>
              <w:t>mając na uwadze, że łączne dodatkowe potrzeby inwestycyjne w Europie oszacowano w raporcie Draghiego na 750–800 mld EUR rocznie do 2030 r., z czego znaczną kwotę trzeba przeznaczyć na zieloną i cyfrową transformację;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E g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Eg.</w:t>
            </w:r>
            <w:r>
              <w:tab/>
            </w:r>
            <w:r>
              <w:rPr>
                <w:b/>
                <w:i/>
              </w:rPr>
              <w:t>mając na uwadze, że brak dobrze funkcjonującego rynku przedsiębiorstw typu start-up, scale-up, małych spółek o średniej kapitalizacji, a tym samym również kapitału wysokiego ryzyka, wynika głównie z braku harmonizacji zasad wspólnego rynku, które uniemożliwiają rozwijającym się przedsiębiorstwom rozszerzanie działalności na Europę;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E h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Eh.</w:t>
            </w:r>
            <w:r>
              <w:tab/>
            </w:r>
            <w:r>
              <w:rPr>
                <w:b/>
                <w:i/>
              </w:rPr>
              <w:t>mając na uwadze, że sprawozdawczość krajowa i obciążenia biurokratyczne utrudniły innowacyjnym przedsiębiorstwom szybki i skuteczny dostęp do finansowania zarówno na szczeblu krajowym, jak i za granicą;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E i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Ei.</w:t>
            </w:r>
            <w:r>
              <w:tab/>
            </w:r>
            <w:r>
              <w:rPr>
                <w:b/>
                <w:i/>
              </w:rPr>
              <w:t>mając na uwadze, że obciążenia krajowe i różnice między przepisami krajowymi spowodowały prawdopodobnie, że niewiele przedsiębiorstw było zdolnych do zwiększenia skali, co skutkowało brakiem IPO, kapitału, a przede wszystkim wiedzy fachowej wygenerowanej w UE, i doprowadziło do powstania słabo rozwiniętego ekosystemu kapitału wysokiego ryzyka;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E j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Ej.</w:t>
            </w:r>
            <w:r>
              <w:tab/>
            </w:r>
            <w:r>
              <w:rPr>
                <w:b/>
                <w:i/>
              </w:rPr>
              <w:t>mając na uwadze, że MŚP lub spółki o średniej kapitalizacji, które realizują cele społeczne lub publiczne lub działają na ich korzyść, często nie otrzymują finansowania, w związku z czym celem powinno być poszerzenie kryteriów, aby umożliwić takim przedsiębiorstwom otrzymywanie finansowania;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Śródtytuł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Kwestie ogólne</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Śródtytuł 1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Kwestie ogólne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uważa, że stworzenie sprzyjających warunków rynkowych dla europejskich przedsiębiorstw w zakresie innowacji, zakładania działalności, kreatywności, rozwoju i ekspansji w Europie jest niezbędne, aby uwolnić pełny potencjał naszego rynku i zwiększyć konkurencyjności naszych gospodarek;</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uważa, że stworzenie sprzyjających warunków rynkowych dla europejskich przedsiębiorstw w zakresie innowacji, zakładania działalności, kreatywności, rozwoju i ekspansji w Europie jest niezbędne, aby uwolnić pełny potencjał naszego rynku i zwiększyć konkurencyjności naszych gospodarek;</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Lídia Pereira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uważa, że stworzenie sprzyjających warunków rynkowych dla europejskich przedsiębiorstw w zakresie innowacji, zakładania działalności, kreatywności, rozwoju i ekspansji w Europie jest niezbędne, aby uwolnić pełny potencjał </w:t>
            </w:r>
            <w:r>
              <w:rPr>
                <w:b/>
                <w:i/>
              </w:rPr>
              <w:t>naszego</w:t>
            </w:r>
            <w:r>
              <w:t xml:space="preserve"> rynku i zwiększyć </w:t>
            </w:r>
            <w:r>
              <w:rPr>
                <w:b/>
                <w:i/>
              </w:rPr>
              <w:t>konkurencyjności</w:t>
            </w:r>
            <w:r>
              <w:t xml:space="preserve"> naszych gospodarek;</w:t>
            </w:r>
          </w:p>
        </w:tc>
        <w:tc>
          <w:tcPr>
            <w:tcW w:w="4876" w:type="dxa"/>
            <w:tcBorders>
              <w:top w:val="nil"/>
              <w:left w:val="nil"/>
              <w:bottom w:val="nil"/>
              <w:right w:val="nil"/>
            </w:tcBorders>
          </w:tcPr>
          <w:p>
            <w:pPr>
              <w:pStyle w:val="Normal6a"/>
            </w:pPr>
            <w:r>
              <w:t>1.</w:t>
            </w:r>
            <w:r>
              <w:tab/>
            </w:r>
            <w:r>
              <w:t xml:space="preserve">uważa, że stworzenie sprzyjających warunków rynkowych dla europejskich przedsiębiorstw w zakresie innowacji, zakładania działalności, kreatywności, rozwoju i ekspansji w Europie jest niezbędne, aby uwolnić pełny potencjał rynku </w:t>
            </w:r>
            <w:r>
              <w:rPr>
                <w:b/>
                <w:i/>
              </w:rPr>
              <w:t>wewnętrznego, zrealizować jednolity rynek cyfrowy</w:t>
            </w:r>
            <w:r>
              <w:t xml:space="preserve"> i zwiększyć </w:t>
            </w:r>
            <w:r>
              <w:rPr>
                <w:b/>
                <w:i/>
              </w:rPr>
              <w:t>produktywność, a tym samym także konkurencyjność</w:t>
            </w:r>
            <w:r>
              <w:t xml:space="preserve"> naszych gospodarek;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uważa, że stworzenie sprzyjających warunków rynkowych dla europejskich przedsiębiorstw w zakresie innowacji, zakładania działalności, kreatywności, rozwoju i ekspansji w Europie jest niezbędne, aby uwolnić pełny potencjał naszego rynku i zwiększyć konkurencyjności naszych gospodarek;</w:t>
            </w:r>
          </w:p>
        </w:tc>
        <w:tc>
          <w:tcPr>
            <w:tcW w:w="4876" w:type="dxa"/>
            <w:tcBorders>
              <w:top w:val="nil"/>
              <w:left w:val="nil"/>
              <w:bottom w:val="nil"/>
              <w:right w:val="nil"/>
            </w:tcBorders>
          </w:tcPr>
          <w:p>
            <w:pPr>
              <w:pStyle w:val="Normal6a"/>
            </w:pPr>
            <w:r>
              <w:t>1.</w:t>
            </w:r>
            <w:r>
              <w:tab/>
            </w:r>
            <w:r>
              <w:t xml:space="preserve">uważa, że stworzenie sprzyjających warunków rynkowych dla europejskich przedsiębiorstw w zakresie innowacji, zakładania działalności, kreatywności, rozwoju i ekspansji w Europie jest niezbędne, aby uwolnić pełny potencjał naszego rynku i zwiększyć konkurencyjności naszych gospodarek; </w:t>
            </w:r>
            <w:r>
              <w:rPr>
                <w:b/>
                <w:i/>
              </w:rPr>
              <w:t>ubolewa, że znaczna część europejskich MŚP i przedsiębiorstw typu scale-up nie jest w stanie w pełni wykorzystać potencjału jednolitego rynku ze względu na utrzymującą się fragmentację regulacyjną, ograniczony transgraniczny dostęp do finansowania i niewystarczającą integrację rynku kapitałowego;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Gilles Boyer, Billy Kelleher, Stéphanie Yon-Courtin, Pascal Canfin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uważa, że stworzenie sprzyjających warunków rynkowych dla europejskich przedsiębiorstw w zakresie innowacji, zakładania działalności, kreatywności, rozwoju i ekspansji w Europie jest niezbędne, aby uwolnić pełny potencjał naszego rynku i zwiększyć konkurencyjności naszych gospodarek;</w:t>
            </w:r>
          </w:p>
        </w:tc>
        <w:tc>
          <w:tcPr>
            <w:tcW w:w="4876" w:type="dxa"/>
            <w:tcBorders>
              <w:top w:val="nil"/>
              <w:left w:val="nil"/>
              <w:bottom w:val="nil"/>
              <w:right w:val="nil"/>
            </w:tcBorders>
          </w:tcPr>
          <w:p>
            <w:pPr>
              <w:pStyle w:val="Normal6a"/>
            </w:pPr>
            <w:r>
              <w:t>1.</w:t>
            </w:r>
            <w:r>
              <w:tab/>
            </w:r>
            <w:r>
              <w:t xml:space="preserve">uważa, że stworzenie sprzyjających warunków rynkowych dla europejskich przedsiębiorstw w zakresie innowacji, zakładania działalności, kreatywności, rozwoju i ekspansji w Europie jest niezbędne, aby uwolnić pełny potencjał naszego rynku i zwiększyć konkurencyjności naszych gospodarek; </w:t>
            </w:r>
            <w:r>
              <w:rPr>
                <w:b/>
                <w:i/>
              </w:rPr>
              <w:t>podkreśla, że dokończenie budowy unii bankowej przyczyni się również do zwiększenia konkurencyjności Europy i finansowania MŚP;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uważa, że stworzenie sprzyjających warunków rynkowych dla europejskich przedsiębiorstw w zakresie innowacji, zakładania działalności, kreatywności, rozwoju i ekspansji w Europie jest niezbędne, aby uwolnić pełny potencjał naszego rynku i zwiększyć konkurencyjności naszych gospodarek;</w:t>
            </w:r>
          </w:p>
        </w:tc>
        <w:tc>
          <w:tcPr>
            <w:tcW w:w="4876" w:type="dxa"/>
            <w:tcBorders>
              <w:top w:val="nil"/>
              <w:left w:val="nil"/>
              <w:bottom w:val="nil"/>
              <w:right w:val="nil"/>
            </w:tcBorders>
          </w:tcPr>
          <w:p>
            <w:pPr>
              <w:pStyle w:val="Normal6a"/>
            </w:pPr>
            <w:r>
              <w:t>1.</w:t>
            </w:r>
            <w:r>
              <w:tab/>
            </w:r>
            <w:r>
              <w:t>uważa, że stworzenie sprzyjających warunków rynkowych dla europejskich przedsiębiorstw w zakresie innowacji, zakładania działalności, kreatywności, rozwoju i ekspansji w Europie jest niezbędne, aby uwolnić pełny potencjał naszego rynku i zwiększyć konkurencyjności naszych gospodarek</w:t>
            </w:r>
            <w:r>
              <w:rPr>
                <w:b/>
                <w:i/>
              </w:rPr>
              <w:t>, a także zaspokoić potrzeby wspomnianych przedsiębiorstw</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podkreśla, że ze względu na swoje rozmiary przeważająca większość MŚP będzie nadal polegać na kredytach bankowych jako jedynym źródle finansowania;</w:t>
            </w:r>
            <w:r>
              <w:t xml:space="preserve"> </w:t>
            </w:r>
            <w:r>
              <w:rPr>
                <w:b/>
                <w:i/>
              </w:rPr>
              <w:t>popiera jednak środki służące zróżnicowaniu źródeł finansowania dla przedsiębiorstw typu start-up i tych MŚP, które mogą uzyskiwać dostęp do finansowania kapitałowego ze względu na ich stosunkowo duże rozmiary lub znaczące perspektywy wzrostu;</w:t>
            </w:r>
            <w:r>
              <w:t xml:space="preserve"> </w:t>
            </w:r>
            <w:r>
              <w:rPr>
                <w:b/>
                <w:i/>
              </w:rPr>
              <w:t>podkreśla, że innowacyjne MŚP są kluczowe z punktu widzenia konkurencyjności i strategicznej autonomii UE, podkreśla potrzebę odpowiedniego, zróżnicowanego finansowania, aby wspierać MŚP, spółki o średniej kapitalizacji, a także przedsiębiorstwa typu start-up i scale-up w innowacjach i konkurowaniu na szczeblu globalnym;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przyznaje, że MŚP różnią się znacznie w poszczególnych państwach członkowskich pod względem modeli biznesowych, wielkości, lokalizacji, kontekstu społeczno-gospodarczego, etapu rozwoju, struktury finansowej, formy prawnej i poziomu wyszkolenia w zakresie przedsiębiorczości;</w:t>
            </w:r>
            <w:r>
              <w:t xml:space="preserve"> </w:t>
            </w:r>
            <w:r>
              <w:rPr>
                <w:b/>
                <w:i/>
              </w:rPr>
              <w:t>zauważa, że taka różnorodność wymaga raczej szerokiej oferty możliwości finansowania niż jednego modelu;</w:t>
            </w:r>
            <w:r>
              <w:t xml:space="preserve"> </w:t>
            </w:r>
            <w:r>
              <w:rPr>
                <w:b/>
                <w:i/>
              </w:rPr>
              <w:t>wzywa Komisję do wspierania dostosowanych do potrzeb programów, instrumentów i inicjatyw, które wspierają przedsiębiorstwa na różnych etapach rozwoju;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Anouk Van Brug, Billy Kelleher, 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wyraża głębokie ubolewanie, że utrzymujące się bariery w swobodnym przepływie kapitału w UE nadal utrudniają MŚP dostęp do finansowania, zwiększają koszty kapitału oraz hamują innowacje i wzrost gospodarczy;</w:t>
            </w:r>
            <w:r>
              <w:t xml:space="preserve"> </w:t>
            </w:r>
            <w:r>
              <w:rPr>
                <w:b/>
                <w:i/>
              </w:rPr>
              <w:t>podkreśla, że pogłębienie i dokończenie budowy unii oszczędności i inwestycji ma zasadnicze znaczenie w usuwaniu tych barier i integracji europejskiego rynku kapitałowego, który wspiera tworzenie miejsc pracy, długoterminowy dobrobyt i odporność gospodarczą;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uważa, że Komisja Europejska udostępniła szereg programów, które mają pomóc MŚP w dostępie do rynku finansowego, takich jak Fundusz Gwarancyjny UE, plan InvestEU i europejskie fundusze inwestycyjne;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w imieniu grupy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podkreśla kluczową rolę MŚP w gospodarce UE, ponieważ reprezentują 99,8 % wszystkich przedsiębiorstw i 65,2 % zatrudnienia;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dostrzega, że MŚP borykają się z nierównymi warunkami i wymogami w zakresie finansowania w poszczególnych państwach członkowskich i regionach, zwłaszcza w odniesieniu do dostępności i kosztów finansowania;</w:t>
            </w:r>
            <w:r>
              <w:t xml:space="preserve"> </w:t>
            </w:r>
            <w:r>
              <w:rPr>
                <w:b/>
                <w:i/>
              </w:rPr>
              <w:t>podkreśla, że takie różnice wynikają z czynników właściwych dla każdego MŚP i otoczenia gospodarczego danego kraju lub regionu, w tym z niepewności gospodarczej, powolnego wzrostu i większej niestabilności finansowej;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w imieniu grupy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stwierdza, że MŚP szczególnie mocno ucierpiały w wyniku kryzysów z ostatnich lat, zwłaszcza podczas pandemii COVID-19, z powodu kryzysu energetycznego i gospodarczych skutków rosyjskiej napaści na Ukrainę;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w imieniu grupy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1c.</w:t>
            </w:r>
            <w:r>
              <w:tab/>
            </w:r>
            <w:r>
              <w:rPr>
                <w:b/>
                <w:i/>
              </w:rPr>
              <w:t>ubolewa nad nadmiernymi i bezcelowymi obciążeniami, z jakimi borykają się MŚP, zarówno bezpośrednio, jak i pośrednio, w wyniku wdrażania zielonych programów UE, a w szczególności Zielonego Ładu;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z zadowoleniem przyjmuje fakt, że po opublikowaniu sprawozdań Draghiego i Letty uznano potrzebę zwiększania konkurencyjności i ograniczania biurokracji na jednolitym rynku;</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z zadowoleniem przyjmuje fakt, że po opublikowaniu sprawozdań Draghiego i Letty uznano potrzebę zwiększania konkurencyjności i ograniczania biurokracji na jednolitym rynku;</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Anouk Van Brug, Billy Kelleher, 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z zadowoleniem przyjmuje fakt, że </w:t>
            </w:r>
            <w:r>
              <w:rPr>
                <w:b/>
                <w:i/>
              </w:rPr>
              <w:t>po opublikowaniu sprawozdań</w:t>
            </w:r>
            <w:r>
              <w:t xml:space="preserve"> Draghiego i Letty </w:t>
            </w:r>
            <w:r>
              <w:rPr>
                <w:b/>
                <w:i/>
              </w:rPr>
              <w:t>uznano</w:t>
            </w:r>
            <w:r>
              <w:t xml:space="preserve"> potrzebę zwiększania konkurencyjności i ograniczania biurokracji na jednolitym rynku;</w:t>
            </w:r>
          </w:p>
        </w:tc>
        <w:tc>
          <w:tcPr>
            <w:tcW w:w="4876" w:type="dxa"/>
            <w:tcBorders>
              <w:top w:val="nil"/>
              <w:left w:val="nil"/>
              <w:bottom w:val="nil"/>
              <w:right w:val="nil"/>
            </w:tcBorders>
          </w:tcPr>
          <w:p>
            <w:pPr>
              <w:pStyle w:val="Normal6a"/>
            </w:pPr>
            <w:r>
              <w:t>2.</w:t>
            </w:r>
            <w:r>
              <w:tab/>
            </w:r>
            <w:r>
              <w:t xml:space="preserve">z zadowoleniem przyjmuje fakt, że </w:t>
            </w:r>
            <w:r>
              <w:rPr>
                <w:b/>
                <w:i/>
              </w:rPr>
              <w:t>sprawozdania</w:t>
            </w:r>
            <w:r>
              <w:t xml:space="preserve"> Draghiego i Letty </w:t>
            </w:r>
            <w:r>
              <w:rPr>
                <w:b/>
                <w:i/>
              </w:rPr>
              <w:t>uznają</w:t>
            </w:r>
            <w:r>
              <w:t xml:space="preserve"> potrzebę zwiększania konkurencyjności i ograniczania biurokracji na jednolitym rynku; </w:t>
            </w:r>
            <w:r>
              <w:rPr>
                <w:b/>
                <w:i/>
              </w:rPr>
              <w:t>wzywa Komisję do zdecydowanego i szybkiego przedstawienia wniosków ustawodawczych, aby wdrożyć co najmniej znaczną część zaleceń zawartych w tych sprawozdaniach;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Lídia Pereira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z zadowoleniem przyjmuje fakt, że po opublikowaniu sprawozdań Draghiego i Letty uznano </w:t>
            </w:r>
            <w:r>
              <w:rPr>
                <w:b/>
                <w:i/>
              </w:rPr>
              <w:t>potrzebę zwiększania</w:t>
            </w:r>
            <w:r>
              <w:t xml:space="preserve"> konkurencyjności i </w:t>
            </w:r>
            <w:r>
              <w:rPr>
                <w:b/>
                <w:i/>
              </w:rPr>
              <w:t>ograniczania</w:t>
            </w:r>
            <w:r>
              <w:t xml:space="preserve"> biurokracji na jednolitym rynku;</w:t>
            </w:r>
          </w:p>
        </w:tc>
        <w:tc>
          <w:tcPr>
            <w:tcW w:w="4876" w:type="dxa"/>
            <w:tcBorders>
              <w:top w:val="nil"/>
              <w:left w:val="nil"/>
              <w:bottom w:val="nil"/>
              <w:right w:val="nil"/>
            </w:tcBorders>
          </w:tcPr>
          <w:p>
            <w:pPr>
              <w:pStyle w:val="Normal6a"/>
            </w:pPr>
            <w:r>
              <w:t>2.</w:t>
            </w:r>
            <w:r>
              <w:tab/>
            </w:r>
            <w:r>
              <w:t xml:space="preserve">z zadowoleniem przyjmuje fakt, że po opublikowaniu sprawozdań Draghiego i Letty uznano </w:t>
            </w:r>
            <w:r>
              <w:rPr>
                <w:b/>
                <w:i/>
              </w:rPr>
              <w:t>zwiększanie</w:t>
            </w:r>
            <w:r>
              <w:t xml:space="preserve"> konkurencyjności i </w:t>
            </w:r>
            <w:r>
              <w:rPr>
                <w:b/>
                <w:i/>
              </w:rPr>
              <w:t>ograniczanie</w:t>
            </w:r>
            <w:r>
              <w:t xml:space="preserve"> biurokracji na jednolitym rynku</w:t>
            </w:r>
            <w:r>
              <w:rPr>
                <w:b/>
                <w:i/>
              </w:rPr>
              <w:t> za priorytet polityczny i nadrzędny cel UE w obecnej kadencji, wymagający natychmiastowych i zdecydowanych działań zarówno w wymiarze regulacyjnym, jak i politycznym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z zadowoleniem przyjmuje fakt, że po opublikowaniu sprawozdań Draghiego i Letty uznano potrzebę zwiększania konkurencyjności i ograniczania biurokracji na jednolitym rynku;</w:t>
            </w:r>
          </w:p>
        </w:tc>
        <w:tc>
          <w:tcPr>
            <w:tcW w:w="4876" w:type="dxa"/>
            <w:tcBorders>
              <w:top w:val="nil"/>
              <w:left w:val="nil"/>
              <w:bottom w:val="nil"/>
              <w:right w:val="nil"/>
            </w:tcBorders>
          </w:tcPr>
          <w:p>
            <w:pPr>
              <w:pStyle w:val="Normal6a"/>
            </w:pPr>
            <w:r>
              <w:t>2.</w:t>
            </w:r>
            <w:r>
              <w:tab/>
            </w:r>
            <w:r>
              <w:t>z zadowoleniem przyjmuje fakt, że po opublikowaniu sprawozdań Draghiego i Letty uznano potrzebę zwiększania konkurencyjności i ograniczania biurokracji na jednolitym rynku</w:t>
            </w:r>
            <w:r>
              <w:rPr>
                <w:b/>
                <w:i/>
              </w:rPr>
              <w:t>, podkreślając zwłaszcza potrzebę przyciągnięcia inwestycji prywatnych</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z zadowoleniem przyjmuje fakt, że po opublikowaniu sprawozdań Draghiego i Letty uznano potrzebę zwiększania konkurencyjności i </w:t>
            </w:r>
            <w:r>
              <w:rPr>
                <w:b/>
                <w:i/>
              </w:rPr>
              <w:t>ograniczania biurokracji</w:t>
            </w:r>
            <w:r>
              <w:t xml:space="preserve"> na jednolitym rynku;</w:t>
            </w:r>
          </w:p>
        </w:tc>
        <w:tc>
          <w:tcPr>
            <w:tcW w:w="4876" w:type="dxa"/>
            <w:tcBorders>
              <w:top w:val="nil"/>
              <w:left w:val="nil"/>
              <w:bottom w:val="nil"/>
              <w:right w:val="nil"/>
            </w:tcBorders>
          </w:tcPr>
          <w:p>
            <w:pPr>
              <w:pStyle w:val="Normal6a"/>
            </w:pPr>
            <w:r>
              <w:t>2.</w:t>
            </w:r>
            <w:r>
              <w:tab/>
            </w:r>
            <w:r>
              <w:t xml:space="preserve">z zadowoleniem przyjmuje fakt, że po opublikowaniu sprawozdań Draghiego i Letty uznano potrzebę zwiększania konkurencyjności i </w:t>
            </w:r>
            <w:r>
              <w:rPr>
                <w:b/>
                <w:i/>
              </w:rPr>
              <w:t>równowagi</w:t>
            </w:r>
            <w:r>
              <w:t xml:space="preserve"> na jednolitym rynku;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z zadowoleniem przyjmuje fakt, że po opublikowaniu sprawozdań Draghiego i Letty uznano potrzebę </w:t>
            </w:r>
            <w:r>
              <w:rPr>
                <w:b/>
                <w:i/>
              </w:rPr>
              <w:t>zwiększania konkurencyjności i ograniczania biurokracji na jednolitym</w:t>
            </w:r>
            <w:r>
              <w:t xml:space="preserve"> rynku;</w:t>
            </w:r>
          </w:p>
        </w:tc>
        <w:tc>
          <w:tcPr>
            <w:tcW w:w="4876" w:type="dxa"/>
            <w:tcBorders>
              <w:top w:val="nil"/>
              <w:left w:val="nil"/>
              <w:bottom w:val="nil"/>
              <w:right w:val="nil"/>
            </w:tcBorders>
          </w:tcPr>
          <w:p>
            <w:pPr>
              <w:pStyle w:val="Normal6a"/>
            </w:pPr>
            <w:r>
              <w:t>2.</w:t>
            </w:r>
            <w:r>
              <w:tab/>
            </w:r>
            <w:r>
              <w:t xml:space="preserve">z zadowoleniem przyjmuje fakt, że po opublikowaniu sprawozdań Draghiego i Letty uznano potrzebę </w:t>
            </w:r>
            <w:r>
              <w:rPr>
                <w:b/>
                <w:i/>
              </w:rPr>
              <w:t>większej integracji jednolitego</w:t>
            </w:r>
            <w:r>
              <w:t xml:space="preserve"> rynku;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podkreśla, że solidność sektora finansowego jest kluczowym elementem jego konkurencyjności;</w:t>
            </w:r>
            <w:r>
              <w:t xml:space="preserve"> </w:t>
            </w:r>
            <w:r>
              <w:rPr>
                <w:b/>
                <w:i/>
              </w:rPr>
              <w:t>wskazuje w związku z tym, że reformy wprowadzone po kryzysie finansowym należy utrzymać i zakończyć;</w:t>
            </w:r>
            <w:r>
              <w:t xml:space="preserve"> </w:t>
            </w:r>
            <w:r>
              <w:rPr>
                <w:b/>
                <w:i/>
              </w:rPr>
              <w:t>zaznacza, że tylko pełne wdrożenie pakietu Bazylea zapewni stabilność finansową banków w UE;</w:t>
            </w:r>
            <w:r>
              <w:t xml:space="preserve"> </w:t>
            </w:r>
            <w:r>
              <w:rPr>
                <w:b/>
                <w:i/>
              </w:rPr>
              <w:t>przypomina, że rozporządzenie w sprawie wymogów kapitałowych zawiera współczynnik wsparcia MŚP, aby zachęcić banki do udzielania im kredytów;</w:t>
            </w:r>
            <w:r>
              <w:t xml:space="preserve"> </w:t>
            </w:r>
            <w:r>
              <w:rPr>
                <w:b/>
                <w:i/>
              </w:rPr>
              <w:t>zauważa, że w 2024 r. większa część portfela aktywów ubezpieczycieli składa się z obligacji korporacyjnych i akcji niż w 2017 r.;</w:t>
            </w:r>
            <w:r>
              <w:t xml:space="preserve"> </w:t>
            </w:r>
            <w:r>
              <w:rPr>
                <w:b/>
                <w:i/>
              </w:rPr>
              <w:t>podkreśla, że pokazuje to, iż solidne ramy ostrożnościowe Wypłacalność II nie utrudniały, ale raczej wspierały inwestycje ubezpieczycieli w realną gospodarkę;</w:t>
            </w:r>
            <w:r>
              <w:t xml:space="preserve"> </w:t>
            </w:r>
            <w:r>
              <w:rPr>
                <w:b/>
                <w:i/>
              </w:rPr>
              <w:t>uważa, że w ramach finalizacji przeglądu ram Wypłacalność II należy utrzymać określone w nich zasady ostrożnościowe;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stwierdza, że zwłaszcza mniejsze przedsiębiorstwa z trudem poruszają się w gąszczu funduszy i programów udostępnianych przez Unię Europejską;</w:t>
            </w:r>
            <w:r>
              <w:t xml:space="preserve"> </w:t>
            </w:r>
            <w:r>
              <w:rPr>
                <w:b/>
                <w:i/>
              </w:rPr>
              <w:t>podkreśla, że MŚP zarządzane przez kobiety, migrantów i osoby należące do mniejszości doświadczają dodatkowej dyskryminacji strukturalnej i trudności w dostępie do finansowania, co przyczynia się do utrzymania się nierówności gospodarczych;</w:t>
            </w:r>
            <w:r>
              <w:t xml:space="preserve"> </w:t>
            </w:r>
            <w:r>
              <w:rPr>
                <w:b/>
                <w:i/>
              </w:rPr>
              <w:t>wzywa Komisję do zajęcia się tą dyskryminacją za pomocą odpowiednich programów wsparcia i rozwiązań w zakresie finansowania;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podkreśla, że dostęp przedsiębiorstw do finansowania będzie w coraz większym stopniu uzależniony od ujawniania przez nie skutków społecznych i środowiskowych w odpowiedzi na potrzeby większych inwestorów i rynków finansowych, w związku z czym wzywa Komisję do opracowania uproszczonych i w pełni cyfrowych ram sprawozdawczości w celu wsparcia MŚP i przedsiębiorstw typu scale-up na ścieżce wzrostu;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popiera przedstawioną przez Komisję Europejską strategię na rzecz przedsiębiorstw typu start-up i scale-up;</w:t>
            </w:r>
            <w:r>
              <w:t xml:space="preserve"> </w:t>
            </w:r>
            <w:r>
              <w:rPr>
                <w:b/>
                <w:i/>
              </w:rPr>
              <w:t>uważa, że będzie promować innowacje i pomoże sprostać wyzwaniom, przed którymi stoją poszczególni innowatorzy, założyciele, przedsiębiorstwa typu start-up i scale-up w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Jonás Fernández, Tsvetelina Penkova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podkreśla, że konsolidacja jednolitego rynku wymaga zidentyfikowania i usunięcia barier wewnętrznych, które utrudniają jego pełną integrację i osłabiają konkurencyjność Europy;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podkreśla, że UE powinna dążyć do ułatwień w prowadzeniu działalności gospodarczej dla przedsiębiorców oraz do stworzenia ekosystemu przedsiębiorstw typu scale-up, który opierałby się przede wszystkim na inwestycjach prywatnych;</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podkreśla, że UE powinna dążyć do ułatwień w prowadzeniu działalności gospodarczej dla przedsiębiorców oraz do stworzenia ekosystemu przedsiębiorstw typu scale-up, który opierałby się przede wszystkim na inwestycjach prywatnych;</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podkreśla, że UE powinna dążyć do ułatwień w prowadzeniu działalności gospodarczej </w:t>
            </w:r>
            <w:r>
              <w:rPr>
                <w:b/>
                <w:i/>
              </w:rPr>
              <w:t>dla przedsiębiorców oraz do stworzenia</w:t>
            </w:r>
            <w:r>
              <w:t xml:space="preserve"> ekosystemu przedsiębiorstw typu scale-up, który opierałby się przede wszystkim na inwestycjach prywatnych;</w:t>
            </w:r>
          </w:p>
        </w:tc>
        <w:tc>
          <w:tcPr>
            <w:tcW w:w="4876" w:type="dxa"/>
            <w:tcBorders>
              <w:top w:val="nil"/>
              <w:left w:val="nil"/>
              <w:bottom w:val="nil"/>
              <w:right w:val="nil"/>
            </w:tcBorders>
          </w:tcPr>
          <w:p>
            <w:pPr>
              <w:pStyle w:val="Normal6a"/>
            </w:pPr>
            <w:r>
              <w:t>3.</w:t>
            </w:r>
            <w:r>
              <w:tab/>
            </w:r>
            <w:r>
              <w:t>podkreśla, że UE powinna dążyć do ułatwień w prowadzeniu działalności gospodarczej</w:t>
            </w:r>
            <w:r>
              <w:rPr>
                <w:b/>
                <w:i/>
              </w:rPr>
              <w:t>, które przyciągają zarówno europejski, jak i międzynarodowy kapitał i inwestycje;</w:t>
            </w:r>
            <w:r>
              <w:t xml:space="preserve"> </w:t>
            </w:r>
            <w:r>
              <w:rPr>
                <w:b/>
                <w:i/>
              </w:rPr>
              <w:t>podkreśla potrzebę wspierania</w:t>
            </w:r>
            <w:r>
              <w:t xml:space="preserve"> ekosystemu przedsiębiorstw typu scale-up, który opierałby się przede wszystkim na inwestycjach prywatnych </w:t>
            </w:r>
            <w:r>
              <w:rPr>
                <w:b/>
                <w:i/>
              </w:rPr>
              <w:t>i partnerstwach publiczno-prywatnych w celu zwiększenia kapitału i ułatwienia przedsiębiorstwom dostępu do finansowania</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podkreśla, że UE powinna dążyć do ułatwień w prowadzeniu działalności gospodarczej dla </w:t>
            </w:r>
            <w:r>
              <w:rPr>
                <w:b/>
                <w:i/>
              </w:rPr>
              <w:t>przedsiębiorców oraz do stworzenia</w:t>
            </w:r>
            <w:r>
              <w:t xml:space="preserve"> ekosystemu przedsiębiorstw typu scale-up, </w:t>
            </w:r>
            <w:r>
              <w:rPr>
                <w:b/>
                <w:i/>
              </w:rPr>
              <w:t>który opierałby się przede wszystkim na inwestycjach prywatnych</w:t>
            </w:r>
            <w:r>
              <w:t>;</w:t>
            </w:r>
          </w:p>
        </w:tc>
        <w:tc>
          <w:tcPr>
            <w:tcW w:w="4876" w:type="dxa"/>
            <w:tcBorders>
              <w:top w:val="nil"/>
              <w:left w:val="nil"/>
              <w:bottom w:val="nil"/>
              <w:right w:val="nil"/>
            </w:tcBorders>
          </w:tcPr>
          <w:p>
            <w:pPr>
              <w:pStyle w:val="Normal6a"/>
            </w:pPr>
            <w:r>
              <w:t>3.</w:t>
            </w:r>
            <w:r>
              <w:tab/>
            </w:r>
            <w:r>
              <w:t xml:space="preserve">podkreśla, że UE powinna dążyć do ułatwień w prowadzeniu działalności gospodarczej dla </w:t>
            </w:r>
            <w:r>
              <w:rPr>
                <w:b/>
                <w:i/>
              </w:rPr>
              <w:t>osób przedsiębiorczych i firm europejskich dzięki usunięciu zbędnych barier, zapewnieniu przewidywalnych ram regulacyjnych oraz stworzeniu</w:t>
            </w:r>
            <w:r>
              <w:t xml:space="preserve"> ekosystemu przedsiębiorstw typu scale-up, </w:t>
            </w:r>
            <w:r>
              <w:rPr>
                <w:b/>
                <w:i/>
              </w:rPr>
              <w:t>które sprzyjają innowacjom, konkurencji i wzrostowi gospodarczemu</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Tsvetelina Penkova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podkreśla, że UE powinna dążyć do ułatwień w prowadzeniu działalności gospodarczej dla przedsiębiorców oraz do stworzenia ekosystemu przedsiębiorstw typu scale-up, który opierałby się </w:t>
            </w:r>
            <w:r>
              <w:rPr>
                <w:b/>
                <w:i/>
              </w:rPr>
              <w:t>przede wszystkim</w:t>
            </w:r>
            <w:r>
              <w:t xml:space="preserve"> na inwestycjach prywatnych;</w:t>
            </w:r>
          </w:p>
        </w:tc>
        <w:tc>
          <w:tcPr>
            <w:tcW w:w="4876" w:type="dxa"/>
            <w:tcBorders>
              <w:top w:val="nil"/>
              <w:left w:val="nil"/>
              <w:bottom w:val="nil"/>
              <w:right w:val="nil"/>
            </w:tcBorders>
          </w:tcPr>
          <w:p>
            <w:pPr>
              <w:pStyle w:val="Normal6a"/>
            </w:pPr>
            <w:r>
              <w:t>3.</w:t>
            </w:r>
            <w:r>
              <w:tab/>
            </w:r>
            <w:r>
              <w:t xml:space="preserve">podkreśla, że UE powinna dążyć do ułatwień w prowadzeniu działalności gospodarczej dla przedsiębiorców oraz do stworzenia ekosystemu przedsiębiorstw typu scale-up, który opierałby się </w:t>
            </w:r>
            <w:r>
              <w:rPr>
                <w:b/>
                <w:i/>
              </w:rPr>
              <w:t>zarówno</w:t>
            </w:r>
            <w:r>
              <w:t xml:space="preserve"> na inwestycjach prywatnych</w:t>
            </w:r>
            <w:r>
              <w:rPr>
                <w:b/>
                <w:i/>
              </w:rPr>
              <w:t>, jak i publicznych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podkreśla, że UE powinna dążyć do ułatwień w prowadzeniu działalności gospodarczej dla przedsiębiorców oraz do stworzenia ekosystemu przedsiębiorstw typu scale-up, który opierałby się przede wszystkim na inwestycjach prywatnych;</w:t>
            </w:r>
          </w:p>
        </w:tc>
        <w:tc>
          <w:tcPr>
            <w:tcW w:w="4876" w:type="dxa"/>
            <w:tcBorders>
              <w:top w:val="nil"/>
              <w:left w:val="nil"/>
              <w:bottom w:val="nil"/>
              <w:right w:val="nil"/>
            </w:tcBorders>
          </w:tcPr>
          <w:p>
            <w:pPr>
              <w:pStyle w:val="Normal6a"/>
            </w:pPr>
            <w:r>
              <w:t>3.</w:t>
            </w:r>
            <w:r>
              <w:tab/>
            </w:r>
            <w:r>
              <w:t xml:space="preserve">podkreśla, że UE powinna dążyć do ułatwień w prowadzeniu działalności gospodarczej dla przedsiębiorców oraz do stworzenia ekosystemu przedsiębiorstw typu scale-up, który opierałby się przede wszystkim na inwestycjach prywatnych; </w:t>
            </w:r>
            <w:r>
              <w:rPr>
                <w:b/>
                <w:i/>
              </w:rPr>
              <w:t>przyjmuje do wiadomości unijną strategię Komisji na rzecz przedsiębiorstw typu start-up i scale-up;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Jorge Martín Frías, Enikő Győri, Tomáš Kubín,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podkreśla, że chociaż diagnoza zawarta w opublikowanej przez Komisję strategii dotyczącej przedsiębiorstw typu start-up i scale-up jest w dużej mierze słuszna, to proponowane środki muszą być bardziej ambitne;</w:t>
            </w:r>
            <w:r>
              <w:t xml:space="preserve"> </w:t>
            </w:r>
            <w:r>
              <w:rPr>
                <w:b/>
                <w:i/>
              </w:rPr>
              <w:t>należy położyć nacisk na uchylenie wszystkich przepisów europejskich, które nakładają niepotrzebne przeszkody biurokratyczne utrudniające tworzenie i rozwój przedsiębiorstw;</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docenia kluczową rolę sektora prywatnego we wzroście i dobrobycie Unii Europejskiej;</w:t>
            </w:r>
            <w:r>
              <w:t xml:space="preserve"> </w:t>
            </w:r>
            <w:r>
              <w:rPr>
                <w:b/>
                <w:i/>
              </w:rPr>
              <w:t>przypomina, że konkurencyjna gospodarka, taka jak gospodarka europejska, zależy od dynamicznej struktury biznesowej i otoczenia zachęcającego do prywatnych inwestycji, przedsiębiorczości i tworzenia wartości;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jest przekonany, że specjalne definicje przedsiębiorstw typu start-up i scale-up zwiększą możliwości wsparcia za pomocą środków dostosowanych do szczególnych potrzeb i specyfiki tych przedsiębiorstw, ułatwiając im dostęp do europejskich rynków kapitałowych i inwestorów prywatnych;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przypomina, że wzrost produktywności można osiągnąć głównie przez inwestycje w innowacyjne działania;</w:t>
            </w:r>
            <w:r>
              <w:t xml:space="preserve"> </w:t>
            </w:r>
            <w:r>
              <w:rPr>
                <w:b/>
                <w:i/>
              </w:rPr>
              <w:t>uznaje, że budowanie zrównoważonej gospodarki stanowi ważną przewagę konkurencyjną gospodarki UE i kamień węgielny suwerenności gospodarczej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zwraca uwagę, że pożyczki bankowe są tradycyjnie najważniejszym źródłem finansowania MŚP w Unii, ponieważ kredyty bankowe stanowią ponad trzy czwarte finansowania MŚP</w:t>
            </w:r>
            <w:r>
              <w:rPr>
                <w:b/>
                <w:i/>
                <w:vertAlign w:val="superscript"/>
              </w:rPr>
              <w:t>1a</w:t>
            </w:r>
            <w:r>
              <w:rPr>
                <w:b/>
                <w:i/>
              </w:rPr>
              <w:t>, co naraża MŚP na trudności w przypadku zmniejszenia akcji kredytowej przez banki;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OECD (2024), Financing SMEs and Entrepreneurs 2024:</w:t>
            </w:r>
            <w:r>
              <w:t xml:space="preserve"> </w:t>
            </w:r>
            <w:r>
              <w:rPr>
                <w:b/>
                <w:i/>
              </w:rPr>
              <w:t>An OECD Scoreboard [Finansowanie MŚP i przedsiębiorstw w 2024 r.: tabela wyników OECD], OECD, Paryż, https://doi.org/10.1787/fa521246-en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twierdzi, że rosnąca koncentracja w sektorze bankowym i skupienie się na ramach udzielania pożyczek opartych na analizie ryzyka jeszcze bardziej pogłębia wykluczenie finansowe MŚP, zwłaszcza w regionach peryferyjnych UE lub w regionach UE o gorszej ofercie usług;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podkreśla istotną i ugruntowaną rolę banków, które posiadają wiedzę na temat uwarunkowań regionalnych i lokalnych, w zapewnianiu finansowania MŚP, ze względu na ich długotrwałe relacje z tymi firmami;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3c.</w:t>
            </w:r>
            <w:r>
              <w:tab/>
            </w:r>
            <w:r>
              <w:rPr>
                <w:b/>
                <w:i/>
              </w:rPr>
              <w:t>uważa, że zasadnicze znaczenie ma promowanie roli i widoczności zarówno kobiet, jak i młodzieży w sektorze MŚP, ponieważ ich udział pozostaje nieproporcjonalnie niski;</w:t>
            </w:r>
            <w:r>
              <w:t xml:space="preserve"> </w:t>
            </w:r>
            <w:r>
              <w:rPr>
                <w:b/>
                <w:i/>
              </w:rPr>
              <w:t>ukierunkowane działania polityczne powinny wspierać przedsiębiorczość i włączenie finansowe tych grup poprzez dostosowane do potrzeb instrumenty finansowe, programy budowania zdolności, specjalne sieci mentorskie oraz zachęty skierowane do kapitału wysokiego ryzyka i pośredników finansowych, aby wspierali przedsiębiorstwa zarządzane przez kobiety i osoby młode;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zwraca uwagę na szczególne wyzwania związane z uzyskaniem finansowania na późnym etapie wzrostu, przed którymi stoją europejskie przedsiębiorstwa scale-up;</w:t>
            </w:r>
            <w:r>
              <w:t xml:space="preserve"> </w:t>
            </w:r>
            <w:r>
              <w:rPr>
                <w:b/>
                <w:i/>
              </w:rPr>
              <w:t>zauważa, że wiele unijnych przedsiębiorstw o wysokim potencjale nadal jest uzależniona od zagranicznego kapitału wysokiego ryzyka i inwestorów zagranicznych oraz że duża część kolejnych rund finansowania jest zdominowana przez inwestorów spoza Europy;</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zwraca uwagę na szczególne wyzwania związane z uzyskaniem finansowania na późnym etapie wzrostu, przed którymi stoją europejskie przedsiębiorstwa scale-up;</w:t>
            </w:r>
            <w:r>
              <w:t xml:space="preserve"> </w:t>
            </w:r>
            <w:r>
              <w:rPr>
                <w:b/>
                <w:i/>
              </w:rPr>
              <w:t>zauważa, że wiele unijnych przedsiębiorstw o wysokim potencjale nadal jest uzależniona od zagranicznego kapitału wysokiego ryzyka i inwestorów zagranicznych oraz że duża część kolejnych rund finansowania jest zdominowana przez inwestorów spoza Europy;</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zwraca uwagę na szczególne wyzwania związane z uzyskaniem finansowania na późnym etapie wzrostu, przed którymi stoją europejskie przedsiębiorstwa scale-up; zauważa, że wiele unijnych przedsiębiorstw o wysokim potencjale nadal </w:t>
            </w:r>
            <w:r>
              <w:rPr>
                <w:b/>
                <w:i/>
              </w:rPr>
              <w:t>jest uzależniona od zagranicznego kapitału</w:t>
            </w:r>
            <w:r>
              <w:t xml:space="preserve"> wysokiego ryzyka </w:t>
            </w:r>
            <w:r>
              <w:rPr>
                <w:b/>
                <w:i/>
              </w:rPr>
              <w:t>i inwestorów zagranicznych oraz że duża część kolejnych rund</w:t>
            </w:r>
            <w:r>
              <w:t xml:space="preserve"> finansowania </w:t>
            </w:r>
            <w:r>
              <w:rPr>
                <w:b/>
                <w:i/>
              </w:rPr>
              <w:t>jest zdominowana przez inwestorów spoza Europy</w:t>
            </w:r>
            <w:r>
              <w:t>;</w:t>
            </w:r>
          </w:p>
        </w:tc>
        <w:tc>
          <w:tcPr>
            <w:tcW w:w="4876" w:type="dxa"/>
            <w:tcBorders>
              <w:top w:val="nil"/>
              <w:left w:val="nil"/>
              <w:bottom w:val="nil"/>
              <w:right w:val="nil"/>
            </w:tcBorders>
          </w:tcPr>
          <w:p>
            <w:pPr>
              <w:pStyle w:val="Normal6a"/>
            </w:pPr>
            <w:r>
              <w:t>4.</w:t>
            </w:r>
            <w:r>
              <w:tab/>
            </w:r>
            <w:r>
              <w:t xml:space="preserve">zwraca uwagę na szczególne wyzwania związane z uzyskaniem finansowania na późnym etapie wzrostu, przed którymi stoją europejskie przedsiębiorstwa scale-up; zauważa, że wiele unijnych przedsiębiorstw o wysokim potencjale nadal </w:t>
            </w:r>
            <w:r>
              <w:rPr>
                <w:b/>
                <w:i/>
              </w:rPr>
              <w:t>polega na kapitale</w:t>
            </w:r>
            <w:r>
              <w:t xml:space="preserve"> wysokiego ryzyka </w:t>
            </w:r>
            <w:r>
              <w:rPr>
                <w:b/>
                <w:i/>
              </w:rPr>
              <w:t>z zagranicy, co podkreśla potrzebę stworzenia bardziej atrakcyjnych warunków dla inwestycji w UE;</w:t>
            </w:r>
            <w:r>
              <w:t xml:space="preserve"> </w:t>
            </w:r>
            <w:r>
              <w:rPr>
                <w:b/>
                <w:i/>
              </w:rPr>
              <w:t>podkreśla, że dostęp do</w:t>
            </w:r>
            <w:r>
              <w:t xml:space="preserve"> finansowania </w:t>
            </w:r>
            <w:r>
              <w:rPr>
                <w:b/>
                <w:i/>
              </w:rPr>
              <w:t>powinien opierać się na kryteriach efektywności gospodarczej, rentowności i skalowalności, niezależnie od źródła kapitału, oraz przypomina, że otwarta i globalna konkurencja w celu przyciągnięcia inwestycji przynosi korzyści przedsiębiorstwom i innowacjom</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zwraca uwagę na szczególne wyzwania związane z uzyskaniem finansowania na późnym etapie wzrostu, przed którymi stoją europejskie przedsiębiorstwa scale-up; zauważa, że wiele unijnych przedsiębiorstw o wysokim potencjale nadal jest uzależniona od zagranicznego kapitału wysokiego ryzyka i inwestorów zagranicznych oraz że duża część kolejnych rund finansowania jest zdominowana przez inwestorów spoza Europy;</w:t>
            </w:r>
          </w:p>
        </w:tc>
        <w:tc>
          <w:tcPr>
            <w:tcW w:w="4876" w:type="dxa"/>
            <w:tcBorders>
              <w:top w:val="nil"/>
              <w:left w:val="nil"/>
              <w:bottom w:val="nil"/>
              <w:right w:val="nil"/>
            </w:tcBorders>
          </w:tcPr>
          <w:p>
            <w:pPr>
              <w:pStyle w:val="Normal6a"/>
            </w:pPr>
            <w:r>
              <w:t>4.</w:t>
            </w:r>
            <w:r>
              <w:tab/>
            </w:r>
            <w:r>
              <w:t xml:space="preserve">zwraca uwagę na szczególne wyzwania związane z uzyskaniem finansowania na późnym etapie wzrostu, przed którymi stoją europejskie przedsiębiorstwa scale-up; zauważa, że wiele unijnych przedsiębiorstw o wysokim potencjale nadal jest uzależniona od zagranicznego kapitału wysokiego ryzyka i inwestorów zagranicznych oraz że duża część kolejnych rund finansowania jest zdominowana przez inwestorów spoza Europy; </w:t>
            </w:r>
            <w:r>
              <w:rPr>
                <w:b/>
                <w:i/>
              </w:rPr>
              <w:t>z zadowoleniem odnotowuje niedawne przyjęcie unijnego aktu w sprawie dopuszczania do obrotu giełdowego, który ułatwi przedsiębiorstwom o różnej wielkości, w tym MŚP, wejście na europejskie giełdy papierów wartościowych;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zwraca uwagę na szczególne wyzwania związane z uzyskaniem finansowania na późnym etapie wzrostu, przed którymi stoją europejskie przedsiębiorstwa scale-up; zauważa, że wiele unijnych przedsiębiorstw o wysokim potencjale nadal jest uzależniona od zagranicznego kapitału wysokiego ryzyka i inwestorów zagranicznych oraz że duża część </w:t>
            </w:r>
            <w:r>
              <w:rPr>
                <w:b/>
                <w:i/>
              </w:rPr>
              <w:t>kolejnych rund finansowania jest zdominowana przez inwestorów spoza Europy</w:t>
            </w:r>
            <w:r>
              <w:t>;</w:t>
            </w:r>
          </w:p>
        </w:tc>
        <w:tc>
          <w:tcPr>
            <w:tcW w:w="4876" w:type="dxa"/>
            <w:tcBorders>
              <w:top w:val="nil"/>
              <w:left w:val="nil"/>
              <w:bottom w:val="nil"/>
              <w:right w:val="nil"/>
            </w:tcBorders>
          </w:tcPr>
          <w:p>
            <w:pPr>
              <w:pStyle w:val="Normal6a"/>
            </w:pPr>
            <w:r>
              <w:t>4.</w:t>
            </w:r>
            <w:r>
              <w:tab/>
            </w:r>
            <w:r>
              <w:t xml:space="preserve">zwraca uwagę na szczególne wyzwania związane z uzyskaniem finansowania na późnym etapie wzrostu, przed którymi stoją europejskie przedsiębiorstwa scale-up; zauważa, że wiele unijnych przedsiębiorstw o wysokim potencjale nadal jest uzależniona od zagranicznego kapitału wysokiego ryzyka i inwestorów zagranicznych oraz że duża część </w:t>
            </w:r>
            <w:r>
              <w:rPr>
                <w:b/>
                <w:i/>
              </w:rPr>
              <w:t>firm europejskich nie znajduje dofinansowania w Europie i jest zmuszona szukać go gdzie indziej</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zwraca uwagę na szczególne wyzwania związane z uzyskaniem finansowania na późnym etapie wzrostu, przed którymi stoją europejskie przedsiębiorstwa scale-up; </w:t>
            </w:r>
            <w:r>
              <w:rPr>
                <w:b/>
                <w:i/>
              </w:rPr>
              <w:t>zauważa, że wiele unijnych przedsiębiorstw o wysokim potencjale nadal jest uzależniona od</w:t>
            </w:r>
            <w:r>
              <w:t xml:space="preserve"> zagranicznego kapitału wysokiego ryzyka </w:t>
            </w:r>
            <w:r>
              <w:rPr>
                <w:b/>
                <w:i/>
              </w:rPr>
              <w:t>i inwestorów zagranicznych oraz że duża część kolejnych rund finansowania jest zdominowana przez inwestorów</w:t>
            </w:r>
            <w:r>
              <w:t xml:space="preserve"> spoza </w:t>
            </w:r>
            <w:r>
              <w:rPr>
                <w:b/>
                <w:i/>
              </w:rPr>
              <w:t>Europy</w:t>
            </w:r>
            <w:r>
              <w:t>;</w:t>
            </w:r>
          </w:p>
        </w:tc>
        <w:tc>
          <w:tcPr>
            <w:tcW w:w="4876" w:type="dxa"/>
            <w:tcBorders>
              <w:top w:val="nil"/>
              <w:left w:val="nil"/>
              <w:bottom w:val="nil"/>
              <w:right w:val="nil"/>
            </w:tcBorders>
          </w:tcPr>
          <w:p>
            <w:pPr>
              <w:pStyle w:val="Normal6a"/>
            </w:pPr>
            <w:r>
              <w:t>4.</w:t>
            </w:r>
            <w:r>
              <w:tab/>
            </w:r>
            <w:r>
              <w:t xml:space="preserve">zwraca uwagę na szczególne wyzwania związane z uzyskaniem finansowania na późnym etapie wzrostu, przed którymi stoją europejskie przedsiębiorstwa scale-up; </w:t>
            </w:r>
            <w:r>
              <w:rPr>
                <w:b/>
                <w:i/>
              </w:rPr>
              <w:t>uznaje znaczenie</w:t>
            </w:r>
            <w:r>
              <w:t xml:space="preserve"> zagranicznego kapitału wysokiego ryzyka </w:t>
            </w:r>
            <w:r>
              <w:rPr>
                <w:b/>
                <w:i/>
              </w:rPr>
              <w:t>jako kluczowego czynnika wzrostu w Europie, gdyż 40 % funduszy na rynkach prywatnych pochodzi</w:t>
            </w:r>
            <w:r>
              <w:t xml:space="preserve"> spoza </w:t>
            </w:r>
            <w:r>
              <w:rPr>
                <w:b/>
                <w:i/>
              </w:rPr>
              <w:t>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4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podkreśla kluczową rolę instrumentów gwarancyjnych w ułatwianiu MŚP dostępu do finansowania;</w:t>
            </w:r>
            <w:r>
              <w:t xml:space="preserve"> </w:t>
            </w:r>
            <w:r>
              <w:rPr>
                <w:b/>
                <w:i/>
              </w:rPr>
              <w:t>podkreśla, że takie instrumenty mogą znacznie ograniczyć ryzyko związane z udzielaniem kredytów mniejszym przedsiębiorstwom dzięki wprowadzeniu elementów powodujących poprawę kredytowania i mechanizmów podziału ryzyka;</w:t>
            </w:r>
            <w:r>
              <w:t xml:space="preserve"> </w:t>
            </w:r>
            <w:r>
              <w:rPr>
                <w:b/>
                <w:i/>
              </w:rPr>
              <w:t>stwierdza, że instrumenty gwarancyjne mogą przyciągać większą liczbę kredytodawców, w tym tych, którzy mogą wahać się ze względu na postrzegane ryzyko, oraz zapewnić finansowanie większej liczby MŚP;</w:t>
            </w:r>
            <w:r>
              <w:t xml:space="preserve"> </w:t>
            </w:r>
            <w:r>
              <w:rPr>
                <w:b/>
                <w:i/>
              </w:rPr>
              <w:t>wzywa Komisję – po sukcesie InvestEU – do promowania szerszego stosowania instrumentów gwarancyjnych we wszystkich państwach członkowskich oraz gwarancji w następnym okresie programowania;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w imieniu grupy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4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zwraca uwagę, że około 80 % finansowania zewnętrznego europejskich przedsiębiorstw pochodzi z banków, a 20 % z rynków kapitałowych, podczas gdy w Stanach Zjednoczonych jedynie 30 % kredytów dla przedsiębiorstw pochodzi z banków, a 70 % z rynków kapitałowych, takich jak obligacje korporacyjne lub z emisji akcji;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4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podkreśla, że uproszczenie nigdy nie powinno być pretekstem do deregulacji;</w:t>
            </w:r>
            <w:r>
              <w:t xml:space="preserve"> </w:t>
            </w:r>
            <w:r>
              <w:rPr>
                <w:b/>
                <w:i/>
              </w:rPr>
              <w:t>wzywa Komisję i państwa członkowskie do zadbania o to, by korzyści oferowane przez Unię Europejską były skierowane do przedsiębiorstw, które faktycznie mają do nich prawo i ich potrzebują;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4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jest głęboko przekonany, że opracowanie solidnych i wiarygodnych ram zrównoważonego finansowania ma kluczowe znaczenie dla ukierunkowania inwestycji zgodnie z długoterminowymi celami UE i przyciągnięcia międzynarodowych inwestorów;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uważa, że ułatwienie MŚP i przedsiębiorstwom scale-up dostępu do finansowania będzie zależało od: (i) znacznego zmniejszenia obciążeń biurokratycznych i regulacyjnych, (ii) zwiększenia zdolności do odblokowania prywatnych inwestycji i oszczędności, (iii) wypełnienia luki w finansowaniu przedsiębiorstw scale-up oraz (iv) poprawy konkurencyjnego ekosystemu rynków kapitałowych w UE;</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uważa, że ułatwienie MŚP i przedsiębiorstwom scale-up dostępu do finansowania będzie zależało od: (i) znacznego zmniejszenia obciążeń biurokratycznych i regulacyjnych, (ii) zwiększenia zdolności do odblokowania prywatnych inwestycji i oszczędności, (iii) wypełnienia luki w finansowaniu przedsiębiorstw scale-up oraz (iv) poprawy konkurencyjnego ekosystemu rynków kapitałowych w UE;</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uważa, że ułatwienie MŚP i przedsiębiorstwom scale-up dostępu do finansowania będzie zależało od: (i) znacznego zmniejszenia obciążeń biurokratycznych i regulacyjnych, (ii) zwiększenia zdolności do odblokowania prywatnych inwestycji i oszczędności, (iii) wypełnienia luki w finansowaniu przedsiębiorstw scale-up oraz (iv) poprawy konkurencyjnego ekosystemu rynków kapitałowych w UE;</w:t>
            </w:r>
          </w:p>
        </w:tc>
        <w:tc>
          <w:tcPr>
            <w:tcW w:w="4876" w:type="dxa"/>
            <w:tcBorders>
              <w:top w:val="nil"/>
              <w:left w:val="nil"/>
              <w:bottom w:val="nil"/>
              <w:right w:val="nil"/>
            </w:tcBorders>
          </w:tcPr>
          <w:p>
            <w:pPr>
              <w:pStyle w:val="Normal6a"/>
            </w:pPr>
            <w:r>
              <w:t>5.</w:t>
            </w:r>
            <w:r>
              <w:tab/>
            </w:r>
            <w:r>
              <w:t>uważa, że ułatwienie MŚP i przedsiębiorstwom scale-up dostępu do finansowania będzie zależało od: (i) znacznego zmniejszenia obciążeń biurokratycznych i regulacyjnych, </w:t>
            </w:r>
            <w:r>
              <w:rPr>
                <w:b/>
                <w:i/>
              </w:rPr>
              <w:t>w tym długotrwałych procedur wydawania pozwoleń, kosztownych wymogów sprawozdawczych oraz złożoności i nieprzewidywalności otoczenia regulacyjnego,</w:t>
            </w:r>
            <w:r>
              <w:t xml:space="preserve"> (ii) zwiększenia zdolności do odblokowania prywatnych inwestycji i oszczędności, </w:t>
            </w:r>
            <w:r>
              <w:rPr>
                <w:b/>
                <w:i/>
              </w:rPr>
              <w:t>dzięki utworzeniu unii oszczędności i inwestycji,</w:t>
            </w:r>
            <w:r>
              <w:t xml:space="preserve"> (iii) wypełnienia luki w finansowaniu przedsiębiorstw scale-up</w:t>
            </w:r>
            <w:r>
              <w:rPr>
                <w:b/>
                <w:i/>
              </w:rPr>
              <w:t>, w szczególności dzięki umożliwieniu inwestorom instytucjonalnym występowania w roli długoterminowych inwestorów kapitałowych</w:t>
            </w:r>
            <w:r>
              <w:t xml:space="preserve"> oraz (iv) poprawy konkurencyjnego ekosystemu rynków kapitałowych w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uważa, że ułatwienie MŚP i przedsiębiorstwom scale-up dostępu do finansowania będzie zależało od: </w:t>
            </w:r>
            <w:r>
              <w:rPr>
                <w:b/>
                <w:i/>
              </w:rPr>
              <w:t>(i) znacznego</w:t>
            </w:r>
            <w:r>
              <w:t xml:space="preserve"> zmniejszenia obciążeń biurokratycznych i regulacyjnych, (ii) zwiększenia zdolności do odblokowania prywatnych inwestycji i oszczędności, (iii) wypełnienia luki w finansowaniu przedsiębiorstw scale-up oraz (iv) poprawy konkurencyjnego ekosystemu rynków kapitałowych w UE;</w:t>
            </w:r>
          </w:p>
        </w:tc>
        <w:tc>
          <w:tcPr>
            <w:tcW w:w="4876" w:type="dxa"/>
            <w:tcBorders>
              <w:top w:val="nil"/>
              <w:left w:val="nil"/>
              <w:bottom w:val="nil"/>
              <w:right w:val="nil"/>
            </w:tcBorders>
          </w:tcPr>
          <w:p>
            <w:pPr>
              <w:pStyle w:val="Normal6a"/>
            </w:pPr>
            <w:r>
              <w:t>5.</w:t>
            </w:r>
            <w:r>
              <w:tab/>
            </w:r>
            <w:r>
              <w:t xml:space="preserve">uważa, że ułatwienie MŚP i przedsiębiorstwom scale-up dostępu do finansowania będzie zależało od: zmniejszenia obciążeń biurokratycznych i regulacyjnych, (ii) zwiększenia zdolności do odblokowania prywatnych </w:t>
            </w:r>
            <w:r>
              <w:rPr>
                <w:b/>
                <w:i/>
              </w:rPr>
              <w:t>i publicznych</w:t>
            </w:r>
            <w:r>
              <w:t xml:space="preserve"> inwestycji i oszczędności, (iii) wypełnienia luki w finansowaniu przedsiębiorstw scale-up oraz (iv) poprawy konkurencyjnego </w:t>
            </w:r>
            <w:r>
              <w:rPr>
                <w:b/>
                <w:i/>
              </w:rPr>
              <w:t>i lepiej zintegrowanego, właściwie uregulowanego i chroniącego inwestorów</w:t>
            </w:r>
            <w:r>
              <w:t xml:space="preserve"> ekosystemu rynków kapitałowych w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uważa, że ułatwienie MŚP i przedsiębiorstwom scale-up dostępu do finansowania będzie zależało od: </w:t>
            </w:r>
            <w:r>
              <w:rPr>
                <w:b/>
                <w:i/>
              </w:rPr>
              <w:t>(i)</w:t>
            </w:r>
            <w:r>
              <w:t xml:space="preserve"> znacznego zmniejszenia obciążeń biurokratycznych i regulacyjnych, (ii) zwiększenia zdolności do odblokowania prywatnych inwestycji i oszczędności, (iii) wypełnienia luki w finansowaniu przedsiębiorstw scale-up oraz (iv) poprawy konkurencyjnego ekosystemu rynków kapitałowych w UE;</w:t>
            </w:r>
          </w:p>
        </w:tc>
        <w:tc>
          <w:tcPr>
            <w:tcW w:w="4876" w:type="dxa"/>
            <w:tcBorders>
              <w:top w:val="nil"/>
              <w:left w:val="nil"/>
              <w:bottom w:val="nil"/>
              <w:right w:val="nil"/>
            </w:tcBorders>
          </w:tcPr>
          <w:p>
            <w:pPr>
              <w:pStyle w:val="Normal6a"/>
            </w:pPr>
            <w:r>
              <w:t>5.</w:t>
            </w:r>
            <w:r>
              <w:tab/>
            </w:r>
            <w:r>
              <w:t xml:space="preserve">uważa, że ułatwienie MŚP i przedsiębiorstwom scale-up dostępu do finansowania będzie zależało od: znacznego </w:t>
            </w:r>
            <w:r>
              <w:rPr>
                <w:b/>
                <w:i/>
              </w:rPr>
              <w:t>i trwałego</w:t>
            </w:r>
            <w:r>
              <w:t xml:space="preserve"> zmniejszenia obciążeń biurokratycznych i regulacyjnych, (ii) zwiększenia zdolności do odblokowania prywatnych inwestycji i oszczędności, (iii) wypełnienia luki w finansowaniu przedsiębiorstw scale-up oraz (iv) poprawy konkurencyjnego ekosystemu rynków kapitałowych w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uważa, że ułatwienie MŚP i przedsiębiorstwom scale-up dostępu do finansowania będzie zależało od: (i) </w:t>
            </w:r>
            <w:r>
              <w:rPr>
                <w:b/>
                <w:i/>
              </w:rPr>
              <w:t>znacznego zmniejszenia obciążeń biurokratycznych i regulacyjnych, (ii)</w:t>
            </w:r>
            <w:r>
              <w:t xml:space="preserve"> zwiększenia zdolności do odblokowania prywatnych inwestycji i oszczędności, (</w:t>
            </w:r>
            <w:r>
              <w:rPr>
                <w:b/>
                <w:i/>
              </w:rPr>
              <w:t>iii</w:t>
            </w:r>
            <w:r>
              <w:t>) wypełnienia luki w finansowaniu przedsiębiorstw scale-up oraz (</w:t>
            </w:r>
            <w:r>
              <w:rPr>
                <w:b/>
                <w:i/>
              </w:rPr>
              <w:t>iv</w:t>
            </w:r>
            <w:r>
              <w:t>) poprawy konkurencyjnego ekosystemu rynków kapitałowych w UE;</w:t>
            </w:r>
          </w:p>
        </w:tc>
        <w:tc>
          <w:tcPr>
            <w:tcW w:w="4876" w:type="dxa"/>
            <w:tcBorders>
              <w:top w:val="nil"/>
              <w:left w:val="nil"/>
              <w:bottom w:val="nil"/>
              <w:right w:val="nil"/>
            </w:tcBorders>
          </w:tcPr>
          <w:p>
            <w:pPr>
              <w:pStyle w:val="Normal6a"/>
            </w:pPr>
            <w:r>
              <w:t>5.</w:t>
            </w:r>
            <w:r>
              <w:tab/>
            </w:r>
            <w:r>
              <w:t>uważa, że ułatwienie MŚP i przedsiębiorstwom scale-up dostępu do finansowania będzie zależało od: (i) zwiększenia zdolności do odblokowania prywatnych inwestycji i oszczędności, (</w:t>
            </w:r>
            <w:r>
              <w:rPr>
                <w:b/>
                <w:i/>
              </w:rPr>
              <w:t>ii</w:t>
            </w:r>
            <w:r>
              <w:t>) wypełnienia luki w finansowaniu przedsiębiorstw scale-up oraz (</w:t>
            </w:r>
            <w:r>
              <w:rPr>
                <w:b/>
                <w:i/>
              </w:rPr>
              <w:t>iii</w:t>
            </w:r>
            <w:r>
              <w:t>) poprawy konkurencyjnego ekosystemu rynków kapitałowych w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Anouk Van Brug, Billy Kelleher, 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uważa, że ułatwienie MŚP i przedsiębiorstwom scale-up dostępu do finansowania będzie zależało od: </w:t>
            </w:r>
            <w:r>
              <w:rPr>
                <w:b/>
                <w:i/>
              </w:rPr>
              <w:t>(i)</w:t>
            </w:r>
            <w:r>
              <w:t xml:space="preserve"> znacznego zmniejszenia obciążeń biurokratycznych i regulacyjnych, (ii) zwiększenia zdolności do odblokowania prywatnych inwestycji i oszczędności, (iii) wypełnienia luki w finansowaniu przedsiębiorstw scale-up oraz (iv) </w:t>
            </w:r>
            <w:r>
              <w:rPr>
                <w:b/>
                <w:i/>
              </w:rPr>
              <w:t>poprawy konkurencyjnego ekosystemu rynków kapitałowych w UE</w:t>
            </w:r>
            <w:r>
              <w:t>;</w:t>
            </w:r>
          </w:p>
        </w:tc>
        <w:tc>
          <w:tcPr>
            <w:tcW w:w="4876" w:type="dxa"/>
            <w:tcBorders>
              <w:top w:val="nil"/>
              <w:left w:val="nil"/>
              <w:bottom w:val="nil"/>
              <w:right w:val="nil"/>
            </w:tcBorders>
          </w:tcPr>
          <w:p>
            <w:pPr>
              <w:pStyle w:val="Normal6a"/>
            </w:pPr>
            <w:r>
              <w:t>5.</w:t>
            </w:r>
            <w:r>
              <w:tab/>
            </w:r>
            <w:r>
              <w:t xml:space="preserve">uważa, że ułatwienie MŚP i przedsiębiorstwom scale-up dostępu do finansowania będzie zależało od: znacznego zmniejszenia obciążeń biurokratycznych i regulacyjnych, (ii) zwiększenia zdolności do odblokowania prywatnych inwestycji i oszczędności, (iii) wypełnienia luki w finansowaniu przedsiębiorstw scale-up oraz (iv) </w:t>
            </w:r>
            <w:r>
              <w:rPr>
                <w:b/>
                <w:i/>
              </w:rPr>
              <w:t>finalizacji unii oszczędności i inwestycji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podkreśla, że MŚP powinny otrzymywać finansowanie tam, gdzie istnieją korzystniejsze warunki dla ich wzrostu i skalowalności, niezależnie od geograficznego pochodzenia kapitału;</w:t>
            </w:r>
            <w:r>
              <w:t xml:space="preserve"> </w:t>
            </w:r>
            <w:r>
              <w:rPr>
                <w:b/>
                <w:i/>
              </w:rPr>
              <w:t>uważa, że każda orientacja polityczna, która priorytetowo traktuje nacjonalizm finansowy lub kapitał „europejski” i zapomina o kryteriach efektywności gospodarczej, rentowności i profilu ryzyka, przynosi efekty odwrotne do zamierzonych;</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podkreśla znaczenie interwencji EBI na rzecz MŚP i przedsiębiorstw typu start-up, zwłaszcza w sektorach strategicznych;</w:t>
            </w:r>
            <w:r>
              <w:t xml:space="preserve"> </w:t>
            </w:r>
            <w:r>
              <w:rPr>
                <w:b/>
                <w:i/>
              </w:rPr>
              <w:t>podkreśla, że takie pożyczki mają zasadnicze znaczenie dla rozwoju naszej gospodarki, zwłaszcza na obszarach znajdujących się w trudnej sytuacji gospodarczej i zmarginalizowanych, i nie powinny być przeznaczane na technologie wojskowe lub technologie podwójnego zastosowania;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wzywa Komisję i grupę EBI do dopilnowania, aby segment MŚP InvestEU dysponował wystarczającymi zasobami i utrzymywał zdolność do wspierania innowacyjnych projektów na wczesnym etapie i o podwyższonym ryzyku, aby uniknąć wykluczenia przedsiębiorstw o dużym potencjale wzrostu;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przyznaje, że kryzys klimatyczny wymaga osiągnięcia neutralności emisyjnej przez miliony MŚP w UE;</w:t>
            </w:r>
            <w:r>
              <w:t xml:space="preserve"> </w:t>
            </w:r>
            <w:r>
              <w:rPr>
                <w:b/>
                <w:i/>
              </w:rPr>
              <w:t>wzywa Komisję i państwa członkowskie do wzmożenia wysiłków na rzecz lepszego dostosowania zrównoważonego finansowania do potrzeb MŚP;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5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wzywa do systematycznej oceny wszystkich nowych przepisów UE pod kątem ich potencjalnego wpływu na MŚP, w szczególności pod względem obciążeń administracyjnych, oraz aby takie oceny stanowiły podstawę opracowywania przepisów w sposób pozwalający uniknąć nieproporcjonalnych skutków;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Śródtytuł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Zmniejszenie obciążeń biurokratycznych i regulacyjnych</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Śródtytuł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Zmniejszenie obciążeń biurokratycznych i regulacyjnych</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Śródtytuł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Zmniejszenie obciążeń biurokratycznych i regulacyjnych</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Śródtytuł 2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podkreśla, że wysiłki na rzecz uproszczenia nie powinny skutkować usunięciem ważnych przepisów i postanowień wspierających MŚP, ponieważ mają one kluczowe znaczenie dla zwiększenia ich konkurencyjności i zmniejszenia nieefektywności;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Śródtytuł 2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MŚP i nowe technologie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przypomina, że wiele obiecujących europejskich przedsiębiorstw typu start-up i scale-up przenosi się do państw trzecich ze względu na uciążliwe, czasochłonne i nieprzewidywalne regulacje w Europie;</w:t>
            </w:r>
            <w:r>
              <w:t xml:space="preserve"> </w:t>
            </w:r>
            <w:r>
              <w:rPr>
                <w:b/>
                <w:i/>
              </w:rPr>
              <w:t>podkreśla, że jeżeli nie odwróci się tej tendencji poprzez znaczne uproszczenie, Europa będzie nadal tracić przedsiębiorstwa na najbardziej strategicznym etapie ich wzrostu;</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przypomina, że wiele obiecujących europejskich przedsiębiorstw typu start-up i scale-up przenosi się do państw trzecich ze względu na uciążliwe, czasochłonne i nieprzewidywalne regulacje w Europie;</w:t>
            </w:r>
            <w:r>
              <w:t xml:space="preserve"> </w:t>
            </w:r>
            <w:r>
              <w:rPr>
                <w:b/>
                <w:i/>
              </w:rPr>
              <w:t>podkreśla, że jeżeli nie odwróci się tej tendencji poprzez znaczne uproszczenie, Europa będzie nadal tracić przedsiębiorstwa na najbardziej strategicznym etapie ich wzrostu;</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przypomina, że wiele obiecujących europejskich przedsiębiorstw typu start-up i scale-up przenosi się do państw trzecich ze względu na uciążliwe, czasochłonne i nieprzewidywalne regulacje w Europie;</w:t>
            </w:r>
            <w:r>
              <w:t xml:space="preserve"> </w:t>
            </w:r>
            <w:r>
              <w:rPr>
                <w:b/>
                <w:i/>
              </w:rPr>
              <w:t>podkreśla, że jeżeli nie odwróci się tej tendencji poprzez znaczne uproszczenie, Europa będzie nadal tracić przedsiębiorstwa na najbardziej strategicznym etapie ich wzrostu;</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przypomina, że wiele obiecujących europejskich przedsiębiorstw typu start-up i scale-up przenosi się do państw trzecich ze względu na uciążliwe</w:t>
            </w:r>
            <w:r>
              <w:rPr>
                <w:b/>
                <w:i/>
              </w:rPr>
              <w:t>, czasochłonne i nieprzewidywalne regulacje w Europie</w:t>
            </w:r>
            <w:r>
              <w:t>; podkreśla, że jeżeli nie odwróci się tej tendencji poprzez znaczne uproszczenie, Europa będzie nadal tracić przedsiębiorstwa na najbardziej strategicznym etapie ich wzrostu;</w:t>
            </w:r>
          </w:p>
        </w:tc>
        <w:tc>
          <w:tcPr>
            <w:tcW w:w="4876" w:type="dxa"/>
            <w:tcBorders>
              <w:top w:val="nil"/>
              <w:left w:val="nil"/>
              <w:bottom w:val="nil"/>
              <w:right w:val="nil"/>
            </w:tcBorders>
          </w:tcPr>
          <w:p>
            <w:pPr>
              <w:pStyle w:val="Normal6a"/>
            </w:pPr>
            <w:r>
              <w:t>6.</w:t>
            </w:r>
            <w:r>
              <w:tab/>
            </w:r>
            <w:r>
              <w:t>przypomina, że wiele obiecujących europejskich przedsiębiorstw typu start-up i scale-up przenosi się do państw trzecich ze względu na uciążliwe</w:t>
            </w:r>
            <w:r>
              <w:rPr>
                <w:b/>
                <w:i/>
              </w:rPr>
              <w:t> przepisy regulacyjne UE oraz brak głębokich i jednolitych rynków kapitałowych</w:t>
            </w:r>
            <w:r>
              <w:t xml:space="preserve">; podkreśla, że jeżeli nie odwróci się tej tendencji poprzez znaczne uproszczenie </w:t>
            </w:r>
            <w:r>
              <w:rPr>
                <w:b/>
                <w:i/>
              </w:rPr>
              <w:t>i utworzenie unii oszczędności i inwestycji</w:t>
            </w:r>
            <w:r>
              <w:t>, Europa będzie nadal tracić przedsiębiorstwa na najbardziej strategicznym etapie ich wzrostu;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przypomina, że wiele obiecujących europejskich przedsiębiorstw typu start-up i scale-up przenosi się do państw trzecich ze względu na uciążliwe, czasochłonne i nieprzewidywalne regulacje w Europie; podkreśla, że jeżeli nie odwróci się tej tendencji poprzez znaczne uproszczenie, Europa będzie nadal tracić przedsiębiorstwa na najbardziej strategicznym etapie ich wzrostu;</w:t>
            </w:r>
          </w:p>
        </w:tc>
        <w:tc>
          <w:tcPr>
            <w:tcW w:w="4876" w:type="dxa"/>
            <w:tcBorders>
              <w:top w:val="nil"/>
              <w:left w:val="nil"/>
              <w:bottom w:val="nil"/>
              <w:right w:val="nil"/>
            </w:tcBorders>
          </w:tcPr>
          <w:p>
            <w:pPr>
              <w:pStyle w:val="Normal6a"/>
            </w:pPr>
            <w:r>
              <w:t>6.</w:t>
            </w:r>
            <w:r>
              <w:tab/>
            </w:r>
            <w:r>
              <w:t xml:space="preserve">przypomina, że wiele obiecujących europejskich przedsiębiorstw typu start-up i scale-up przenosi się do państw trzecich ze względu na uciążliwe, czasochłonne i nieprzewidywalne regulacje w Europie; podkreśla, że jeżeli nie odwróci się tej tendencji poprzez znaczne uproszczenie, Europa będzie nadal tracić przedsiębiorstwa na najbardziej strategicznym etapie ich wzrostu; </w:t>
            </w:r>
            <w:r>
              <w:rPr>
                <w:b/>
                <w:i/>
              </w:rPr>
              <w:t>podkreśla, że utrata innowacyjnych i szybko rozwijających się przedsiębiorstw zmniejsza liczbę miejsc pracy i spowalnia wzrost gospodarczy w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przypomina, że wiele obiecujących europejskich przedsiębiorstw typu start-up i scale-up </w:t>
            </w:r>
            <w:r>
              <w:rPr>
                <w:b/>
                <w:i/>
              </w:rPr>
              <w:t>przenosi się do państw</w:t>
            </w:r>
            <w:r>
              <w:t xml:space="preserve"> trzecich ze względu na uciążliwe, </w:t>
            </w:r>
            <w:r>
              <w:rPr>
                <w:b/>
                <w:i/>
              </w:rPr>
              <w:t>czasochłonne</w:t>
            </w:r>
            <w:r>
              <w:t xml:space="preserve"> i nieprzewidywalne </w:t>
            </w:r>
            <w:r>
              <w:rPr>
                <w:b/>
                <w:i/>
              </w:rPr>
              <w:t>regulacje w Europie</w:t>
            </w:r>
            <w:r>
              <w:t xml:space="preserve">; podkreśla, że </w:t>
            </w:r>
            <w:r>
              <w:rPr>
                <w:b/>
                <w:i/>
              </w:rPr>
              <w:t>jeżeli nie odwróci się tej tendencji poprzez znaczne uproszczenie, Europa będzie nadal tracić</w:t>
            </w:r>
            <w:r>
              <w:t xml:space="preserve"> przedsiębiorstwa na najbardziej </w:t>
            </w:r>
            <w:r>
              <w:rPr>
                <w:b/>
                <w:i/>
              </w:rPr>
              <w:t>strategicznym</w:t>
            </w:r>
            <w:r>
              <w:t xml:space="preserve"> etapie </w:t>
            </w:r>
            <w:r>
              <w:rPr>
                <w:b/>
                <w:i/>
              </w:rPr>
              <w:t>ich wzrostu</w:t>
            </w:r>
            <w:r>
              <w:t>;</w:t>
            </w:r>
          </w:p>
        </w:tc>
        <w:tc>
          <w:tcPr>
            <w:tcW w:w="4876" w:type="dxa"/>
            <w:tcBorders>
              <w:top w:val="nil"/>
              <w:left w:val="nil"/>
              <w:bottom w:val="nil"/>
              <w:right w:val="nil"/>
            </w:tcBorders>
          </w:tcPr>
          <w:p>
            <w:pPr>
              <w:pStyle w:val="Normal6a"/>
            </w:pPr>
            <w:r>
              <w:t>6.</w:t>
            </w:r>
            <w:r>
              <w:tab/>
            </w:r>
            <w:r>
              <w:t>przypomina, że wiele obiecujących europejskich przedsiębiorstw typu start-up i scale-up </w:t>
            </w:r>
            <w:r>
              <w:rPr>
                <w:b/>
                <w:i/>
              </w:rPr>
              <w:t>coraz częściej dąży do przeniesienia się lub rozszerzenia działalności w państwach</w:t>
            </w:r>
            <w:r>
              <w:t xml:space="preserve"> trzecich</w:t>
            </w:r>
            <w:r>
              <w:rPr>
                <w:b/>
                <w:i/>
              </w:rPr>
              <w:t>, głównie</w:t>
            </w:r>
            <w:r>
              <w:t xml:space="preserve"> ze względu na </w:t>
            </w:r>
            <w:r>
              <w:rPr>
                <w:b/>
                <w:i/>
              </w:rPr>
              <w:t>otoczenie regulacyjne postrzegane jako</w:t>
            </w:r>
            <w:r>
              <w:t xml:space="preserve"> uciążliwe, </w:t>
            </w:r>
            <w:r>
              <w:rPr>
                <w:b/>
                <w:i/>
              </w:rPr>
              <w:t>fragmentaryczne</w:t>
            </w:r>
            <w:r>
              <w:t xml:space="preserve"> i nieprzewidywalne; podkreśla, że </w:t>
            </w:r>
            <w:r>
              <w:rPr>
                <w:b/>
                <w:i/>
              </w:rPr>
              <w:t>bez znaczących i terminowych wysiłków na rzecz uproszczenia UE może stracić szybko rozwijające się</w:t>
            </w:r>
            <w:r>
              <w:t xml:space="preserve"> przedsiębiorstwa na najbardziej </w:t>
            </w:r>
            <w:r>
              <w:rPr>
                <w:b/>
                <w:i/>
              </w:rPr>
              <w:t>krytycznym</w:t>
            </w:r>
            <w:r>
              <w:t xml:space="preserve"> etapie </w:t>
            </w:r>
            <w:r>
              <w:rPr>
                <w:b/>
                <w:i/>
              </w:rPr>
              <w:t>rozwoju, a także związane z tym innowacje, miejsca pracy i inwestycje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przypomina, że wiele obiecujących europejskich przedsiębiorstw typu start-up i scale-up przenosi się do państw trzecich ze względu na </w:t>
            </w:r>
            <w:r>
              <w:rPr>
                <w:b/>
                <w:i/>
              </w:rPr>
              <w:t>uciążliwe, czasochłonne i nieprzewidywalne regulacje w Europie;</w:t>
            </w:r>
            <w:r>
              <w:t xml:space="preserve"> </w:t>
            </w:r>
            <w:r>
              <w:rPr>
                <w:b/>
                <w:i/>
              </w:rPr>
              <w:t>podkreśla, że jeżeli nie odwróci się tej tendencji poprzez znaczne uproszczenie, Europa będzie nadal tracić przedsiębiorstwa na najbardziej strategicznym etapie ich wzrostu</w:t>
            </w:r>
            <w:r>
              <w:t>;</w:t>
            </w:r>
          </w:p>
        </w:tc>
        <w:tc>
          <w:tcPr>
            <w:tcW w:w="4876" w:type="dxa"/>
            <w:tcBorders>
              <w:top w:val="nil"/>
              <w:left w:val="nil"/>
              <w:bottom w:val="nil"/>
              <w:right w:val="nil"/>
            </w:tcBorders>
          </w:tcPr>
          <w:p>
            <w:pPr>
              <w:pStyle w:val="Normal6a"/>
            </w:pPr>
            <w:r>
              <w:t>6.</w:t>
            </w:r>
            <w:r>
              <w:tab/>
            </w:r>
            <w:r>
              <w:t xml:space="preserve">przypomina, że wiele obiecujących europejskich przedsiębiorstw typu start-up i scale-up przenosi się do państw trzecich ze względu na </w:t>
            </w:r>
            <w:r>
              <w:rPr>
                <w:b/>
                <w:i/>
              </w:rPr>
              <w:t>niewystarczająco zintegrowane i słabo rozwinięte rynki kapitałowe w Unii Europejskiej;</w:t>
            </w:r>
            <w:r>
              <w:t xml:space="preserve"> </w:t>
            </w:r>
            <w:r>
              <w:rPr>
                <w:b/>
                <w:i/>
              </w:rPr>
              <w:t>wzywa Komisję do dalszych postępów w rozwoju unii rynków kapitałowych UE, która zwiększa dostęp przedsiębiorstw do finansowania i oferuje obywatelom i inwestorom atrakcyjniejsze możliwości inwestycyjne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Anouk Van Brug, Billy Kelleher, 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przypomina, że wiele obiecujących europejskich przedsiębiorstw typu start-up i scale-up przenosi się do państw trzecich ze względu na </w:t>
            </w:r>
            <w:r>
              <w:rPr>
                <w:b/>
                <w:i/>
              </w:rPr>
              <w:t>uciążliwe, czasochłonne i nieprzewidywalne regulacje w Europie</w:t>
            </w:r>
            <w:r>
              <w:t xml:space="preserve">; podkreśla, że jeżeli </w:t>
            </w:r>
            <w:r>
              <w:rPr>
                <w:b/>
                <w:i/>
              </w:rPr>
              <w:t>nie odwróci się tej tendencji</w:t>
            </w:r>
            <w:r>
              <w:t xml:space="preserve"> poprzez znaczne uproszczenie, Europa będzie nadal tracić przedsiębiorstwa na najbardziej strategicznym etapie ich wzrostu;</w:t>
            </w:r>
          </w:p>
        </w:tc>
        <w:tc>
          <w:tcPr>
            <w:tcW w:w="4876" w:type="dxa"/>
            <w:tcBorders>
              <w:top w:val="nil"/>
              <w:left w:val="nil"/>
              <w:bottom w:val="nil"/>
              <w:right w:val="nil"/>
            </w:tcBorders>
          </w:tcPr>
          <w:p>
            <w:pPr>
              <w:pStyle w:val="Normal6a"/>
            </w:pPr>
            <w:r>
              <w:t>6.</w:t>
            </w:r>
            <w:r>
              <w:tab/>
            </w:r>
            <w:r>
              <w:t xml:space="preserve">przypomina, że wiele obiecujących europejskich przedsiębiorstw typu start-up i scale-up przenosi się do państw trzecich ze względu na </w:t>
            </w:r>
            <w:r>
              <w:rPr>
                <w:b/>
                <w:i/>
              </w:rPr>
              <w:t>poważne obciążenia administracyjne</w:t>
            </w:r>
            <w:r>
              <w:t xml:space="preserve">; podkreśla, że jeżeli </w:t>
            </w:r>
            <w:r>
              <w:rPr>
                <w:b/>
                <w:i/>
              </w:rPr>
              <w:t>problem nie zostanie rozwiązany</w:t>
            </w:r>
            <w:r>
              <w:t xml:space="preserve"> poprzez znaczne uproszczenie, Europa będzie nadal tracić przedsiębiorstwa na najbardziej strategicznym etapie ich wzrostu;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przypomina, że wiele obiecujących europejskich przedsiębiorstw typu start-up i scale-up przenosi się do państw trzecich ze względu na </w:t>
            </w:r>
            <w:r>
              <w:rPr>
                <w:b/>
                <w:i/>
              </w:rPr>
              <w:t>uciążliwe, czasochłonne i nieprzewidywalne regulacje w Europie;</w:t>
            </w:r>
            <w:r>
              <w:t xml:space="preserve"> </w:t>
            </w:r>
            <w:r>
              <w:rPr>
                <w:b/>
                <w:i/>
              </w:rPr>
              <w:t>podkreśla, że jeżeli nie odwróci się tej tendencji poprzez znaczne uproszczenie, Europa będzie nadal tracić przedsiębiorstwa na najbardziej strategicznym etapie ich wzrostu</w:t>
            </w:r>
            <w:r>
              <w:t>;</w:t>
            </w:r>
          </w:p>
        </w:tc>
        <w:tc>
          <w:tcPr>
            <w:tcW w:w="4876" w:type="dxa"/>
            <w:tcBorders>
              <w:top w:val="nil"/>
              <w:left w:val="nil"/>
              <w:bottom w:val="nil"/>
              <w:right w:val="nil"/>
            </w:tcBorders>
          </w:tcPr>
          <w:p>
            <w:pPr>
              <w:pStyle w:val="Normal6a"/>
            </w:pPr>
            <w:r>
              <w:t>6.</w:t>
            </w:r>
            <w:r>
              <w:tab/>
            </w:r>
            <w:r>
              <w:t xml:space="preserve">przypomina, że wiele obiecujących europejskich przedsiębiorstw typu start-up i scale-up przenosi się do państw trzecich ze względu na </w:t>
            </w:r>
            <w:r>
              <w:rPr>
                <w:b/>
                <w:i/>
              </w:rPr>
              <w:t>duże obciążenie regulacyjne, które w niektórych przypadkach prowadzi do niepewności i zniechęca do zakładania przedsiębiorstw;</w:t>
            </w:r>
            <w:r>
              <w:t xml:space="preserve"> </w:t>
            </w:r>
            <w:r>
              <w:rPr>
                <w:b/>
                <w:i/>
              </w:rPr>
              <w:t>przypomina, że w poprzedniej kadencji parlamentarnej mieliśmy do czynienia z dużym programem regulacyjnym, który ma zostać wdrożony w bieżącej kadencji</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wzywa Komisję Europejską i państwa członkowskie, aby wzmożyły wysiłki na rzecz usunięcia barier i przeszkód, które prowadzą do fragmentacji jednolitego rynku oraz zmniejszenia zdolności MŚP i przedsiębiorstw scale-up do konsolidacji i rozwoju na ich terytoriach;</w:t>
            </w:r>
            <w:r>
              <w:t xml:space="preserve"> </w:t>
            </w:r>
            <w:r>
              <w:rPr>
                <w:b/>
                <w:i/>
              </w:rPr>
              <w:t>podkreśla w szczególności pilną potrzebę podjęcia działań w związku z nieproporcjonalnymi obciążeniami administracyjnymi, niejednolitymi systemami podatkowymi w poszczególnych państwach członkowskich, niekorzystnymi opłatami środowiskowymi, zbyt długim czasem potrzebnym na uzyskanie zezwoleń i licencji oraz trudnościami w dostępie do finansowania;</w:t>
            </w:r>
            <w:r>
              <w:t xml:space="preserve"> </w:t>
            </w:r>
            <w:r>
              <w:rPr>
                <w:b/>
                <w:i/>
              </w:rPr>
              <w:t>wskazuje, że problemy te osłabiają konkurencyjność i zdolność wzrostu europejskich MŚP, zwłaszcza na najbardziej newralgicznych etapach ich rozwoju;</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Tsvetelina Penkova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nakłania Komisję do opracowania i przyjęcia „testu start-upu”, na wzór testu MŚP, który przyjęła w 2021 r., w celu lepszej oceny wpływu przepisów koncentrujących się na innowacjach, finansowaniu i konkurencyjności; przyjmuje do wiadomości propozycję przewodniczącej Komisji dotyczącą kontroli nowych przepisów UE pod kątem konkurencyjności, którą przeprowadzałoby niezależne gremium;</w:t>
            </w:r>
            <w:r>
              <w:t xml:space="preserve"> </w:t>
            </w:r>
            <w:r>
              <w:rPr>
                <w:b/>
                <w:i/>
              </w:rPr>
              <w:t>uważa, że taka kontrola konkurencyjności powinna mieć specjalne ramy w odniesieniu do przedsiębiorstw typu start-up, scale-up i MŚP, aby zagwarantować, że regulacje zachęcają do zakładania nowych przedsiębiorstw w Europie;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stwierdza, że rozwój przedsiębiorstw jest ograniczony nie tylko brakiem finansowania na późnych etapach, ale również nagromadzeniem barier regulacyjnych, które hamują wzrost;</w:t>
            </w:r>
            <w:r>
              <w:t xml:space="preserve"> </w:t>
            </w:r>
            <w:r>
              <w:rPr>
                <w:b/>
                <w:i/>
              </w:rPr>
              <w:t>podkreśla w szczególności obciążenie administracyjne związane z obowiązkami sprawozdawczymi, a także progi podatkowe i regulacyjne, które zniechęcają przedsiębiorstwa do wzrostu, ponieważ narzucają bardziej uciążliwe warunki po przekroczeniu pewnych poziomów lub wolumenu obrotów;</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oczekuje, że Komisja z najwyższą starannością zadba o interesy przedsiębiorstw typu start-up i scale-up w zakresie konkurencyjnego dostępu do rynku przy ocenie zwolnień z zasad pomocy państwa, zasad kontroli połączeń i rozluźnienia przepisów dotyczących polityki konkurencji;</w:t>
            </w:r>
            <w:r>
              <w:t xml:space="preserve"> </w:t>
            </w:r>
            <w:r>
              <w:rPr>
                <w:b/>
                <w:i/>
              </w:rPr>
              <w:t>wzywa do opracowania programu na rzecz konkurencyjności skoncentrowanego na innowatorach, ze szczególnym uwzględnieniem redukcji kosztów wejścia na rynek, wspierania mobilności transgranicznej założycieli i talentów oraz wspierania transformacji cyfrowej i ekologicznej przedsiębiorstw;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podkreśla znaczenie dostępu MŚP do nowych technologii sztucznej inteligencji;</w:t>
            </w:r>
            <w:r>
              <w:t xml:space="preserve"> </w:t>
            </w:r>
            <w:r>
              <w:rPr>
                <w:b/>
                <w:i/>
              </w:rPr>
              <w:t>wzywa do rozwoju publicznej infrastruktury cyfrowej i platform cyfrowych, które ułatwią również dostęp do know-how i publicznej, demokratycznej kontroli w sektorze cyfrowym;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wzywa Komisję, aby zajęła się problemem fragmentacji gospodarczej, finansowej, regulacyjnej i prawnej w UE i usunęła bariery utrudniające rozwój MŚP i przedsiębiorstw typu scale-up;</w:t>
            </w:r>
            <w:r>
              <w:t xml:space="preserve"> </w:t>
            </w:r>
            <w:r>
              <w:rPr>
                <w:b/>
                <w:i/>
              </w:rPr>
              <w:t>podkreśla, że prawdziwy jednolity rynek pomoże zniechęcić przedsiębiorstwa typu scale-up do przenoszenia się do państw trzecich;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w imieniu grupy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przypomina, że Europejski Zielony Ład wprowadził nadmierne obciążenia sprawozdawcze dla MŚP oraz że ich łagodzenie powinno iść w parze z przeglądem całego zielonego programu działań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z zadowoleniem przyjmuje cel Komisji, jakim jest zmniejszenie obciążeń związanych z wymogami w zakresie sprawozdawczości o 25 % bez podważania celów politycznych;</w:t>
            </w:r>
            <w:r>
              <w:t xml:space="preserve"> </w:t>
            </w:r>
            <w:r>
              <w:rPr>
                <w:b/>
                <w:i/>
              </w:rPr>
              <w:t>uważa, że Komisja powinna uwzględnić szczególne i strukturalne ograniczenia przedsiębiorstw typu start-up i scale-up tak, aby zmalała presja kosztowa i wzrosła konkurencyjność;</w:t>
            </w:r>
            <w:r>
              <w:t xml:space="preserve"> </w:t>
            </w:r>
            <w:r>
              <w:rPr>
                <w:b/>
                <w:i/>
              </w:rPr>
              <w:t>apeluje o zrównoważone podejście do prawodawstwa UE w zakresie wspierania wzrostu, przedsiębiorczości i dwojakiej transformacji;</w:t>
            </w:r>
            <w:r>
              <w:t xml:space="preserve"> </w:t>
            </w:r>
            <w:r>
              <w:rPr>
                <w:b/>
                <w:i/>
              </w:rPr>
              <w:t>apeluje o konsekwentne stosowanie zasady „najpierw myśl na małą skalę” podczas konsultaccji wewnętrznych oraz w odpowiednich wnioskach ustawodawczych i inicjatywach politycznych;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6c.</w:t>
            </w:r>
            <w:r>
              <w:tab/>
            </w:r>
            <w:r>
              <w:rPr>
                <w:b/>
                <w:i/>
              </w:rPr>
              <w:t>wzywa do wprowadzenia przyjaznych dla przedsiębiorstw typu start-up regulacji i ram ułatwiających rozwój, skalowalność i działalność transgraniczną przedsiębiorstw typu start-up i scale-up, przy jednoczesnym zapewnieniu ochrony konsumentów, prywatności danych i uczciwej konkurencji;</w:t>
            </w:r>
            <w:r>
              <w:t xml:space="preserve"> </w:t>
            </w:r>
            <w:r>
              <w:rPr>
                <w:b/>
                <w:i/>
              </w:rPr>
              <w:t>podkreśla, że trzeba ograniczyć koszty przestrzegania przepisów w przypadku przedsiębiorstw typu start-up i scale-up;</w:t>
            </w:r>
            <w:r>
              <w:t xml:space="preserve"> </w:t>
            </w:r>
            <w:r>
              <w:rPr>
                <w:b/>
                <w:i/>
              </w:rPr>
              <w:t>wzywa Komisję, aby oferowała MŚP oraz przedsiębiorstwom typu start-up i scale-up pomoc w radzeniu sobie ze złożonością regulacyjną;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apeluje o dalsze starania o uproszczenie, wykraczające poza pakiet zbiorczy Komisji opublikowany 26 lutego 2025 r.;</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apeluje o dalsze starania o uproszczenie, wykraczające poza pakiet zbiorczy Komisji opublikowany 26 lutego 2025 r.;</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apeluje o dalsze starania o uproszczenie, wykraczające poza pakiet zbiorczy Komisji opublikowany 26 lutego 2025 r.;</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apeluje o dalsze starania o uproszczenie, wykraczające poza pakiet zbiorczy Komisji opublikowany 26 lutego 2025 r.;</w:t>
            </w:r>
          </w:p>
        </w:tc>
        <w:tc>
          <w:tcPr>
            <w:tcW w:w="4876" w:type="dxa"/>
            <w:tcBorders>
              <w:top w:val="nil"/>
              <w:left w:val="nil"/>
              <w:bottom w:val="nil"/>
              <w:right w:val="nil"/>
            </w:tcBorders>
          </w:tcPr>
          <w:p>
            <w:pPr>
              <w:pStyle w:val="Normal6a"/>
            </w:pPr>
            <w:r>
              <w:t>7.</w:t>
            </w:r>
            <w:r>
              <w:tab/>
            </w:r>
            <w:r>
              <w:t xml:space="preserve">apeluje o dalsze starania o uproszczenie, wykraczające poza pakiet zbiorczy Komisji opublikowany 26 lutego 2025 r.; </w:t>
            </w:r>
            <w:r>
              <w:rPr>
                <w:b/>
                <w:i/>
              </w:rPr>
              <w:t>w szczególności wzywa się Komisję do przedstawienia nowego pakietu legislacyjnego na rzecz zrównoważonego rozwoju, tak aby stał się on systemem fakultatywnym, oferującym przedsiębiorstwom, które zdecydują się go stosować, oznakowanie dotyczące zrównoważonego rozwoju, potwierdzające zgodność z normami Unii Europejskiej w zakresie ochrony środowiska i praw człowieka;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apeluje o dalsze starania o uproszczenie, wykraczające poza pakiet zbiorczy Komisji opublikowany 26 lutego 2025 r.;</w:t>
            </w:r>
          </w:p>
        </w:tc>
        <w:tc>
          <w:tcPr>
            <w:tcW w:w="4876" w:type="dxa"/>
            <w:tcBorders>
              <w:top w:val="nil"/>
              <w:left w:val="nil"/>
              <w:bottom w:val="nil"/>
              <w:right w:val="nil"/>
            </w:tcBorders>
          </w:tcPr>
          <w:p>
            <w:pPr>
              <w:pStyle w:val="Normal6a"/>
            </w:pPr>
            <w:r>
              <w:t>7.</w:t>
            </w:r>
            <w:r>
              <w:tab/>
            </w:r>
            <w:r>
              <w:t xml:space="preserve">apeluje o dalsze starania o uproszczenie, wykraczające poza pakiet zbiorczy Komisji opublikowany 26 lutego 2025 r.; </w:t>
            </w:r>
            <w:r>
              <w:rPr>
                <w:b/>
                <w:i/>
              </w:rPr>
              <w:t>wzywa do systematycznego przeglądu wspólnotowego dorobku prawnego pod kątem środków, które utrudniają MŚP dostęp do finansowania, oraz do usuwania zidentyfikowanych przeszkód;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Lídia Pereira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apeluje o dalsze starania o uproszczenie, wykraczające poza </w:t>
            </w:r>
            <w:r>
              <w:rPr>
                <w:b/>
                <w:i/>
              </w:rPr>
              <w:t>pakiet zbiorczy</w:t>
            </w:r>
            <w:r>
              <w:t xml:space="preserve"> Komisji </w:t>
            </w:r>
            <w:r>
              <w:rPr>
                <w:b/>
                <w:i/>
              </w:rPr>
              <w:t>opublikowany 26 lutego 2025 r.</w:t>
            </w:r>
            <w:r>
              <w:t>;</w:t>
            </w:r>
          </w:p>
        </w:tc>
        <w:tc>
          <w:tcPr>
            <w:tcW w:w="4876" w:type="dxa"/>
            <w:tcBorders>
              <w:top w:val="nil"/>
              <w:left w:val="nil"/>
              <w:bottom w:val="nil"/>
              <w:right w:val="nil"/>
            </w:tcBorders>
          </w:tcPr>
          <w:p>
            <w:pPr>
              <w:pStyle w:val="Normal6a"/>
            </w:pPr>
            <w:r>
              <w:t>7.</w:t>
            </w:r>
            <w:r>
              <w:tab/>
            </w:r>
            <w:r>
              <w:t xml:space="preserve">apeluje o dalsze starania o uproszczenie, wykraczające poza </w:t>
            </w:r>
            <w:r>
              <w:rPr>
                <w:b/>
                <w:i/>
              </w:rPr>
              <w:t>niedawno opublikowane pakiety zbiorcze Komisji;</w:t>
            </w:r>
            <w:r>
              <w:t xml:space="preserve"> </w:t>
            </w:r>
            <w:r>
              <w:rPr>
                <w:b/>
                <w:i/>
              </w:rPr>
              <w:t>przypomina o zobowiązaniu</w:t>
            </w:r>
            <w:r>
              <w:t xml:space="preserve"> Komisji </w:t>
            </w:r>
            <w:r>
              <w:rPr>
                <w:b/>
                <w:i/>
              </w:rPr>
              <w:t>do ograniczenia biurokracji w ramach podejścia horyzontalnego we wszystkich obszarach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Jonás Fernández, Tsvetelina Penkova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apeluje o dalsze starania o uproszczenie, wykraczające poza pakiet zbiorczy Komisji opublikowany 26 lutego 2025 r.;</w:t>
            </w:r>
          </w:p>
        </w:tc>
        <w:tc>
          <w:tcPr>
            <w:tcW w:w="4876" w:type="dxa"/>
            <w:tcBorders>
              <w:top w:val="nil"/>
              <w:left w:val="nil"/>
              <w:bottom w:val="nil"/>
              <w:right w:val="nil"/>
            </w:tcBorders>
          </w:tcPr>
          <w:p>
            <w:pPr>
              <w:pStyle w:val="Normal6a"/>
            </w:pPr>
            <w:r>
              <w:t>7.</w:t>
            </w:r>
            <w:r>
              <w:tab/>
            </w:r>
            <w:r>
              <w:t xml:space="preserve">apeluje o dalsze starania o uproszczenie, wykraczające poza pakiet zbiorczy Komisji opublikowany 26 lutego 2025 r.; </w:t>
            </w:r>
            <w:r>
              <w:rPr>
                <w:b/>
                <w:i/>
              </w:rPr>
              <w:t>podkreśla, że uproszczenie nie musi oznaczać deregulacji;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Anouk Van Brug, Billy Kelleher, 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apeluje o dalsze starania o uproszczenie, wykraczające poza pakiet zbiorczy Komisji opublikowany 26 lutego 2025 r.</w:t>
            </w:r>
            <w:r>
              <w:t>;</w:t>
            </w:r>
          </w:p>
        </w:tc>
        <w:tc>
          <w:tcPr>
            <w:tcW w:w="4876" w:type="dxa"/>
            <w:tcBorders>
              <w:top w:val="nil"/>
              <w:left w:val="nil"/>
              <w:bottom w:val="nil"/>
              <w:right w:val="nil"/>
            </w:tcBorders>
          </w:tcPr>
          <w:p>
            <w:pPr>
              <w:pStyle w:val="Normal6a"/>
            </w:pPr>
            <w:r>
              <w:t>7.</w:t>
            </w:r>
            <w:r>
              <w:tab/>
            </w:r>
            <w:r>
              <w:rPr>
                <w:b/>
                <w:i/>
              </w:rPr>
              <w:t>wyraża poparcie dla bieżących wysiłków na rzecz uproszczenia;</w:t>
            </w:r>
            <w:r>
              <w:t xml:space="preserve"> </w:t>
            </w:r>
            <w:r>
              <w:rPr>
                <w:b/>
                <w:i/>
              </w:rPr>
              <w:t>zachęca Komisję do przedstawienia kolejnych wniosków wykraczających poza opublikowane przez Komisję pakiety zbiorcze dotyczące uproszczenia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apeluje o dalsze</w:t>
            </w:r>
            <w:r>
              <w:t xml:space="preserve"> starania o uproszczenie</w:t>
            </w:r>
            <w:r>
              <w:rPr>
                <w:b/>
                <w:i/>
              </w:rPr>
              <w:t>, wykraczające poza pakiet zbiorczy</w:t>
            </w:r>
            <w:r>
              <w:t xml:space="preserve"> Komisji </w:t>
            </w:r>
            <w:r>
              <w:rPr>
                <w:b/>
                <w:i/>
              </w:rPr>
              <w:t>opublikowany</w:t>
            </w:r>
            <w:r>
              <w:t xml:space="preserve"> 26 lutego 2025 r.;</w:t>
            </w:r>
          </w:p>
        </w:tc>
        <w:tc>
          <w:tcPr>
            <w:tcW w:w="4876" w:type="dxa"/>
            <w:tcBorders>
              <w:top w:val="nil"/>
              <w:left w:val="nil"/>
              <w:bottom w:val="nil"/>
              <w:right w:val="nil"/>
            </w:tcBorders>
          </w:tcPr>
          <w:p>
            <w:pPr>
              <w:pStyle w:val="Normal6a"/>
            </w:pPr>
            <w:r>
              <w:t>7.</w:t>
            </w:r>
            <w:r>
              <w:tab/>
            </w:r>
            <w:r>
              <w:rPr>
                <w:b/>
                <w:i/>
              </w:rPr>
              <w:t>z zadowoleniem przyjmuje</w:t>
            </w:r>
            <w:r>
              <w:t xml:space="preserve"> starania o uproszczenie </w:t>
            </w:r>
            <w:r>
              <w:rPr>
                <w:b/>
                <w:i/>
              </w:rPr>
              <w:t>zawarte w pakiecie zbiorczym</w:t>
            </w:r>
            <w:r>
              <w:t xml:space="preserve"> Komisji </w:t>
            </w:r>
            <w:r>
              <w:rPr>
                <w:b/>
                <w:i/>
              </w:rPr>
              <w:t>opublikowanym</w:t>
            </w:r>
            <w:r>
              <w:t xml:space="preserve"> 26 lutego 2025 r.; </w:t>
            </w:r>
            <w:r>
              <w:rPr>
                <w:b/>
                <w:i/>
              </w:rPr>
              <w:t>przypomina, że Komisja zapowiedziała przyjęcie kolejnych pakietów zbiorczych;</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7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oczekuje, że Komisja będzie zachęcać rozwijające się start-upy i przedsiębiorstwa do zwiększenia skali działalności i wejścia na giełdę w UE;</w:t>
            </w:r>
            <w:r>
              <w:t xml:space="preserve"> </w:t>
            </w:r>
            <w:r>
              <w:rPr>
                <w:b/>
                <w:i/>
              </w:rPr>
              <w:t>podkreśla ryzyko utraty przewagi technologicznej i innowacji wypracowanych przez unijne przedsiębiorstwa na rzecz rynków spoza UE, i w związku z tym z zadowoleniem stwierdza, że w strategii UE na rzecz przedsiębiorstw typu start-up i scale-up skoncentrowano się na finansowaniu, aby zapobiec ich przenoszeniu do państw trzecich;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7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po przyjęciu przez Komisję drugiego pakietu zbiorczego podkreśla potrzebę usprawnienia procesów wdrażania Programu InvestEU, aby zapewnić MŚP – również tym najmniejszym – łatwiejszy dostęp do wsparcia finansowego potrzebnego im do rozwoju i innowacji;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7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popiera rozwój państwowych ekosystemów innowacji i klastrów regionalnych, które mogą zmniejszyć bariery wejścia dla MŚP opóźnionych pod względem technologicznym;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wzywa Komisję do oceny istniejących obowiązków regulacyjnych obciążających przedsiębiorstwa, takich jak ramy zrównoważonego finansowania, oraz do opracowania progów proporcjonalności w celu zwolnienia MŚP z nadmiernych obowiązków;</w:t>
            </w:r>
            <w:r>
              <w:t xml:space="preserve"> </w:t>
            </w:r>
            <w:r>
              <w:rPr>
                <w:b/>
                <w:i/>
              </w:rPr>
              <w:t>z zadowoleniem przyjmuje propozycję nowej oceny wpływu na MŚP i na konkurencyjność;</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wzywa Komisję do oceny istniejących obowiązków regulacyjnych obciążających przedsiębiorstwa, takich jak ramy zrównoważonego finansowania, oraz do opracowania progów proporcjonalności w celu zwolnienia MŚP z nadmiernych obowiązków;</w:t>
            </w:r>
            <w:r>
              <w:t xml:space="preserve"> </w:t>
            </w:r>
            <w:r>
              <w:rPr>
                <w:b/>
                <w:i/>
              </w:rPr>
              <w:t>z zadowoleniem przyjmuje propozycję nowej oceny wpływu na MŚP i na konkurencyjność;</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wzywa Komisję do oceny istniejących obowiązków regulacyjnych obciążających przedsiębiorstwa, takich jak ramy zrównoważonego finansowania, oraz do opracowania progów proporcjonalności w celu zwolnienia MŚP z nadmiernych obowiązków;</w:t>
            </w:r>
            <w:r>
              <w:t xml:space="preserve"> </w:t>
            </w:r>
            <w:r>
              <w:rPr>
                <w:b/>
                <w:i/>
              </w:rPr>
              <w:t>z zadowoleniem przyjmuje propozycję nowej oceny wpływu na MŚP i na konkurencyjność;</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wzywa Komisję do oceny istniejących obowiązków regulacyjnych obciążających przedsiębiorstwa, takich jak ramy zrównoważonego finansowania, oraz do opracowania progów proporcjonalności w celu </w:t>
            </w:r>
            <w:r>
              <w:rPr>
                <w:b/>
                <w:i/>
              </w:rPr>
              <w:t>zwolnienia MŚP z</w:t>
            </w:r>
            <w:r>
              <w:t xml:space="preserve"> nadmiernych obowiązków; z zadowoleniem przyjmuje propozycję nowej oceny wpływu na MŚP i na konkurencyjność;</w:t>
            </w:r>
          </w:p>
        </w:tc>
        <w:tc>
          <w:tcPr>
            <w:tcW w:w="4876" w:type="dxa"/>
            <w:tcBorders>
              <w:top w:val="nil"/>
              <w:left w:val="nil"/>
              <w:bottom w:val="nil"/>
              <w:right w:val="nil"/>
            </w:tcBorders>
          </w:tcPr>
          <w:p>
            <w:pPr>
              <w:pStyle w:val="Normal6a"/>
            </w:pPr>
            <w:r>
              <w:t>8.</w:t>
            </w:r>
            <w:r>
              <w:tab/>
            </w:r>
            <w:r>
              <w:t xml:space="preserve">wzywa Komisję do oceny istniejących obowiązków regulacyjnych obciążających przedsiębiorstwa, takich jak ramy zrównoważonego finansowania, oraz do opracowania progów proporcjonalności w celu </w:t>
            </w:r>
            <w:r>
              <w:rPr>
                <w:b/>
                <w:i/>
              </w:rPr>
              <w:t>złagodzenia</w:t>
            </w:r>
            <w:r>
              <w:t xml:space="preserve"> nadmiernych obowiązków </w:t>
            </w:r>
            <w:r>
              <w:rPr>
                <w:b/>
                <w:i/>
              </w:rPr>
              <w:t>spoczywających na MŚP i przedsiębiorstwach typu start-up</w:t>
            </w:r>
            <w:r>
              <w:t xml:space="preserve">; z zadowoleniem przyjmuje propozycję nowej oceny wpływu na MŚP i na konkurencyjność; </w:t>
            </w:r>
            <w:r>
              <w:rPr>
                <w:b/>
                <w:i/>
              </w:rPr>
              <w:t>utrzymuje, że dostępność informacji na temat zrównoważonego rozwoju ma kluczowe znaczenie w procesie przyznawania MŚP kredytów;</w:t>
            </w:r>
            <w:r>
              <w:t xml:space="preserve"> </w:t>
            </w:r>
            <w:r>
              <w:rPr>
                <w:b/>
                <w:i/>
              </w:rPr>
              <w:t>przypomina w związku z tym, że przy podejmowaniu decyzji kredytowych instytucje kredytowe opierają się m.in. na informacjach wymaganych na mocy art. 449a rozporządzenia w sprawie wymogów kredytowych (CRR) na potrzeby oceny ryzyka dla stabilności przedsiębiorstwa;</w:t>
            </w:r>
            <w:r>
              <w:t xml:space="preserve"> </w:t>
            </w:r>
            <w:r>
              <w:rPr>
                <w:b/>
                <w:i/>
              </w:rPr>
              <w:t>w związku z tym uważa, że kluczowe znaczenie ma to, by obowiązki sprawozdawcze MŚP odpowiadały informacjom wymaganym przez inwestorów przy podejmowaniu decyzji o udzieleniu kredytu;</w:t>
            </w:r>
            <w:r>
              <w:t xml:space="preserve"> </w:t>
            </w:r>
            <w:r>
              <w:rPr>
                <w:b/>
                <w:i/>
              </w:rPr>
              <w:t>głęboko ubolewa, że wniosek Komisji Europejskiej zwany zbiorczym aktem prawnym w sprawie handlu I w dużej mierze pomija MŚP, a zamiast tego zmusza inwestorów do polegania na dobrowolnych ujawnieniach stanowiących rażącą niespójność z innymi wymogami informacyjnymi dla uczestników rynku finansowego, podważając ramy zrównoważonego finansowania, a także dostęp MŚP do finansowania;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wzywa Komisję do oceny istniejących obowiązków regulacyjnych obciążających przedsiębiorstwa, takich jak ramy zrównoważonego finansowania, oraz do opracowania progów proporcjonalności w celu zwolnienia MŚP z nadmiernych obowiązków; z zadowoleniem przyjmuje propozycję nowej oceny wpływu na MŚP i na konkurencyjność;</w:t>
            </w:r>
          </w:p>
        </w:tc>
        <w:tc>
          <w:tcPr>
            <w:tcW w:w="4876" w:type="dxa"/>
            <w:tcBorders>
              <w:top w:val="nil"/>
              <w:left w:val="nil"/>
              <w:bottom w:val="nil"/>
              <w:right w:val="nil"/>
            </w:tcBorders>
          </w:tcPr>
          <w:p>
            <w:pPr>
              <w:pStyle w:val="Normal6a"/>
            </w:pPr>
            <w:r>
              <w:t>8.</w:t>
            </w:r>
            <w:r>
              <w:tab/>
            </w:r>
            <w:r>
              <w:t xml:space="preserve">wzywa Komisję do oceny istniejących obowiązków regulacyjnych obciążających przedsiębiorstwa, takich jak ramy zrównoważonego finansowania, oraz do opracowania progów proporcjonalności w celu zwolnienia MŚP z nadmiernych obowiązków; z zadowoleniem przyjmuje propozycję nowej oceny wpływu na MŚP i na konkurencyjność; </w:t>
            </w:r>
            <w:r>
              <w:rPr>
                <w:b/>
                <w:i/>
              </w:rPr>
              <w:t>apeluje ponadto o terminowe postępy we wprowadzaniu uproszczonych i dobrowolnych standardów sprawozdawczości w zakresie zrównoważonego rozwoju dostosowanych do MŚP oraz o przegląd wymogów dotyczących ujawniania informacji bankowych w ramach filaru 3, które mogą pośrednio nakładać na MŚP nieproporcjonalne wymogi w zakresie danych;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wzywa Komisję do oceny istniejących obowiązków regulacyjnych obciążających przedsiębiorstwa, takich jak ramy zrównoważonego finansowania, oraz do opracowania progów proporcjonalności w celu zwolnienia MŚP z nadmiernych obowiązków; z zadowoleniem przyjmuje propozycję nowej oceny wpływu na MŚP i na konkurencyjność;</w:t>
            </w:r>
          </w:p>
        </w:tc>
        <w:tc>
          <w:tcPr>
            <w:tcW w:w="4876" w:type="dxa"/>
            <w:tcBorders>
              <w:top w:val="nil"/>
              <w:left w:val="nil"/>
              <w:bottom w:val="nil"/>
              <w:right w:val="nil"/>
            </w:tcBorders>
          </w:tcPr>
          <w:p>
            <w:pPr>
              <w:pStyle w:val="Normal6a"/>
            </w:pPr>
            <w:r>
              <w:t>8.</w:t>
            </w:r>
            <w:r>
              <w:tab/>
            </w:r>
            <w:r>
              <w:t xml:space="preserve">wzywa Komisję do </w:t>
            </w:r>
            <w:r>
              <w:rPr>
                <w:b/>
                <w:i/>
              </w:rPr>
              <w:t>regularnej</w:t>
            </w:r>
            <w:r>
              <w:t xml:space="preserve"> oceny istniejących obowiązków regulacyjnych obciążających przedsiębiorstwa, takich jak ramy zrównoważonego finansowania, oraz do opracowania progów proporcjonalności w celu zwolnienia MŚP z nadmiernych obowiązków; z zadowoleniem przyjmuje propozycję nowej oceny wpływu na MŚP i na konkurencyjność;</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Georgios Aftias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8 – akapit 1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 wzywa do ustanowienia dla MŚP bezpiecznego i niepodlegającego zajęciu rachunku bankowego, proporcjonalnie powiązanego z ich obrotami, który zagwarantuje im płynność operacyjną i zapobiegnie systemowym zakłóceniom w codziennej działalności gospodarczej spowodowanym środkami egzekucyjnymi;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8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ubolewa, że wielu przedsiębiorców mających siedzibę w UE odczuwa potrzebę relokacji, aby uzyskać łatwiejszy dostęp do finansowania i zasobów;</w:t>
            </w:r>
            <w:r>
              <w:t xml:space="preserve"> </w:t>
            </w:r>
            <w:r>
              <w:rPr>
                <w:b/>
                <w:i/>
              </w:rPr>
              <w:t>jest zaniepokojony, że zwracają się oni do dostawców kapitału wysokiego ryzyka spoza UE i zwiększają skalę działalności na rynkach zagranicznych;</w:t>
            </w:r>
            <w:r>
              <w:t xml:space="preserve"> </w:t>
            </w:r>
            <w:r>
              <w:rPr>
                <w:b/>
                <w:i/>
              </w:rPr>
              <w:t>zgadza się z raportami Draghiego i Letty, że UE powinna dalej rozwijać swoje rynki kapitału wysokiego ryzyka;</w:t>
            </w:r>
            <w:r>
              <w:t xml:space="preserve"> </w:t>
            </w:r>
            <w:r>
              <w:rPr>
                <w:b/>
                <w:i/>
              </w:rPr>
              <w:t>podkreśla jednak, że wsparcie publiczne dla rynków kapitału wysokiego ryzyka powinno być ukierunkowane wyłącznie na projekty zgodne z celami Zielonego Ładu i mające pozytywny wpływ społeczny;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8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podkreśla, że ramy regulacyjne i instrumenty finansowane przez UE powinny być proporcjonalne do wielkości i zdolności administracyjnych MŚP oraz odpowiednio dostosowane, a nie powielane z wymogów, które dotyczą większych przedsiębiorstw;</w:t>
            </w:r>
            <w:r>
              <w:t xml:space="preserve"> </w:t>
            </w:r>
            <w:r>
              <w:rPr>
                <w:b/>
                <w:i/>
              </w:rPr>
              <w:t>wzywa Komisję, aby opublikowała wytyczne dotyczące wdrażania co najmniej dwa lata przed wejściem w życie nowych obowiązków oraz dopilnowała ich dostępności we wszystkich językach urzędowych UE, co da MŚP wystarczająco dużo czasu na przygotowanie i dostosowanie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8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z zadowoleniem przyjmuje cel Komisji, jakim jest ograniczenie obowiązków sprawozdawczych MŚP o co najmniej 35 %;</w:t>
            </w:r>
            <w:r>
              <w:t xml:space="preserve"> </w:t>
            </w:r>
            <w:r>
              <w:rPr>
                <w:b/>
                <w:i/>
              </w:rPr>
              <w:t>podkreśla, że taki cel musi być mierzalny, a wyniki muszą być możliwe do śledzenia;</w:t>
            </w:r>
            <w:r>
              <w:t xml:space="preserve"> </w:t>
            </w:r>
            <w:r>
              <w:rPr>
                <w:b/>
                <w:i/>
              </w:rPr>
              <w:t>wzywa Komisję do określenia jasnego harmonogramu i kluczowych wskaźników efektywności, a także metodyki ich śledzenia;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8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zwraca uwagę, że regulacja nie powinna tworzyć zbyt dużych przeszkód przy przemieszczaniu się np. z jednej kategorii wielkości do innej bądź między firmami notowanymi i nienotowanymi na giełdzie;</w:t>
            </w:r>
            <w:r>
              <w:t xml:space="preserve"> </w:t>
            </w:r>
            <w:r>
              <w:rPr>
                <w:b/>
                <w:i/>
              </w:rPr>
              <w:t>jest zatem zdania, że preferuje się podejście stopniowe, w którym na kolejnych etapach wzrastają wymogi regulacyjne;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8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8c.</w:t>
            </w:r>
            <w:r>
              <w:tab/>
            </w:r>
            <w:r>
              <w:rPr>
                <w:b/>
                <w:i/>
              </w:rPr>
              <w:t>podkreśla, że unijne ramy zrównoważonego finansowania są słabo dostosowane do potrzeb europejskich MŚP, ponieważ często wiążą się z wysokimi obciążeniami administracyjnymi i sprawozdawczymi, a także wysokimi kosztami wdrażania i przestrzegania przepisów;</w:t>
            </w:r>
            <w:r>
              <w:t xml:space="preserve"> </w:t>
            </w:r>
            <w:r>
              <w:rPr>
                <w:b/>
                <w:i/>
              </w:rPr>
              <w:t>wzywa Komisję Europejską do przeglądu i zmiany unijnych ram zrównoważonego finansowania, aby uczynić je mniej biurokratycznymi i kosztownymi oraz bardziej przyjaznymi dla MŚP;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podkreśla, że zasada „jedno więcej – jedno mniej” nie wystarczy, i apeluje do Komisji, by zaproponowała ambitną strategię uproszczenia;</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podkreśla, że zasada „jedno więcej – jedno mniej” nie wystarczy, i apeluje do Komisji, by zaproponowała ambitną strategię uproszczenia;</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Jonás Fernández, Tsvetelina Penkova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podkreśla, że zasada „jedno więcej – jedno mniej” nie wystarczy, i apeluje do Komisji, by zaproponowała ambitną strategię uproszczenia;</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podkreśla, że zasada „jedno więcej – jedno mniej” nie wystarczy, i apeluje do Komisji, by zaproponowała ambitną strategię uproszczenia;</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podkreśla, że zasada „jedno więcej – jedno mniej” nie wystarczy, i apeluje do Komisji, by zaproponowała ambitną strategię uproszczenia;</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Lídia Pereira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podkreśla, że zasada „jedno więcej – jedno mniej” nie wystarczy, i apeluje do Komisji, by zaproponowała ambitną strategię uproszczenia;</w:t>
            </w:r>
          </w:p>
        </w:tc>
        <w:tc>
          <w:tcPr>
            <w:tcW w:w="4876" w:type="dxa"/>
            <w:tcBorders>
              <w:top w:val="nil"/>
              <w:left w:val="nil"/>
              <w:bottom w:val="nil"/>
              <w:right w:val="nil"/>
            </w:tcBorders>
          </w:tcPr>
          <w:p>
            <w:pPr>
              <w:pStyle w:val="Normal6a"/>
            </w:pPr>
            <w:r>
              <w:t>9.</w:t>
            </w:r>
            <w:r>
              <w:tab/>
            </w:r>
            <w:r>
              <w:t>podkreśla, że zasada „jedno więcej – jedno mniej” nie wystarczy, i apeluje do Komisji, by zaproponowała ambitną strategię uproszczenia</w:t>
            </w:r>
            <w:r>
              <w:rPr>
                <w:b/>
                <w:i/>
              </w:rPr>
              <w:t>, która zapewni ochronę celów politycznych UE przy jednoczesnym zmniejszeniu obciążeń regulacyjnych i administracyjnych dla przedsiębiorstw, w tym MŚP</w:t>
            </w:r>
            <w:r>
              <w:t xml:space="preserve">; </w:t>
            </w:r>
            <w:r>
              <w:rPr>
                <w:b/>
                <w:i/>
              </w:rPr>
              <w:t>podkreśla potrzebę zagwarantowania systematycznej spójności prawnej i regulacyjnej w ramach prawnych UE, gwarantując pewność prawa, bezpieczeństwo i przewidywalność;</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podkreśla, że zasada „jedno więcej – jedno mniej” nie wystarczy, i apeluje do Komisji, by zaproponowała </w:t>
            </w:r>
            <w:r>
              <w:rPr>
                <w:b/>
                <w:i/>
              </w:rPr>
              <w:t>ambitną</w:t>
            </w:r>
            <w:r>
              <w:t xml:space="preserve"> strategię uproszczenia;</w:t>
            </w:r>
          </w:p>
        </w:tc>
        <w:tc>
          <w:tcPr>
            <w:tcW w:w="4876" w:type="dxa"/>
            <w:tcBorders>
              <w:top w:val="nil"/>
              <w:left w:val="nil"/>
              <w:bottom w:val="nil"/>
              <w:right w:val="nil"/>
            </w:tcBorders>
          </w:tcPr>
          <w:p>
            <w:pPr>
              <w:pStyle w:val="Normal6a"/>
            </w:pPr>
            <w:r>
              <w:t>9.</w:t>
            </w:r>
            <w:r>
              <w:tab/>
            </w:r>
            <w:r>
              <w:t xml:space="preserve">podkreśla, że zasada „jedno więcej – jedno mniej” nie wystarczy, i apeluje do Komisji, by zaproponowała </w:t>
            </w:r>
            <w:r>
              <w:rPr>
                <w:b/>
                <w:i/>
              </w:rPr>
              <w:t>ambitniejszą</w:t>
            </w:r>
            <w:r>
              <w:t xml:space="preserve"> strategię uproszczenia</w:t>
            </w:r>
            <w:r>
              <w:rPr>
                <w:b/>
                <w:i/>
              </w:rPr>
              <w:t>, która wykracza poza dyrektywy i rozporządzenia, ale uwzględnia również prawodawstwo na poziomie 2 i 3, a także jakościowy wpływ środków, takich jak podejście „jedno więcej – jedno mniej”</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Gilles Boyer, Billy Kelleher, Stéphanie Yon-Courtin, Pascal Canfin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podkreśla, że zasada „jedno więcej – jedno mniej” nie wystarczy, i</w:t>
            </w:r>
            <w:r>
              <w:t xml:space="preserve"> apeluje do Komisji, by zaproponowała ambitną strategię uproszczenia;</w:t>
            </w:r>
          </w:p>
        </w:tc>
        <w:tc>
          <w:tcPr>
            <w:tcW w:w="4876" w:type="dxa"/>
            <w:tcBorders>
              <w:top w:val="nil"/>
              <w:left w:val="nil"/>
              <w:bottom w:val="nil"/>
              <w:right w:val="nil"/>
            </w:tcBorders>
          </w:tcPr>
          <w:p>
            <w:pPr>
              <w:pStyle w:val="Normal6a"/>
            </w:pPr>
            <w:r>
              <w:t>9.</w:t>
            </w:r>
            <w:r>
              <w:tab/>
            </w:r>
            <w:r>
              <w:t xml:space="preserve">apeluje do Komisji, by zaproponowała ambitną strategię uproszczenia </w:t>
            </w:r>
            <w:r>
              <w:rPr>
                <w:b/>
                <w:i/>
              </w:rPr>
              <w:t>w obszarach, w których uproszczenie przyniesie konkretne rezultaty bez osłabiania celu prawodawstwa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Anouk Van Brug, Billy Kelleher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podkreśla, że zasada „jedno więcej – jedno mniej” nie </w:t>
            </w:r>
            <w:r>
              <w:rPr>
                <w:b/>
                <w:i/>
              </w:rPr>
              <w:t>wystarczy</w:t>
            </w:r>
            <w:r>
              <w:t>, i apeluje do Komisji, by zaproponowała ambitną strategię uproszczenia;</w:t>
            </w:r>
          </w:p>
        </w:tc>
        <w:tc>
          <w:tcPr>
            <w:tcW w:w="4876" w:type="dxa"/>
            <w:tcBorders>
              <w:top w:val="nil"/>
              <w:left w:val="nil"/>
              <w:bottom w:val="nil"/>
              <w:right w:val="nil"/>
            </w:tcBorders>
          </w:tcPr>
          <w:p>
            <w:pPr>
              <w:pStyle w:val="Normal6a"/>
            </w:pPr>
            <w:r>
              <w:t>9.</w:t>
            </w:r>
            <w:r>
              <w:tab/>
            </w:r>
            <w:r>
              <w:t xml:space="preserve">podkreśla, że zasada „jedno więcej – jedno mniej” nie </w:t>
            </w:r>
            <w:r>
              <w:rPr>
                <w:b/>
                <w:i/>
              </w:rPr>
              <w:t>jest wystarczająco stosowana w praktyce</w:t>
            </w:r>
            <w:r>
              <w:t>, i apeluje do Komisji, by zaproponowała ambitną strategię uproszczenia;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9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przypomina o roli katalizatora, którą ukierunkowane wsparcie publiczne w formie dotacji, pożyczek kapitałowych lub gwarancji kredytowych odgrywa w eliminowaniu luki w finansowaniu infrastruktury i potencjału produkcyjnego przedsiębiorstw typu start-up i scale-up, szczególnie gdy inwestycje prywatne są niewystarczające lub niedostępne;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w imieniu grupy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9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zwraca uwagę, że przepisy wprowadzane w celu uproszczenia są często złożone same w sobie, w związku z czym należy rozważyć całkowite wycofanie wielu istniejących przepisów, które zwiększają obciążenia administracyjne, zwłaszcza obowiązków w zakresie sprawozdawczości ekologicznej;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9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ponownie podkreśla, że wymogi związane z przestrzeganiem przepisów powinny pozostać proporcjonalne dla MŚP; zachęca do opracowywania standardowych, bezpłatnych szablonów oraz jasnych i proporcjonalnych obowiązków ujawniania informacji, które uwzględniają możliwości mniejszych przedsiębiorstw;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Anouk Van Brug, 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9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wzywa Komisję do zbadania korzyści płynących ze wzmocnionego centralnego nadzoru nad rynkami finansowymi UE w celu ograniczenia tarć, które nadal zniechęcają do inwestycji transgranicznych, oraz do oceny wykonalności jednolitego zbioru przepisów dla uczestników rynku;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9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wzywa Komisję do utworzenia scentralizowanego portalu cyfrowego, który ułatwi MŚP poszukiwanie możliwości finansowania ze środków UE;</w:t>
            </w:r>
            <w:r>
              <w:t xml:space="preserve"> </w:t>
            </w:r>
            <w:r>
              <w:rPr>
                <w:b/>
                <w:i/>
              </w:rPr>
              <w:t>portal powinien być dostępny w różnych językach, wykorzystywać AI i być dostępny na urządzeniach przenośnych;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Śródtytuł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Uwolnienie kapitału prywatnego i oszczędności</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Śródtytuł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Uwolnienie kapitału prywatnego i oszczędności</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Śródtytuł 3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Wsparcie dla europejskich MŚP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zauważa, że Komisja dąży do wdrożenia unii oszczędności i inwestycji, która musi obejmować nie tylko działania na szczeblu UE, ale także rozwój narzędzi, rozwiązań i najlepszych praktyk służących poszanowaniu i wsparciu działań państw członkowskich na szczeblu krajowym;</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zauważa, że Komisja dąży do wdrożenia unii oszczędności i inwestycji, która musi obejmować nie tylko działania na szczeblu UE, ale także rozwój narzędzi, rozwiązań i najlepszych praktyk służących poszanowaniu i wsparciu działań państw członkowskich na szczeblu krajowym;</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zauważa, że Komisja dąży do wdrożenia unii oszczędności i inwestycji, która musi obejmować nie tylko działania na szczeblu UE, ale także rozwój narzędzi, rozwiązań i najlepszych praktyk służących poszanowaniu i wsparciu działań państw członkowskich na szczeblu krajowym;</w:t>
            </w:r>
          </w:p>
        </w:tc>
        <w:tc>
          <w:tcPr>
            <w:tcW w:w="4876" w:type="dxa"/>
            <w:tcBorders>
              <w:top w:val="nil"/>
              <w:left w:val="nil"/>
              <w:bottom w:val="nil"/>
              <w:right w:val="nil"/>
            </w:tcBorders>
          </w:tcPr>
          <w:p>
            <w:pPr>
              <w:pStyle w:val="Normal6a"/>
            </w:pPr>
            <w:r>
              <w:t>10.</w:t>
            </w:r>
            <w:r>
              <w:tab/>
            </w:r>
            <w:r>
              <w:t xml:space="preserve">zauważa, że Komisja dąży do wdrożenia unii oszczędności i inwestycji, która musi obejmować nie tylko działania na szczeblu UE, ale także rozwój narzędzi, rozwiązań i najlepszych praktyk służących poszanowaniu i wsparciu działań państw członkowskich na szczeblu krajowym; </w:t>
            </w:r>
            <w:r>
              <w:rPr>
                <w:b/>
                <w:i/>
              </w:rPr>
              <w:t>podkreśla, że unia oszczędności i inwestycji poprawi sytuację finansową MŚP tylko pod warunkiem, że zaakceptują ją państwa członkowskie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zauważa, że Komisja dąży do wdrożenia unii oszczędności i inwestycji, która musi obejmować nie tylko działania na szczeblu UE, ale także rozwój narzędzi, rozwiązań i najlepszych praktyk służących poszanowaniu i wsparciu działań państw członkowskich na szczeblu krajowym;</w:t>
            </w:r>
          </w:p>
        </w:tc>
        <w:tc>
          <w:tcPr>
            <w:tcW w:w="4876" w:type="dxa"/>
            <w:tcBorders>
              <w:top w:val="nil"/>
              <w:left w:val="nil"/>
              <w:bottom w:val="nil"/>
              <w:right w:val="nil"/>
            </w:tcBorders>
          </w:tcPr>
          <w:p>
            <w:pPr>
              <w:pStyle w:val="Normal6a"/>
            </w:pPr>
            <w:r>
              <w:t>10.</w:t>
            </w:r>
            <w:r>
              <w:tab/>
            </w:r>
            <w:r>
              <w:t>zauważa, że Komisja dąży do wdrożenia unii oszczędności i inwestycji, która musi obejmować nie tylko działania na szczeblu UE, ale także rozwój narzędzi, rozwiązań i najlepszych praktyk służących poszanowaniu i wsparciu działań państw członkowskich na szczeblu krajowym</w:t>
            </w:r>
            <w:r>
              <w:rPr>
                <w:b/>
                <w:i/>
              </w:rPr>
              <w:t>, a przede wszystkim transgranicznej spójności, aby uniknąć rozbieżności regulacyjnych między państwami członkowskimi</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Anouk Van Brug, Billy Kelleher, 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zauważa, że </w:t>
            </w:r>
            <w:r>
              <w:rPr>
                <w:b/>
                <w:i/>
              </w:rPr>
              <w:t>Komisja dąży do wdrożenia</w:t>
            </w:r>
            <w:r>
              <w:t xml:space="preserve"> unii oszczędności i inwestycji, która </w:t>
            </w:r>
            <w:r>
              <w:rPr>
                <w:b/>
                <w:i/>
              </w:rPr>
              <w:t>musi obejmować nie tylko działania na szczeblu UE, ale także rozwój narzędzi, rozwiązań i najlepszych praktyk służących poszanowaniu i wsparciu działań państw członkowskich na szczeblu krajowym</w:t>
            </w:r>
            <w:r>
              <w:t>;</w:t>
            </w:r>
          </w:p>
        </w:tc>
        <w:tc>
          <w:tcPr>
            <w:tcW w:w="4876" w:type="dxa"/>
            <w:tcBorders>
              <w:top w:val="nil"/>
              <w:left w:val="nil"/>
              <w:bottom w:val="nil"/>
              <w:right w:val="nil"/>
            </w:tcBorders>
          </w:tcPr>
          <w:p>
            <w:pPr>
              <w:pStyle w:val="Normal6a"/>
            </w:pPr>
            <w:r>
              <w:t>10.</w:t>
            </w:r>
            <w:r>
              <w:tab/>
            </w:r>
            <w:r>
              <w:t xml:space="preserve">zauważa, że </w:t>
            </w:r>
            <w:r>
              <w:rPr>
                <w:b/>
                <w:i/>
              </w:rPr>
              <w:t>gospodarstwa domowe w UE trzymają dużo oszczędności w instrumentach o niskiej rentowności;</w:t>
            </w:r>
            <w:r>
              <w:t xml:space="preserve"> </w:t>
            </w:r>
            <w:r>
              <w:rPr>
                <w:b/>
                <w:i/>
              </w:rPr>
              <w:t>zdecydowanie zachęca do dalszego rozwoju</w:t>
            </w:r>
            <w:r>
              <w:t xml:space="preserve"> unii oszczędności i inwestycji, która </w:t>
            </w:r>
            <w:r>
              <w:rPr>
                <w:b/>
                <w:i/>
              </w:rPr>
              <w:t>może pomóc przekierować długoterminowe oszczędności na rynki kapitałowe i uzupełnić krajowe wysiłki na rzecz pogłębienia rynków kapitałowych i zwiększenia dostępności kapitału, zwłaszcza dla MŚP</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zauważa, że Komisja dąży do wdrożenia unii oszczędności i inwestycji, która musi obejmować nie tylko działania na szczeblu UE, ale także rozwój narzędzi, rozwiązań i najlepszych praktyk służących </w:t>
            </w:r>
            <w:r>
              <w:rPr>
                <w:b/>
                <w:i/>
              </w:rPr>
              <w:t>poszanowaniu i</w:t>
            </w:r>
            <w:r>
              <w:t xml:space="preserve"> wsparciu działań państw członkowskich na szczeblu krajowym;</w:t>
            </w:r>
          </w:p>
        </w:tc>
        <w:tc>
          <w:tcPr>
            <w:tcW w:w="4876" w:type="dxa"/>
            <w:tcBorders>
              <w:top w:val="nil"/>
              <w:left w:val="nil"/>
              <w:bottom w:val="nil"/>
              <w:right w:val="nil"/>
            </w:tcBorders>
          </w:tcPr>
          <w:p>
            <w:pPr>
              <w:pStyle w:val="Normal6a"/>
            </w:pPr>
            <w:r>
              <w:t>10.</w:t>
            </w:r>
            <w:r>
              <w:tab/>
            </w:r>
            <w:r>
              <w:t xml:space="preserve">zauważa, że Komisja dąży do wdrożenia unii oszczędności i inwestycji </w:t>
            </w:r>
            <w:r>
              <w:rPr>
                <w:b/>
                <w:i/>
              </w:rPr>
              <w:t>(UOI)</w:t>
            </w:r>
            <w:r>
              <w:t>, która musi obejmować nie tylko działania na szczeblu UE, ale także rozwój narzędzi, rozwiązań i najlepszych praktyk służących wsparciu działań państw członkowskich na szczeblu krajowym</w:t>
            </w:r>
            <w:r>
              <w:rPr>
                <w:b/>
                <w:i/>
              </w:rPr>
              <w:t>, gdzie takie działania najlepiej przyspieszają wdrożenie UOI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Jonás Fernández, Tsvetelina Penkova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zauważa, że Komisja dąży do wdrożenia unii oszczędności i inwestycji</w:t>
            </w:r>
            <w:r>
              <w:rPr>
                <w:b/>
                <w:i/>
              </w:rPr>
              <w:t>, która musi obejmować nie tylko działania na szczeblu UE, ale także rozwój narzędzi, rozwiązań i najlepszych praktyk służących poszanowaniu i wsparciu działań państw członkowskich na szczeblu krajowym</w:t>
            </w:r>
            <w:r>
              <w:t>;</w:t>
            </w:r>
          </w:p>
        </w:tc>
        <w:tc>
          <w:tcPr>
            <w:tcW w:w="4876" w:type="dxa"/>
            <w:tcBorders>
              <w:top w:val="nil"/>
              <w:left w:val="nil"/>
              <w:bottom w:val="nil"/>
              <w:right w:val="nil"/>
            </w:tcBorders>
          </w:tcPr>
          <w:p>
            <w:pPr>
              <w:pStyle w:val="Normal6a"/>
            </w:pPr>
            <w:r>
              <w:t>10.</w:t>
            </w:r>
            <w:r>
              <w:tab/>
            </w:r>
            <w:r>
              <w:t>zauważa, że Komisja dąży do wdrożenia unii oszczędności i inwestycji</w:t>
            </w:r>
            <w:r>
              <w:rPr>
                <w:b/>
                <w:i/>
              </w:rPr>
              <w:t>;</w:t>
            </w:r>
            <w:r>
              <w:t xml:space="preserve"> </w:t>
            </w:r>
            <w:r>
              <w:rPr>
                <w:b/>
                <w:i/>
              </w:rPr>
              <w:t>podkreśla, że urzeczywistnienie unii oszczędności i inwestycji wymaga pełnej integracji rynków kapitałowych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zauważa, że Komisja dąży do wdrożenia unii oszczędności i inwestycji, która musi obejmować nie tylko działania na szczeblu UE, ale </w:t>
            </w:r>
            <w:r>
              <w:rPr>
                <w:b/>
                <w:i/>
              </w:rPr>
              <w:t>także</w:t>
            </w:r>
            <w:r>
              <w:t xml:space="preserve"> rozwój narzędzi, rozwiązań i najlepszych praktyk służących poszanowaniu i wsparciu działań państw członkowskich na szczeblu krajowym;</w:t>
            </w:r>
          </w:p>
        </w:tc>
        <w:tc>
          <w:tcPr>
            <w:tcW w:w="4876" w:type="dxa"/>
            <w:tcBorders>
              <w:top w:val="nil"/>
              <w:left w:val="nil"/>
              <w:bottom w:val="nil"/>
              <w:right w:val="nil"/>
            </w:tcBorders>
          </w:tcPr>
          <w:p>
            <w:pPr>
              <w:pStyle w:val="Normal6a"/>
            </w:pPr>
            <w:r>
              <w:t>10.</w:t>
            </w:r>
            <w:r>
              <w:tab/>
            </w:r>
            <w:r>
              <w:t xml:space="preserve">zauważa, że Komisja dąży do wdrożenia unii oszczędności i inwestycji, która musi obejmować nie tylko działania na szczeblu UE, ale </w:t>
            </w:r>
            <w:r>
              <w:rPr>
                <w:b/>
                <w:i/>
              </w:rPr>
              <w:t>przede wszystkim</w:t>
            </w:r>
            <w:r>
              <w:t xml:space="preserve"> rozwój narzędzi, rozwiązań i najlepszych praktyk służących poszanowaniu i wsparciu działań państw członkowskich na szczeblu krajowym;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zauważa, że Komisja dąży do wdrożenia unii oszczędności i inwestycji, która musi obejmować nie tylko działania na szczeblu UE, ale także rozwój narzędzi, rozwiązań i najlepszych praktyk </w:t>
            </w:r>
            <w:r>
              <w:rPr>
                <w:b/>
                <w:i/>
              </w:rPr>
              <w:t>służących poszanowaniu i wsparciu działań</w:t>
            </w:r>
            <w:r>
              <w:t xml:space="preserve"> państw członkowskich </w:t>
            </w:r>
            <w:r>
              <w:rPr>
                <w:b/>
                <w:i/>
              </w:rPr>
              <w:t>na szczeblu krajowym</w:t>
            </w:r>
            <w:r>
              <w:t>;</w:t>
            </w:r>
          </w:p>
        </w:tc>
        <w:tc>
          <w:tcPr>
            <w:tcW w:w="4876" w:type="dxa"/>
            <w:tcBorders>
              <w:top w:val="nil"/>
              <w:left w:val="nil"/>
              <w:bottom w:val="nil"/>
              <w:right w:val="nil"/>
            </w:tcBorders>
          </w:tcPr>
          <w:p>
            <w:pPr>
              <w:pStyle w:val="Normal6a"/>
            </w:pPr>
            <w:r>
              <w:t>10.</w:t>
            </w:r>
            <w:r>
              <w:tab/>
            </w:r>
            <w:r>
              <w:t xml:space="preserve">zauważa, że Komisja dąży do wdrożenia unii oszczędności i inwestycji, która musi obejmować nie tylko działania na szczeblu UE, ale także rozwój narzędzi, rozwiązań i najlepszych praktyk </w:t>
            </w:r>
            <w:r>
              <w:rPr>
                <w:b/>
                <w:i/>
              </w:rPr>
              <w:t>na szczeblu</w:t>
            </w:r>
            <w:r>
              <w:t xml:space="preserve"> państw członkowskich;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zauważa, że Komisja dąży do wdrożenia unii oszczędności i inwestycji, która musi obejmować </w:t>
            </w:r>
            <w:r>
              <w:rPr>
                <w:b/>
                <w:i/>
              </w:rPr>
              <w:t>nie tylko</w:t>
            </w:r>
            <w:r>
              <w:t xml:space="preserve"> działania na szczeblu UE, </w:t>
            </w:r>
            <w:r>
              <w:rPr>
                <w:b/>
                <w:i/>
              </w:rPr>
              <w:t>ale</w:t>
            </w:r>
            <w:r>
              <w:t xml:space="preserve"> także </w:t>
            </w:r>
            <w:r>
              <w:rPr>
                <w:b/>
                <w:i/>
              </w:rPr>
              <w:t>rozwój narzędzi, rozwiązań i najlepszych praktyk służących</w:t>
            </w:r>
            <w:r>
              <w:t xml:space="preserve"> poszanowaniu </w:t>
            </w:r>
            <w:r>
              <w:rPr>
                <w:b/>
                <w:i/>
              </w:rPr>
              <w:t>i wsparciu działań</w:t>
            </w:r>
            <w:r>
              <w:t xml:space="preserve"> państw członkowskich </w:t>
            </w:r>
            <w:r>
              <w:rPr>
                <w:b/>
                <w:i/>
              </w:rPr>
              <w:t>na szczeblu krajowym</w:t>
            </w:r>
            <w:r>
              <w:t>;</w:t>
            </w:r>
          </w:p>
        </w:tc>
        <w:tc>
          <w:tcPr>
            <w:tcW w:w="4876" w:type="dxa"/>
            <w:tcBorders>
              <w:top w:val="nil"/>
              <w:left w:val="nil"/>
              <w:bottom w:val="nil"/>
              <w:right w:val="nil"/>
            </w:tcBorders>
          </w:tcPr>
          <w:p>
            <w:pPr>
              <w:pStyle w:val="Normal6a"/>
            </w:pPr>
            <w:r>
              <w:t>10.</w:t>
            </w:r>
            <w:r>
              <w:tab/>
            </w:r>
            <w:r>
              <w:t xml:space="preserve">zauważa, że Komisja dąży do wdrożenia unii oszczędności i inwestycji, która musi obejmować działania na szczeblu UE, </w:t>
            </w:r>
            <w:r>
              <w:rPr>
                <w:b/>
                <w:i/>
              </w:rPr>
              <w:t>a</w:t>
            </w:r>
            <w:r>
              <w:t xml:space="preserve"> także </w:t>
            </w:r>
            <w:r>
              <w:rPr>
                <w:b/>
                <w:i/>
              </w:rPr>
              <w:t>narzędzia, rozwiązania i najlepsze praktyki, które służą</w:t>
            </w:r>
            <w:r>
              <w:t xml:space="preserve"> poszanowaniu </w:t>
            </w:r>
            <w:r>
              <w:rPr>
                <w:b/>
                <w:i/>
              </w:rPr>
              <w:t>kompetencji krajowych i wspierają działania</w:t>
            </w:r>
            <w:r>
              <w:t xml:space="preserve"> państw członkowskich;</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wzywa Komisję do zbadania nowych narzędzi finansowania i dostosowania ich do potrzeb mikroprzedsiębiorstw i małych przedsiębiorstw, z obniżonymi opłatami i większymi gwarancjami ryzyka w przypadku ekologicznych, społecznych i spółdzielczych MŚP, i ze szczególnym naciskiem na wspieranie obszarów znajdujących się w trudnej sytuacji gospodarczej i zmarginalizowanych oraz na zwalczanie bezrobocia i nierówności regionalnych;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Gilles Boyer, Stéphanie Yon-Courtin, Pascal Canfin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z zadowoleniem przyjmuje wprowadzenie znaku „Finance Europe” wraz ze szczegółowym wykazem cech, których muszą przestrzegać fundusze korzystające z tego znaku, co umożliwi zainteresowanym oszczędzającym zainwestowanie oszczędności w europejskie przedsiębiorstwa, a tym samym zapewnienie bezpośredniego wkładu w finansowanie gospodarki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zwraca uwagę, że ukończenie i wzmocnienie unii gospodarczej i walutowej, unii rynków kapitałowych (URK) i unii bankowej, zwłaszcza w obecnym kontekście możliwej dedolaryzacji, mogłoby zwiększyć międzynarodowe stosowanie euro z korzyścią dla MŚP;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apeluje do Komisji, aby zwiększyła dostęp inwestorów do informacji i ochrony, a jednocześnie wykorzystała potencjał uproszczonych produktów detalicznych w celu przyciągnięcia większych oszczędności na rynki kapitałowe;</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apeluje do Komisji, aby zwiększyła dostęp inwestorów do informacji i ochrony, a jednocześnie wykorzystała potencjał uproszczonych produktów detalicznych w celu przyciągnięcia większych oszczędności na rynki kapitałowe;</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apeluje do Komisji, aby </w:t>
            </w:r>
            <w:r>
              <w:rPr>
                <w:b/>
                <w:i/>
              </w:rPr>
              <w:t>zwiększyła</w:t>
            </w:r>
            <w:r>
              <w:t xml:space="preserve"> dostęp inwestorów </w:t>
            </w:r>
            <w:r>
              <w:rPr>
                <w:b/>
                <w:i/>
              </w:rPr>
              <w:t>do informacji i ochrony, a jednocześnie wykorzystała potencjał uproszczonych produktów</w:t>
            </w:r>
            <w:r>
              <w:t xml:space="preserve"> detalicznych </w:t>
            </w:r>
            <w:r>
              <w:rPr>
                <w:b/>
                <w:i/>
              </w:rPr>
              <w:t>w celu przyciągnięcia większych</w:t>
            </w:r>
            <w:r>
              <w:t xml:space="preserve"> oszczędności </w:t>
            </w:r>
            <w:r>
              <w:rPr>
                <w:b/>
                <w:i/>
              </w:rPr>
              <w:t>na rynki kapitałowe</w:t>
            </w:r>
            <w:r>
              <w:t>;</w:t>
            </w:r>
          </w:p>
        </w:tc>
        <w:tc>
          <w:tcPr>
            <w:tcW w:w="4876" w:type="dxa"/>
            <w:tcBorders>
              <w:top w:val="nil"/>
              <w:left w:val="nil"/>
              <w:bottom w:val="nil"/>
              <w:right w:val="nil"/>
            </w:tcBorders>
          </w:tcPr>
          <w:p>
            <w:pPr>
              <w:pStyle w:val="Normal6a"/>
            </w:pPr>
            <w:r>
              <w:t>11.</w:t>
            </w:r>
            <w:r>
              <w:tab/>
            </w:r>
            <w:r>
              <w:rPr>
                <w:b/>
                <w:i/>
              </w:rPr>
              <w:t>z zadowoleniem przyjmuje pomysł przekształcenia oszczędzających w inwestorów;</w:t>
            </w:r>
            <w:r>
              <w:t xml:space="preserve"> apeluje do Komisji, aby </w:t>
            </w:r>
            <w:r>
              <w:rPr>
                <w:b/>
                <w:i/>
              </w:rPr>
              <w:t>ułatwiła</w:t>
            </w:r>
            <w:r>
              <w:t xml:space="preserve"> dostęp inwestorów detalicznych </w:t>
            </w:r>
            <w:r>
              <w:rPr>
                <w:b/>
                <w:i/>
              </w:rPr>
              <w:t>do rynków finansowych;</w:t>
            </w:r>
            <w:r>
              <w:t xml:space="preserve"> </w:t>
            </w:r>
            <w:r>
              <w:rPr>
                <w:b/>
                <w:i/>
              </w:rPr>
              <w:t>podkreśla, że aby</w:t>
            </w:r>
            <w:r>
              <w:t xml:space="preserve"> oszczędności </w:t>
            </w:r>
            <w:r>
              <w:rPr>
                <w:b/>
                <w:i/>
              </w:rPr>
              <w:t>były kierowane do przedsiębiorstw typu start-up lub przedsiębiorstw scale-up, kluczowe znaczenie mają pośrednicy, tacy jak fundusze emerytalne i zakłady ubezpieczeń</w:t>
            </w:r>
            <w:r>
              <w:t xml:space="preserve">; </w:t>
            </w:r>
            <w:r>
              <w:rPr>
                <w:b/>
                <w:i/>
              </w:rPr>
              <w:t>wzywa Komisję do stworzenia ram regulacyjnych, które sprawią, że objęcie roli pośredników będzie dla tych podmiotów atrakcyjne;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apeluje do Komisji, aby zwiększyła dostęp inwestorów do informacji i ochrony, a jednocześnie wykorzystała potencjał uproszczonych produktów detalicznych w celu przyciągnięcia większych oszczędności na rynki kapitałowe;</w:t>
            </w:r>
          </w:p>
        </w:tc>
        <w:tc>
          <w:tcPr>
            <w:tcW w:w="4876" w:type="dxa"/>
            <w:tcBorders>
              <w:top w:val="nil"/>
              <w:left w:val="nil"/>
              <w:bottom w:val="nil"/>
              <w:right w:val="nil"/>
            </w:tcBorders>
          </w:tcPr>
          <w:p>
            <w:pPr>
              <w:pStyle w:val="Normal6a"/>
            </w:pPr>
            <w:r>
              <w:t>11.</w:t>
            </w:r>
            <w:r>
              <w:tab/>
            </w:r>
            <w:r>
              <w:t xml:space="preserve">apeluje do Komisji, aby zwiększyła dostęp inwestorów do informacji i ochrony, a jednocześnie wykorzystała potencjał uproszczonych produktów detalicznych w celu przyciągnięcia większych oszczędności na rynki kapitałowe; </w:t>
            </w:r>
            <w:r>
              <w:rPr>
                <w:b/>
                <w:i/>
              </w:rPr>
              <w:t>wzywa Komisję do promowania dobrowolnych norm europejskich w celu poprawy przejrzystości, porównywalności i jasnej prezentacji produktów finansowych dla MŚP w celu ułatwienia im podejmowania świadomych decyzji;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apeluje do Komisji, aby zwiększyła </w:t>
            </w:r>
            <w:r>
              <w:rPr>
                <w:b/>
                <w:i/>
              </w:rPr>
              <w:t>dostęp inwestorów do informacji i ochrony</w:t>
            </w:r>
            <w:r>
              <w:t xml:space="preserve">, a jednocześnie wykorzystała potencjał </w:t>
            </w:r>
            <w:r>
              <w:rPr>
                <w:b/>
                <w:i/>
              </w:rPr>
              <w:t>uproszczonych</w:t>
            </w:r>
            <w:r>
              <w:t xml:space="preserve"> produktów detalicznych w celu przyciągnięcia większych oszczędności na rynki kapitałowe;</w:t>
            </w:r>
          </w:p>
        </w:tc>
        <w:tc>
          <w:tcPr>
            <w:tcW w:w="4876" w:type="dxa"/>
            <w:tcBorders>
              <w:top w:val="nil"/>
              <w:left w:val="nil"/>
              <w:bottom w:val="nil"/>
              <w:right w:val="nil"/>
            </w:tcBorders>
          </w:tcPr>
          <w:p>
            <w:pPr>
              <w:pStyle w:val="Normal6a"/>
            </w:pPr>
            <w:r>
              <w:t>11.</w:t>
            </w:r>
            <w:r>
              <w:tab/>
            </w:r>
            <w:r>
              <w:t xml:space="preserve">apeluje do Komisji, aby zwiększyła </w:t>
            </w:r>
            <w:r>
              <w:rPr>
                <w:b/>
                <w:i/>
              </w:rPr>
              <w:t>udział sektora detalicznego w rynkach kapitałowych za pomocą różnych środków</w:t>
            </w:r>
            <w:r>
              <w:t xml:space="preserve">, a jednocześnie wykorzystała potencjał </w:t>
            </w:r>
            <w:r>
              <w:rPr>
                <w:b/>
                <w:i/>
              </w:rPr>
              <w:t>prostych</w:t>
            </w:r>
            <w:r>
              <w:t xml:space="preserve"> produktów detalicznych w celu przyciągnięcia większych oszczędności na rynki kapitałowe</w:t>
            </w:r>
            <w:r>
              <w:rPr>
                <w:b/>
                <w:i/>
              </w:rPr>
              <w:t>, a także – co ważniejsze – zaoferowała obywatelom UE bardziej atrakcyjne zyski z ich oszczędności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apeluje do Komisji, aby zwiększyła dostęp inwestorów do informacji i ochrony, a jednocześnie wykorzystała potencjał </w:t>
            </w:r>
            <w:r>
              <w:rPr>
                <w:b/>
                <w:i/>
              </w:rPr>
              <w:t>uproszczonych</w:t>
            </w:r>
            <w:r>
              <w:t xml:space="preserve"> produktów detalicznych w celu przyciągnięcia większych oszczędności na rynki kapitałowe;</w:t>
            </w:r>
          </w:p>
        </w:tc>
        <w:tc>
          <w:tcPr>
            <w:tcW w:w="4876" w:type="dxa"/>
            <w:tcBorders>
              <w:top w:val="nil"/>
              <w:left w:val="nil"/>
              <w:bottom w:val="nil"/>
              <w:right w:val="nil"/>
            </w:tcBorders>
          </w:tcPr>
          <w:p>
            <w:pPr>
              <w:pStyle w:val="Normal6a"/>
            </w:pPr>
            <w:r>
              <w:t>11.</w:t>
            </w:r>
            <w:r>
              <w:tab/>
            </w:r>
            <w:r>
              <w:t>apeluje do Komisji, aby zwiększyła dostęp inwestorów do informacji i ochrony, a jednocześnie wykorzystała potencjał produktów detalicznych w celu przyciągnięcia większych oszczędności na rynki kapitałowe;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11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ubolewa, że rozporządzenie w sprawie EuVECA ((UE) nr 345/2013) nie wywarło znaczącego pozytywnego wpływu na lokalne rynki kapitału wysokiego ryzyka;</w:t>
            </w:r>
            <w:r>
              <w:t xml:space="preserve"> </w:t>
            </w:r>
            <w:r>
              <w:rPr>
                <w:b/>
                <w:i/>
              </w:rPr>
              <w:t>z zadowoleniem przyjmuje fakt, że komunikat w sprawie unii oszczędności i inwestycji dotyczy w szczególności inwestycji kapitału wysokiego ryzyka w małe, nienotowane na giełdzie przedsiębiorstwa, najlepiej młode i innowacyjne, ale ubolewa, że wniosek Komisji dotyczący rozporządzenia w sprawie EuVECA zostanie opóźniony do trzeciego kwartału 2026 r.;</w:t>
            </w:r>
            <w:r>
              <w:t xml:space="preserve"> </w:t>
            </w:r>
            <w:r>
              <w:rPr>
                <w:b/>
                <w:i/>
              </w:rPr>
              <w:t>zwraca się do Komisji, aby rozważyła zezwolenie prywatnym osobom oszczędzającym na inwestowanie w fundusze alternatywne i usunęła minimalną kwotę inwestycji wynoszącą 100 000 EUR z rozporządzenia w sprawie EuVECA;</w:t>
            </w:r>
            <w:r>
              <w:t xml:space="preserve"> </w:t>
            </w:r>
            <w:r>
              <w:rPr>
                <w:b/>
                <w:i/>
              </w:rPr>
              <w:t>zwraca się do Komisji, aby zachęcała państwa członkowskie do przyznawania zachęt podatkowych funduszom venture capital inwestującym w MŚP;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11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podkreśla, że mobilizacja oszczędności na inwestycje powinna iść w parze z tworzeniem odpowiednich warunków gwarantujących wystarczającą rentowność europejskich MŚP i przedsiębiorstw scale-up, tak aby stworzyć uzasadnienie biznesowe dla obywateli, którzy będą mogli swobodnie inwestować w europejskie przedsiębiorstwa;</w:t>
            </w:r>
            <w:r>
              <w:t xml:space="preserve"> </w:t>
            </w:r>
            <w:r>
              <w:rPr>
                <w:b/>
                <w:i/>
              </w:rPr>
              <w:t>zauważa w związku z tym, że wspieranie wydajności, innowacji i konkurencyjności oraz znaczne zmniejszenie obciążeń regulacyjnych to niezbędne warunki wstępne uwolnienia prywatnego kapitału i oszczędności;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11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zauważa, że w raporcie Draghiego jako istotny czynnik ograniczający rozwój rynku kapitałowego wskazano niedostateczny rozwój prefinansowanych publicznych, pracowniczych i prywatnych systemów emerytalnych w państwach członkowskich UE;</w:t>
            </w:r>
            <w:r>
              <w:t xml:space="preserve"> </w:t>
            </w:r>
            <w:r>
              <w:rPr>
                <w:b/>
                <w:i/>
              </w:rPr>
              <w:t>podkreśla, że prefinansowane systemy emerytalne, w których zdefiniowane składki inwestuje się na rynkach kapitałowych, a nie dystrybuuje za pośrednictwem systemów repartycyjnych, mają kluczowe znaczenie dla kierowania długoterminowych inwestycji do gospodarki realnej;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11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apeluje do Komisji, aby priorytetowo potraktowała plan działania na rzecz URK, który podtrzymuje stabilność finansową i ochronę konsumentów, sprzyja dostępowi do kapitału wysokiego ryzyka i inwestycji kapitałowych oraz ogranicza nadmierną zależność od pożyczek bankowych, a jednocześnie zapewnia wyraźne zachęty do prowadzenia zrównoważonej działalności i odchodzenia od działań, które poważnie szkodzą jednemu z celów systematyki;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w imieniu grupy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11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jest zdania, że uwolnienie kapitału prywatnego i jego większe zaangażowanie w inwestycje to zadanie, które znacznie wykracza poza obszar regulacji i wymaga zmiany nawyków oszczędzania i inwestowania, co z oznacza potrzebę znacznego zwiększenia wiedzy i świadomości gospodarczej;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11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apeluje do europejskich i krajowych banków rozwoju, aby zwiększyły pożyczki bezpośrednie i udział kapitałowy w MŚP, ze szczególnym uwzględnieniem finansowania na wczesnym etapie oraz społeczności niewystarczająco uwzględnianych;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podkreśla, że trzeba poszerzyć wiedzę finansową obywateli UE i przedsiębiorców;</w:t>
            </w:r>
            <w:r>
              <w:t xml:space="preserve"> </w:t>
            </w:r>
            <w:r>
              <w:rPr>
                <w:b/>
                <w:i/>
              </w:rPr>
              <w:t>apeluje do Komisji, aby uwzględniła przedsiębiorczość w przyszłej strategii na rzecz wiedzy finansowej oraz w zestawie narzędzi dla państw członkowskich mającym poprawić koordynację w tym zakresie;</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podkreśla, że trzeba poszerzyć wiedzę finansową obywateli UE i przedsiębiorców;</w:t>
            </w:r>
            <w:r>
              <w:t xml:space="preserve"> </w:t>
            </w:r>
            <w:r>
              <w:rPr>
                <w:b/>
                <w:i/>
              </w:rPr>
              <w:t>apeluje do Komisji, aby uwzględniła przedsiębiorczość w przyszłej strategii na rzecz wiedzy finansowej oraz w zestawie narzędzi dla państw członkowskich mającym poprawić koordynację w tym zakresie;</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Anouk Van Brug, Billy Kelleher, 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podkreśla, że trzeba poszerzyć wiedzę finansową obywateli UE i przedsiębiorców; apeluje do Komisji, aby uwzględniła przedsiębiorczość w przyszłej strategii na rzecz wiedzy finansowej oraz w zestawie narzędzi dla państw członkowskich mającym poprawić koordynację w tym zakresie;</w:t>
            </w:r>
          </w:p>
        </w:tc>
        <w:tc>
          <w:tcPr>
            <w:tcW w:w="4876" w:type="dxa"/>
            <w:tcBorders>
              <w:top w:val="nil"/>
              <w:left w:val="nil"/>
              <w:bottom w:val="nil"/>
              <w:right w:val="nil"/>
            </w:tcBorders>
          </w:tcPr>
          <w:p>
            <w:pPr>
              <w:pStyle w:val="Normal6a"/>
            </w:pPr>
            <w:r>
              <w:t>12.</w:t>
            </w:r>
            <w:r>
              <w:tab/>
            </w:r>
            <w:r>
              <w:rPr>
                <w:b/>
                <w:i/>
              </w:rPr>
              <w:t>zdecydowanie</w:t>
            </w:r>
            <w:r>
              <w:t xml:space="preserve"> podkreśla, że trzeba poszerzyć wiedzę finansową obywateli UE i przedsiębiorców; apeluje do Komisji, aby uwzględniła przedsiębiorczość w przyszłej strategii na rzecz wiedzy finansowej oraz w zestawie narzędzi dla państw członkowskich mającym poprawić koordynację w tym zakresie; </w:t>
            </w:r>
            <w:r>
              <w:rPr>
                <w:b/>
                <w:i/>
              </w:rPr>
              <w:t>zwraca uwagę na korzyści płynące ze zwiększonej wiedzy finansowej, co umożliwi obywatelom podejmowanie bardziej świadomych decyzji finansowych w sposób niezależny;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podkreśla, że trzeba poszerzyć wiedzę finansową obywateli UE i przedsiębiorców; apeluje do Komisji, aby uwzględniła przedsiębiorczość w przyszłej strategii na rzecz wiedzy finansowej oraz w zestawie narzędzi dla państw członkowskich mającym poprawić koordynację w tym zakresie;</w:t>
            </w:r>
          </w:p>
        </w:tc>
        <w:tc>
          <w:tcPr>
            <w:tcW w:w="4876" w:type="dxa"/>
            <w:tcBorders>
              <w:top w:val="nil"/>
              <w:left w:val="nil"/>
              <w:bottom w:val="nil"/>
              <w:right w:val="nil"/>
            </w:tcBorders>
          </w:tcPr>
          <w:p>
            <w:pPr>
              <w:pStyle w:val="Normal6a"/>
            </w:pPr>
            <w:r>
              <w:t>12.</w:t>
            </w:r>
            <w:r>
              <w:tab/>
            </w:r>
            <w:r>
              <w:t>podkreśla, że trzeba poszerzyć wiedzę finansową obywateli UE i przedsiębiorców; apeluje do Komisji, aby uwzględniła przedsiębiorczość w przyszłej strategii na rzecz wiedzy finansowej oraz w zestawie narzędzi dla państw członkowskich mającym poprawić koordynację w tym zakresie;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12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podkreśla potrzebę wyeliminowania istniejącego preferencyjnego traktowania zadłużenia w systemie opodatkowania osób prawnych, które intensyfikuje efekt dźwigni i zachęca do stosowania złożonych instrumentów finansowych, zwiększając ryzyko systemowe na rynkach kapitałowych;</w:t>
            </w:r>
            <w:r>
              <w:t xml:space="preserve"> </w:t>
            </w:r>
            <w:r>
              <w:rPr>
                <w:b/>
                <w:i/>
              </w:rPr>
              <w:t>uważa, że należy zająć się takimi zakłóceniami podatkowymi, ograniczając możliwość odliczenia odsetek od podatku, zamiast wprowadzać nowe odliczenia kosztów kapitału od podatku od osób prawnych, co doprowadziłoby do większych strat w dochodach z podatku dochodowego od od osób prawnych bez rzeczywistego wpływu na tworzenie wartości;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12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zdecydowanie podkreśla, że ukierunkowane ulgi podatkowe są kluczowym narzędziem wspierania rozwoju, konkurencyjności i wzrostu małych i średnich przedsiębiorstw oraz przedsiębiorstw scale-up;</w:t>
            </w:r>
            <w:r>
              <w:t xml:space="preserve"> </w:t>
            </w:r>
            <w:r>
              <w:rPr>
                <w:b/>
                <w:i/>
              </w:rPr>
              <w:t>w związku z tym wzywa Komisję, aby wspierała państwa członkowskie we wdrażaniu ustrukturyzowanej i ambitnej polityki braku opodatkowania oraz ulg podatkowych i regulacyjnych w innowacyjnych sektorach o wysokim potencjale wzrostu, a także zachęcała je do tego;</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12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wzywa do opracowania europejskiej strategii wspierającej rozwój spółdzielczych i społecznościowych instytucji finansowych (np. unii kredytowych, banków wzajemnego finansowania) jako kluczowych podmiotów w integracyjnym finansowaniu MŚP oraz z uwagi na ich lepsze przygotowanie do obsługi MŚP dzięki lokalnej wiedzy i mandatom społecznym;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apeluje, by nie wykorzystywać środków publicznych jako dotacji, lecz raczej jako katalizator mobilizujący inwestycje prywatne i zapewniający przedsiębiorstwom dostęp do większych środków prywatnych;</w:t>
            </w:r>
            <w:r>
              <w:t xml:space="preserve"> </w:t>
            </w:r>
            <w:r>
              <w:rPr>
                <w:b/>
                <w:i/>
              </w:rPr>
              <w:t>podkreśla również rolę bodźców podatkowych w tym zakresie;</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apeluje, by nie wykorzystywać środków publicznych jako dotacji, lecz raczej jako katalizator mobilizujący inwestycje prywatne i zapewniający przedsiębiorstwom dostęp do większych środków prywatnych;</w:t>
            </w:r>
            <w:r>
              <w:t xml:space="preserve"> </w:t>
            </w:r>
            <w:r>
              <w:rPr>
                <w:b/>
                <w:i/>
              </w:rPr>
              <w:t>podkreśla również rolę bodźców podatkowych w tym zakresie;</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apeluje, by nie wykorzystywać środków publicznych jako dotacji, lecz raczej jako katalizator mobilizujący inwestycje prywatne i zapewniający przedsiębiorstwom dostęp do większych środków prywatnych;</w:t>
            </w:r>
            <w:r>
              <w:t xml:space="preserve"> </w:t>
            </w:r>
            <w:r>
              <w:rPr>
                <w:b/>
                <w:i/>
              </w:rPr>
              <w:t>podkreśla również rolę bodźców podatkowych w tym zakresie;</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Georgios Aftias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apeluje, by nie wykorzystywać środków publicznych jako dotacji, lecz raczej jako katalizator mobilizujący inwestycje prywatne i zapewniający przedsiębiorstwom dostęp do większych środków prywatnych; podkreśla również rolę bodźców podatkowych w tym zakresie;</w:t>
            </w:r>
          </w:p>
        </w:tc>
        <w:tc>
          <w:tcPr>
            <w:tcW w:w="4876" w:type="dxa"/>
            <w:tcBorders>
              <w:top w:val="nil"/>
              <w:left w:val="nil"/>
              <w:bottom w:val="nil"/>
              <w:right w:val="nil"/>
            </w:tcBorders>
          </w:tcPr>
          <w:p>
            <w:pPr>
              <w:pStyle w:val="Normal6a"/>
            </w:pPr>
            <w:r>
              <w:t>13.</w:t>
            </w:r>
            <w:r>
              <w:tab/>
            </w:r>
            <w:r>
              <w:t xml:space="preserve">apeluje, by nie wykorzystywać środków publicznych jako dotacji, lecz raczej jako katalizator mobilizujący inwestycje prywatne i zapewniający przedsiębiorstwom </w:t>
            </w:r>
            <w:r>
              <w:rPr>
                <w:b/>
                <w:i/>
              </w:rPr>
              <w:t>i mikroprzedsiębiorstwom</w:t>
            </w:r>
            <w:r>
              <w:t xml:space="preserve"> dostęp do większych środków prywatnych; podkreśla również rolę bodźców podatkowych w tym zakresie </w:t>
            </w:r>
            <w:r>
              <w:rPr>
                <w:b/>
                <w:i/>
              </w:rPr>
              <w:t>i wzywa Komisję do dostrzeżenia słabości strukturalnych oraz potrzeby inkluzywnej i sprawiedliwej konkurencyjności w przedsiębiorstwach każdej wielkości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apeluje, by nie wykorzystywać środków publicznych jako dotacji, lecz raczej jako katalizator mobilizujący inwestycje prywatne i zapewniający przedsiębiorstwom dostęp do większych środków prywatnych; podkreśla również rolę bodźców podatkowych w tym zakresie;</w:t>
            </w:r>
          </w:p>
        </w:tc>
        <w:tc>
          <w:tcPr>
            <w:tcW w:w="4876" w:type="dxa"/>
            <w:tcBorders>
              <w:top w:val="nil"/>
              <w:left w:val="nil"/>
              <w:bottom w:val="nil"/>
              <w:right w:val="nil"/>
            </w:tcBorders>
          </w:tcPr>
          <w:p>
            <w:pPr>
              <w:pStyle w:val="Normal6a"/>
            </w:pPr>
            <w:r>
              <w:t>13.</w:t>
            </w:r>
            <w:r>
              <w:tab/>
            </w:r>
            <w:r>
              <w:t xml:space="preserve">apeluje, by nie wykorzystywać środków publicznych jako dotacji, lecz raczej jako katalizator mobilizujący inwestycje prywatne i zapewniający przedsiębiorstwom dostęp do większych środków prywatnych; podkreśla również rolę bodźców podatkowych w tym zakresie; </w:t>
            </w:r>
            <w:r>
              <w:rPr>
                <w:b/>
                <w:i/>
              </w:rPr>
              <w:t>uważa, że większość inwestycji powinna pochodzić z sektora prywatnego;</w:t>
            </w:r>
            <w:r>
              <w:t xml:space="preserve"> </w:t>
            </w:r>
            <w:r>
              <w:rPr>
                <w:b/>
                <w:i/>
              </w:rPr>
              <w:t>podkreśla, że wymaga to stabilnych i atrakcyjnych ram podatkowych i regulacyjnych dla inwestorów profesjonalnych i detalicznych;</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apeluje, by nie wykorzystywać środków publicznych jako dotacji, lecz raczej jako katalizator mobilizujący inwestycje prywatne i zapewniający przedsiębiorstwom dostęp do większych środków prywatnych; podkreśla </w:t>
            </w:r>
            <w:r>
              <w:rPr>
                <w:b/>
                <w:i/>
              </w:rPr>
              <w:t>również rolę bodźców podatkowych w tym zakresie</w:t>
            </w:r>
            <w:r>
              <w:t>;</w:t>
            </w:r>
          </w:p>
        </w:tc>
        <w:tc>
          <w:tcPr>
            <w:tcW w:w="4876" w:type="dxa"/>
            <w:tcBorders>
              <w:top w:val="nil"/>
              <w:left w:val="nil"/>
              <w:bottom w:val="nil"/>
              <w:right w:val="nil"/>
            </w:tcBorders>
          </w:tcPr>
          <w:p>
            <w:pPr>
              <w:pStyle w:val="Normal6a"/>
            </w:pPr>
            <w:r>
              <w:t>13.</w:t>
            </w:r>
            <w:r>
              <w:tab/>
            </w:r>
            <w:r>
              <w:t xml:space="preserve">apeluje, by nie wykorzystywać środków publicznych jako dotacji, lecz raczej jako katalizator mobilizujący inwestycje prywatne i zapewniający przedsiębiorstwom dostęp do większych środków prywatnych; podkreśla </w:t>
            </w:r>
            <w:r>
              <w:rPr>
                <w:b/>
                <w:i/>
              </w:rPr>
              <w:t>rolę instrumentów gwarancyjnych w wykorzystywaniu ograniczonych środków publicznych do stymulowania inwestycji sektora prywatnego, co pozwala zmniejszyć ryzyko dla inwestorów prywatnych i zachęca do większego udziału w finansowaniu MŚP</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apeluje, by nie wykorzystywać środków publicznych jako dotacji, lecz raczej jako katalizator mobilizujący inwestycje prywatne i zapewniający przedsiębiorstwom dostęp do większych środków prywatnych; podkreśla </w:t>
            </w:r>
            <w:r>
              <w:rPr>
                <w:b/>
                <w:i/>
              </w:rPr>
              <w:t>również</w:t>
            </w:r>
            <w:r>
              <w:t xml:space="preserve"> rolę bodźców podatkowych w tym zakresie;</w:t>
            </w:r>
          </w:p>
        </w:tc>
        <w:tc>
          <w:tcPr>
            <w:tcW w:w="4876" w:type="dxa"/>
            <w:tcBorders>
              <w:top w:val="nil"/>
              <w:left w:val="nil"/>
              <w:bottom w:val="nil"/>
              <w:right w:val="nil"/>
            </w:tcBorders>
          </w:tcPr>
          <w:p>
            <w:pPr>
              <w:pStyle w:val="Normal6a"/>
            </w:pPr>
            <w:r>
              <w:t>13.</w:t>
            </w:r>
            <w:r>
              <w:tab/>
            </w:r>
            <w:r>
              <w:t xml:space="preserve">apeluje, by nie wykorzystywać środków publicznych jako dotacji, lecz raczej jako katalizator mobilizujący inwestycje prywatne i zapewniający przedsiębiorstwom dostęp do większych środków prywatnych; podkreśla </w:t>
            </w:r>
            <w:r>
              <w:rPr>
                <w:b/>
                <w:i/>
              </w:rPr>
              <w:t>znaczenie wykorzystywania instrumentów publicznych, takich jak gwarancje, inwestycje kapitałowe i finansowanie mieszane, aby zmaksymalizować mobilizację kapitału prywatnego;</w:t>
            </w:r>
            <w:r>
              <w:t xml:space="preserve"> </w:t>
            </w:r>
            <w:r>
              <w:rPr>
                <w:b/>
                <w:i/>
              </w:rPr>
              <w:t>podkreśla kluczową</w:t>
            </w:r>
            <w:r>
              <w:t xml:space="preserve"> rolę bodźców podatkowych w tym zakresie;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apeluje, by nie wykorzystywać środków publicznych jako dotacji, lecz raczej jako katalizator mobilizujący inwestycje prywatne i zapewniający przedsiębiorstwom dostęp do większych środków prywatnych; podkreśla również rolę bodźców podatkowych w tym zakresie;</w:t>
            </w:r>
          </w:p>
        </w:tc>
        <w:tc>
          <w:tcPr>
            <w:tcW w:w="4876" w:type="dxa"/>
            <w:tcBorders>
              <w:top w:val="nil"/>
              <w:left w:val="nil"/>
              <w:bottom w:val="nil"/>
              <w:right w:val="nil"/>
            </w:tcBorders>
          </w:tcPr>
          <w:p>
            <w:pPr>
              <w:pStyle w:val="Normal6a"/>
            </w:pPr>
            <w:r>
              <w:t>13.</w:t>
            </w:r>
            <w:r>
              <w:tab/>
            </w:r>
            <w:r>
              <w:t xml:space="preserve">apeluje, by nie wykorzystywać środków publicznych jako dotacji, lecz raczej jako katalizator mobilizujący inwestycje prywatne i zapewniający przedsiębiorstwom dostęp do większych środków prywatnych; podkreśla również </w:t>
            </w:r>
            <w:r>
              <w:rPr>
                <w:b/>
                <w:i/>
              </w:rPr>
              <w:t>pozytywną</w:t>
            </w:r>
            <w:r>
              <w:t xml:space="preserve"> rolę bodźców podatkowych w tym zakresie;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apeluje, by </w:t>
            </w:r>
            <w:r>
              <w:rPr>
                <w:b/>
                <w:i/>
              </w:rPr>
              <w:t>nie</w:t>
            </w:r>
            <w:r>
              <w:t xml:space="preserve"> wykorzystywać </w:t>
            </w:r>
            <w:r>
              <w:rPr>
                <w:b/>
                <w:i/>
              </w:rPr>
              <w:t>środków publicznych jako dotacji, lecz raczej</w:t>
            </w:r>
            <w:r>
              <w:t xml:space="preserve"> jako katalizator mobilizujący inwestycje prywatne i zapewniający przedsiębiorstwom dostęp do większych środków prywatnych</w:t>
            </w:r>
            <w:r>
              <w:rPr>
                <w:b/>
                <w:i/>
              </w:rPr>
              <w:t>;</w:t>
            </w:r>
            <w:r>
              <w:t xml:space="preserve"> podkreśla </w:t>
            </w:r>
            <w:r>
              <w:rPr>
                <w:b/>
                <w:i/>
              </w:rPr>
              <w:t>również</w:t>
            </w:r>
            <w:r>
              <w:t xml:space="preserve"> rolę bodźców podatkowych w tym zakresie;</w:t>
            </w:r>
          </w:p>
        </w:tc>
        <w:tc>
          <w:tcPr>
            <w:tcW w:w="4876" w:type="dxa"/>
            <w:tcBorders>
              <w:top w:val="nil"/>
              <w:left w:val="nil"/>
              <w:bottom w:val="nil"/>
              <w:right w:val="nil"/>
            </w:tcBorders>
          </w:tcPr>
          <w:p>
            <w:pPr>
              <w:pStyle w:val="Normal6a"/>
            </w:pPr>
            <w:r>
              <w:t>13.</w:t>
            </w:r>
            <w:r>
              <w:tab/>
            </w:r>
            <w:r>
              <w:t xml:space="preserve">apeluje, by wykorzystywać </w:t>
            </w:r>
            <w:r>
              <w:rPr>
                <w:b/>
                <w:i/>
              </w:rPr>
              <w:t>środki publiczne</w:t>
            </w:r>
            <w:r>
              <w:t xml:space="preserve"> jako katalizator mobilizujący inwestycje prywatne i zapewniający przedsiębiorstwom dostęp do większych środków prywatnych</w:t>
            </w:r>
            <w:r>
              <w:rPr>
                <w:b/>
                <w:i/>
              </w:rPr>
              <w:t>, oraz</w:t>
            </w:r>
            <w:r>
              <w:t xml:space="preserve"> podkreśla rolę bodźców podatkowych w tym zakresie;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Georgios Aftias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13 – akapit 1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 xml:space="preserve"> </w:t>
            </w:r>
            <w:r>
              <w:rPr>
                <w:b/>
                <w:i/>
              </w:rPr>
              <w:t>apeluje do Komisji, aby przeanalizowała możliwość ustanowienia stałego mechanizmu wspierania płynności dla MŚP, wzorowanego na skutecznych środkach tymczasowych, takich jak zaliczki zwrotne, które przyniosły znaczące rezultaty podczas ostatnich kryzysów dzięki ominięciu barier w tradycyjnym systemie bankowym;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Jorge Martín Frías, Enikő Győri, Tomáš Kubín,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13 – akapit 1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wzywa Komisję do uwzględnienia rolnictwa i motoryzacji wśród sektorów priorytetowych określonych w strategii na rzecz przedsiębiorstw start-up i scale-up;</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13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podkreśla potrzebę ochrony i promowania dostępu przedsiębiorstw typu start-up i przedsiębiorstw scale-up do procedur zamówień publicznych, na przykład w odniesieniu do transformacji cyfrowej administracji publicznej, aby wspierać tworzenie dynamicznego i konkurencyjnego europejskiego sektora cyfrowego;</w:t>
            </w:r>
            <w:r>
              <w:t xml:space="preserve"> </w:t>
            </w:r>
            <w:r>
              <w:rPr>
                <w:b/>
                <w:i/>
              </w:rPr>
              <w:t>w tym kontekście apeluje o udzielanie co najmniej 10 % zamówień publicznych związanych z unią cyfrową przedsiębiorstwom typu start-up i przedsiębiorstwom scale-up;</w:t>
            </w:r>
            <w:r>
              <w:t xml:space="preserve"> </w:t>
            </w:r>
            <w:r>
              <w:rPr>
                <w:b/>
                <w:i/>
              </w:rPr>
              <w:t>w świetle wysiłków na rzecz europejskiej autonomii strategicznej popiera działania na rzecz osiągnięcia suwerenności technologicznej;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13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zwraca uwagę, że sektor publiczny może skutecznie odgrywać rolę katalizatora w mobilizowaniu kapitału prywatnego, zwłaszcza w sektorach o wysokiej asymetrii informacyjnej lub w regionach, gdzie rynki finansowe dopiero powstają;</w:t>
            </w:r>
            <w:r>
              <w:t xml:space="preserve"> </w:t>
            </w:r>
            <w:r>
              <w:rPr>
                <w:b/>
                <w:i/>
              </w:rPr>
              <w:t>wzywa do opracowania instrumentów publicznych w oparciu o kryteria skuteczności, neutralności konkurencyjnej i oddziaływania, co maksymalizuje efekt dźwigni dla inwestycji prywatnych;</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13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podkreśla, że należy w pełni wykorzystać potencjał Grupy Europejskiego Banku Inwestycyjnego (EBI), aby przyciągnąć inwestycje prywatne i wypełnić lukę inwestycyjną Europy we wszystkich obszarach priorytetowych, od dekarbonizacji po obronność;</w:t>
            </w:r>
            <w:r>
              <w:t xml:space="preserve"> </w:t>
            </w:r>
            <w:r>
              <w:rPr>
                <w:b/>
                <w:i/>
              </w:rPr>
              <w:t>zwraca się do EBI o przeznaczenie większych zasobów na projekty MŚP dotyczące innowacji, przedsiębiorstw typu start-up i przedsiębiorstw scale-up;</w:t>
            </w:r>
            <w:r>
              <w:t xml:space="preserve"> </w:t>
            </w:r>
            <w:r>
              <w:rPr>
                <w:b/>
                <w:i/>
              </w:rPr>
              <w:t>ubolewa nad brakiem konkretnych propozycji w tej dziedzinie;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13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podkreśla znaczenie szerszego wykorzystania odnawialnych instrumentów finansowych współfinansowanych z Europejskiego Funduszu Rozwoju Regionalnego jako trwałego i skutecznego sposobu eliminowania utrzymujących się luk w finansowaniu MŚP, zwłaszcza w regionach o ograniczonej dostępności kredytów;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13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wzywa Komisję i państwa członkowskie do skutecznego zwalczania unikania opodatkowania, uchylania się od opodatkowania i szkodliwych praktyk podatkowych przez wprowadzenie, między innymi, międzynarodowego minimalnego podatku od osób prawnych w wysokości 25 %;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Pascal Canfin, Stéphanie Yon-Courtin, Billy Kelleher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13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wzywa Komisję Europejską, aby w zbliżającym się przeglądzie długoterminowego budżetu UE przeznaczyła znaczne środki na ograniczenie ryzyka inwestycji prywatnych dokonywanych przez inwestorów instytucjonalnych w obszarze innowacyjnych technologii;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w imieniu grupy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13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zwraca uwagę, że koszty pożyczek w całej UE są bardzo zróżnicowane, co jest niekorzystne dla MŚP w niektórych państwach członkowskich;</w:t>
            </w:r>
            <w:r>
              <w:t xml:space="preserve"> </w:t>
            </w:r>
            <w:r>
              <w:rPr>
                <w:b/>
                <w:i/>
              </w:rPr>
              <w:t>apeluje do Komisji, aby przeanalizowała dostępne możliwości rozwiązania tego problemu;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13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przypomina, że strukturalne uprzywilejowanie zadłużenia szkodzi wzrostowi opartemu na innowacjach i ogranicza odporność finansową przedsiębiorstw;</w:t>
            </w:r>
            <w:r>
              <w:t xml:space="preserve"> </w:t>
            </w:r>
            <w:r>
              <w:rPr>
                <w:b/>
                <w:i/>
              </w:rPr>
              <w:t>uważa, że konieczne jest wznowienie debaty na temat odliczenia podatkowego od kapitału własnego w celu zapewnienia lepszej równowagi fiskalnej między długiem a kapitałem własnym;</w:t>
            </w:r>
            <w:r>
              <w:t xml:space="preserve"> </w:t>
            </w:r>
            <w:r>
              <w:rPr>
                <w:b/>
                <w:i/>
              </w:rPr>
              <w:t>podkreśla, że koszt kapitału własnego jest znacznie wyższy niż koszt zadłużenia oraz że obecny system podatkowy wzmacnia tę tendencję;</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w imieniu grupy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13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ubolewa nad nadmierną ekspozycją banków na dług państwowy, co jest szkodliwe dla pożyczkobiorców, w tym MŚP;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Śródtytuł 3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wypełnienie luki w finansowaniu dla MŚP, przedsiębiorstw scale-up i przedsiębiorstw typu start-up;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w:t>
            </w:r>
            <w:r>
              <w:tab/>
            </w:r>
            <w:r>
              <w:rPr>
                <w:b/>
                <w:i/>
              </w:rPr>
              <w:t>apeluje do Komisji, aby zastosowała elastyczne podejście do wdrażania wymogów pakietu Bazylea III w celu zapewnienia większej liczby pożyczek dla MŚP i przedsiębiorstw scale-up;</w:t>
            </w:r>
            <w:r>
              <w:t xml:space="preserve"> </w:t>
            </w:r>
            <w:r>
              <w:rPr>
                <w:b/>
                <w:i/>
              </w:rPr>
              <w:t>zauważa, że odpowiednia elastyczność mogłaby odblokować zdolność finansowania i zwiększyć konkurencyjność w tym zakresie względem innych jurysdykcji;</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Anouk Van Brug, Billy Kelleher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w:t>
            </w:r>
            <w:r>
              <w:tab/>
            </w:r>
            <w:r>
              <w:rPr>
                <w:b/>
                <w:i/>
              </w:rPr>
              <w:t>apeluje do Komisji, aby zastosowała elastyczne podejście do wdrażania wymogów pakietu Bazylea III w celu zapewnienia większej liczby pożyczek dla MŚP i przedsiębiorstw scale-up;</w:t>
            </w:r>
            <w:r>
              <w:t xml:space="preserve"> </w:t>
            </w:r>
            <w:r>
              <w:rPr>
                <w:b/>
                <w:i/>
              </w:rPr>
              <w:t>zauważa, że odpowiednia elastyczność mogłaby odblokować zdolność finansowania i zwiększyć konkurencyjność w tym zakresie względem innych jurysdykcji;</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w:t>
            </w:r>
            <w:r>
              <w:tab/>
            </w:r>
            <w:r>
              <w:rPr>
                <w:b/>
                <w:i/>
              </w:rPr>
              <w:t>apeluje do Komisji, aby zastosowała elastyczne podejście do wdrażania wymogów pakietu Bazylea III w celu zapewnienia większej liczby pożyczek dla MŚP i przedsiębiorstw scale-up;</w:t>
            </w:r>
            <w:r>
              <w:t xml:space="preserve"> </w:t>
            </w:r>
            <w:r>
              <w:rPr>
                <w:b/>
                <w:i/>
              </w:rPr>
              <w:t>zauważa, że odpowiednia elastyczność mogłaby odblokować zdolność finansowania i zwiększyć konkurencyjność w tym zakresie względem innych jurysdykcji;</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w:t>
            </w:r>
            <w:r>
              <w:tab/>
            </w:r>
            <w:r>
              <w:rPr>
                <w:b/>
                <w:i/>
              </w:rPr>
              <w:t>apeluje do Komisji, aby zastosowała elastyczne podejście do wdrażania wymogów pakietu Bazylea III w celu zapewnienia większej liczby pożyczek dla MŚP i przedsiębiorstw scale-up;</w:t>
            </w:r>
            <w:r>
              <w:t xml:space="preserve"> </w:t>
            </w:r>
            <w:r>
              <w:rPr>
                <w:b/>
                <w:i/>
              </w:rPr>
              <w:t>zauważa, że odpowiednia elastyczność mogłaby odblokować zdolność finansowania i zwiększyć konkurencyjność w tym zakresie względem innych jurysdykcji;</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w:t>
            </w:r>
            <w:r>
              <w:tab/>
            </w:r>
            <w:r>
              <w:rPr>
                <w:b/>
                <w:i/>
              </w:rPr>
              <w:t>apeluje do Komisji, aby zastosowała elastyczne podejście do wdrażania wymogów pakietu Bazylea III w celu zapewnienia większej liczby pożyczek dla MŚP i przedsiębiorstw scale-up;</w:t>
            </w:r>
            <w:r>
              <w:t xml:space="preserve"> </w:t>
            </w:r>
            <w:r>
              <w:rPr>
                <w:b/>
                <w:i/>
              </w:rPr>
              <w:t>zauważa, że odpowiednia elastyczność mogłaby odblokować zdolność finansowania i zwiększyć konkurencyjność w tym zakresie względem innych jurysdykcji;</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apeluje do Komisji, aby zastosowała elastyczne podejście do wdrażania wymogów pakietu Bazylea III w celu zapewnienia większej liczby pożyczek dla MŚP i przedsiębiorstw scale-up; zauważa, że odpowiednia elastyczność mogłaby odblokować zdolność finansowania i zwiększyć konkurencyjność w tym zakresie względem innych jurysdykcji;</w:t>
            </w:r>
          </w:p>
        </w:tc>
        <w:tc>
          <w:tcPr>
            <w:tcW w:w="4876" w:type="dxa"/>
            <w:tcBorders>
              <w:top w:val="nil"/>
              <w:left w:val="nil"/>
              <w:bottom w:val="nil"/>
              <w:right w:val="nil"/>
            </w:tcBorders>
          </w:tcPr>
          <w:p>
            <w:pPr>
              <w:pStyle w:val="Normal6a"/>
            </w:pPr>
            <w:r>
              <w:t>14.</w:t>
            </w:r>
            <w:r>
              <w:tab/>
            </w:r>
            <w:r>
              <w:t xml:space="preserve">apeluje do Komisji, aby zastosowała elastyczne podejście do wdrażania wymogów pakietu Bazylea III w celu zapewnienia większej liczby pożyczek dla MŚP i przedsiębiorstw scale-up; zauważa, że odpowiednia elastyczność mogłaby odblokować zdolność finansowania i zwiększyć konkurencyjność w tym zakresie względem innych jurysdykcji; </w:t>
            </w:r>
            <w:r>
              <w:rPr>
                <w:b/>
                <w:i/>
              </w:rPr>
              <w:t>podkreśla, że przepisy wykonawcze Bazylea III zawierają pewne elementy, takie jak niekorzystne traktowanie przedsiębiorstw bez ratingu, które mogłyby znacznie zwiększyć koszty finansowania dla małych i średnich przedsiębiorstw;</w:t>
            </w:r>
            <w:r>
              <w:t xml:space="preserve"> </w:t>
            </w:r>
            <w:r>
              <w:rPr>
                <w:b/>
                <w:i/>
              </w:rPr>
              <w:t>zwraca uwagę, że czas uzyskany dzięki systemowi przejściowemu dla przedsiębiorstw bez ratingu należy wykorzystać do znalezienia bardziej trwałych rozwiązań;</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Georgios Aftias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apeluje do Komisji, aby zastosowała elastyczne podejście do wdrażania wymogów pakietu Bazylea III w celu zapewnienia większej liczby pożyczek dla MŚP i przedsiębiorstw scale-up; zauważa, że odpowiednia elastyczność mogłaby odblokować zdolność finansowania i zwiększyć konkurencyjność w tym zakresie względem innych jurysdykcji;</w:t>
            </w:r>
          </w:p>
        </w:tc>
        <w:tc>
          <w:tcPr>
            <w:tcW w:w="4876" w:type="dxa"/>
            <w:tcBorders>
              <w:top w:val="nil"/>
              <w:left w:val="nil"/>
              <w:bottom w:val="nil"/>
              <w:right w:val="nil"/>
            </w:tcBorders>
          </w:tcPr>
          <w:p>
            <w:pPr>
              <w:pStyle w:val="Normal6a"/>
            </w:pPr>
            <w:r>
              <w:t>14.</w:t>
            </w:r>
            <w:r>
              <w:tab/>
            </w:r>
            <w:r>
              <w:t xml:space="preserve">apeluje do Komisji, aby zastosowała elastyczne podejście do wdrażania wymogów pakietu Bazylea III w celu zapewnienia większej liczby pożyczek dla MŚP i przedsiębiorstw scale-up; zauważa, że odpowiednia elastyczność mogłaby odblokować zdolność finansowania i zwiększyć konkurencyjność w tym zakresie względem innych jurysdykcji; </w:t>
            </w:r>
            <w:r>
              <w:rPr>
                <w:b/>
                <w:i/>
              </w:rPr>
              <w:t>w tym celu zachęca do ustanowienia innowacyjnych modeli finansowania dostosowanych do mikroprzedsiębiorstw, takich jak mechanizmy kredytowe oparte na historii transakcji i działalności handlowej w punktach sprzedaży, aby zwiększyć dostęp do kredytów dla przedsiębiorstw bez tradycyjnych profili kredytowych lub zabezpieczeń;</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Gilles Boyer, Billy Kelleher, Stéphanie Yon-Courtin, Pascal Canfin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rPr>
                <w:b/>
                <w:i/>
              </w:rPr>
              <w:t>apeluje do Komisji, aby zastosowała elastyczne podejście do wdrażania wymogów pakietu</w:t>
            </w:r>
            <w:r>
              <w:t xml:space="preserve"> Bazylea III </w:t>
            </w:r>
            <w:r>
              <w:rPr>
                <w:b/>
                <w:i/>
              </w:rPr>
              <w:t>w celu zapewnienia większej liczby pożyczek dla MŚP i przedsiębiorstw scale-up;</w:t>
            </w:r>
            <w:r>
              <w:t xml:space="preserve"> </w:t>
            </w:r>
            <w:r>
              <w:rPr>
                <w:b/>
                <w:i/>
              </w:rPr>
              <w:t>zauważa, że odpowiednia elastyczność mogłaby odblokować zdolność finansowania i zwiększyć</w:t>
            </w:r>
            <w:r>
              <w:t xml:space="preserve"> konkurencyjność </w:t>
            </w:r>
            <w:r>
              <w:rPr>
                <w:b/>
                <w:i/>
              </w:rPr>
              <w:t>w tym zakresie względem innych jurysdykcji</w:t>
            </w:r>
            <w:r>
              <w:t>;</w:t>
            </w:r>
          </w:p>
        </w:tc>
        <w:tc>
          <w:tcPr>
            <w:tcW w:w="4876" w:type="dxa"/>
            <w:tcBorders>
              <w:top w:val="nil"/>
              <w:left w:val="nil"/>
              <w:bottom w:val="nil"/>
              <w:right w:val="nil"/>
            </w:tcBorders>
          </w:tcPr>
          <w:p>
            <w:pPr>
              <w:pStyle w:val="Normal6a"/>
            </w:pPr>
            <w:r>
              <w:t>14.</w:t>
            </w:r>
            <w:r>
              <w:tab/>
            </w:r>
            <w:r>
              <w:rPr>
                <w:b/>
                <w:i/>
              </w:rPr>
              <w:t>przypomina o wdrożeniu ram</w:t>
            </w:r>
            <w:r>
              <w:t xml:space="preserve"> Bazylea III </w:t>
            </w:r>
            <w:r>
              <w:rPr>
                <w:b/>
                <w:i/>
              </w:rPr>
              <w:t>za pomocą odpowiednich przepisów UE;</w:t>
            </w:r>
            <w:r>
              <w:t xml:space="preserve"> </w:t>
            </w:r>
            <w:r>
              <w:rPr>
                <w:b/>
                <w:i/>
              </w:rPr>
              <w:t>podkreśla kluczową rolę, jaką odegra to w dalszym zwiększaniu odporności banków UE i przyczynianiu się do stabilności finansowej;</w:t>
            </w:r>
            <w:r>
              <w:t xml:space="preserve"> </w:t>
            </w:r>
            <w:r>
              <w:rPr>
                <w:b/>
                <w:i/>
              </w:rPr>
              <w:t>podkreśla, że należy zagwarantować globalną</w:t>
            </w:r>
            <w:r>
              <w:t xml:space="preserve"> konkurencyjność </w:t>
            </w:r>
            <w:r>
              <w:rPr>
                <w:b/>
                <w:i/>
              </w:rPr>
              <w:t>banków UE i zapewnić równe warunki działania na szczeblu międzynarodowym, aby umożliwić europejskim bankom dalsze finansowanie europejskich MŚP</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apeluje do Komisji</w:t>
            </w:r>
            <w:r>
              <w:rPr>
                <w:b/>
                <w:i/>
              </w:rPr>
              <w:t>, aby zastosowała elastyczne podejście do wdrażania wymogów pakietu</w:t>
            </w:r>
            <w:r>
              <w:t xml:space="preserve"> Bazylea III w </w:t>
            </w:r>
            <w:r>
              <w:rPr>
                <w:b/>
                <w:i/>
              </w:rPr>
              <w:t>celu zapewnienia większej liczby pożyczek dla MŚP i przedsiębiorstw scale-up;</w:t>
            </w:r>
            <w:r>
              <w:t xml:space="preserve"> </w:t>
            </w:r>
            <w:r>
              <w:rPr>
                <w:b/>
                <w:i/>
              </w:rPr>
              <w:t>zauważa, że odpowiednia elastyczność mogłaby odblokować zdolność finansowania i zwiększyć konkurencyjność w tym zakresie względem innych jurysdykcji</w:t>
            </w:r>
            <w:r>
              <w:t>;</w:t>
            </w:r>
          </w:p>
        </w:tc>
        <w:tc>
          <w:tcPr>
            <w:tcW w:w="4876" w:type="dxa"/>
            <w:tcBorders>
              <w:top w:val="nil"/>
              <w:left w:val="nil"/>
              <w:bottom w:val="nil"/>
              <w:right w:val="nil"/>
            </w:tcBorders>
          </w:tcPr>
          <w:p>
            <w:pPr>
              <w:pStyle w:val="Normal6a"/>
            </w:pPr>
            <w:r>
              <w:t>14.</w:t>
            </w:r>
            <w:r>
              <w:tab/>
            </w:r>
            <w:r>
              <w:t xml:space="preserve">apeluje do Komisji </w:t>
            </w:r>
            <w:r>
              <w:rPr>
                <w:b/>
                <w:i/>
              </w:rPr>
              <w:t>i państw członkowskich UE, aby zagwarantowały pełne i terminowe wdrożenie standardów</w:t>
            </w:r>
            <w:r>
              <w:t xml:space="preserve"> Bazylea III w </w:t>
            </w:r>
            <w:r>
              <w:rPr>
                <w:b/>
                <w:i/>
              </w:rPr>
              <w:t>formie przyjętej przez współprawodawców oraz aby odrzucały próby osłabienia obowiązujących przepisów lub rozpoczęcia międzynarodowego równania w dół;</w:t>
            </w:r>
            <w:r>
              <w:t xml:space="preserve"> </w:t>
            </w:r>
            <w:r>
              <w:rPr>
                <w:b/>
                <w:i/>
              </w:rPr>
              <w:t>przypomina, że dobrze skapitalizowane banki pod odpowiednim nadzorem mają kluczowe znaczenie dla stabilnego i zrównoważonego krajobrazu finansowego, a tym samym dla ochrony europejskich konsumentów i konkurencyjności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14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przyznaje, że kredyty bankowe pozostają głównym zewnętrznym źródłem finansowania MŚP w Unii;</w:t>
            </w:r>
            <w:r>
              <w:t xml:space="preserve"> </w:t>
            </w:r>
            <w:r>
              <w:rPr>
                <w:b/>
                <w:i/>
              </w:rPr>
              <w:t>podkreśla kluczową rolę w tym zakresie tradycyjnych modeli bankowości, w tym małych banków regionalnych, banków oszczędnościowych, banków spółdzielczych i instytucji publicznych;</w:t>
            </w:r>
            <w:r>
              <w:t xml:space="preserve"> </w:t>
            </w:r>
            <w:r>
              <w:rPr>
                <w:b/>
                <w:i/>
              </w:rPr>
              <w:t>podkreśla, że banki dysponujące głęboką wiedzą fachową na szczeblu regionalnym i lokalnym często zapewniają MŚP najskuteczniejsze wsparcie dzięki długotrwałym relacjom;</w:t>
            </w:r>
            <w:r>
              <w:t xml:space="preserve"> </w:t>
            </w:r>
            <w:r>
              <w:rPr>
                <w:b/>
                <w:i/>
              </w:rPr>
              <w:t>zauważa, że takie małe i lokalne banki stoją w obliczu innych wyzwań niż większe instytucje;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14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przypomina, że pozabankowe źródła finansowania MŚP, takie jak kapitał wysokiego ryzyka i prywatne fundusze dłużne, są atrakcyjnym alternatywnym źródłem finansowania;</w:t>
            </w:r>
            <w:r>
              <w:t xml:space="preserve"> </w:t>
            </w:r>
            <w:r>
              <w:rPr>
                <w:b/>
                <w:i/>
              </w:rPr>
              <w:t>wzywa Komisję do zbadania regulacyjnych środków w zakresie proporcjonalności w tym obszarze, które ułatwią rozwój wyspecjalizowanych podmiotów dostosowanych do potrzeb finansowych MŚP;</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14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apeluje do Komisji, aby ustanowiła ogólnoeuropejski system porad kredytowych dla MŚP i innowacyjnych przedsiębiorstw typu start-up;</w:t>
            </w:r>
            <w:r>
              <w:t xml:space="preserve"> </w:t>
            </w:r>
            <w:r>
              <w:rPr>
                <w:b/>
                <w:i/>
              </w:rPr>
              <w:t>proponuje włączenie tego systemu do obecnego europejskiego pojedynczego punktu dostępu (ESAP), przez który MŚP mogą przesyłać swoje istotne dane finansowe i niefinansowe do wiadomości potencjalnych inwestorów;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14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zaleca wzmocnienie krajowych i unijnych systemów gwarancji publicznych oraz dostosowanych do potrzeb instrumentów kredytowych, aby poprawić dostęp rentownych MŚP do kredytów, zwłaszcza w przypadkach, gdy restrykcyjne profile ryzyka lub ograniczone zasoby krajowe zmniejszają możliwości finansowania;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14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wzywa Komisję i państwa członkowskie do zagwarantowania, że środki finansowe dla przedsiębiorstw będą przyznawane wyłącznie pod warunkiem poszanowania i wzmocnienia norm środowiskowych i praw pracowniczych, w tym przez wzmocnienie praw do rokowań zbiorowych i uczestnictwa;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14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wzywa Komisję, by ułatwiła notowanie przedsiębiorstw scale-up na europejskich giełdach, w tym przez harmonizację standardów sprawozdawczości, wymogów dotyczących notowania i zasad ujawniania informacji w przypadku notowania spółek o małej kapitalizacji i notowania segmentu Entry Standard;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14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zauważa, że wiele wymogów regulacyjnych dotyczących banków może mieć negatywny wpływ na udzielanie pożyczek MŚP;</w:t>
            </w:r>
            <w:r>
              <w:t xml:space="preserve"> </w:t>
            </w:r>
            <w:r>
              <w:rPr>
                <w:b/>
                <w:i/>
              </w:rPr>
              <w:t>podkreśla, że należy unikać podwójnych wymogów sprawozdawczych i wielu kanałów sprawozdawczych, które nakładają niepotrzebne obciążenia administracyjne, zwłaszcza na mniejsze banki;</w:t>
            </w:r>
            <w:r>
              <w:t xml:space="preserve"> </w:t>
            </w:r>
            <w:r>
              <w:rPr>
                <w:b/>
                <w:i/>
              </w:rPr>
              <w:t>wzywa Komisję, aby z pomocą Europejskiego Urzędu Nadzoru Bankowego i Jednolitego Mechanizmu Nadzorczego oceniła wpływ obecnych przepisów regulacyjnych na udzielanie pożyczek MŚP;</w:t>
            </w:r>
            <w:r>
              <w:t xml:space="preserve"> </w:t>
            </w:r>
            <w:r>
              <w:rPr>
                <w:b/>
                <w:i/>
              </w:rPr>
              <w:t>podkreśla konieczność stosowania zasady proporcjonalności w regulacji sektora bankowego;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14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uważa, że przestrzeganie wymogów ostrożnościowych pakietu Bazylea III ma zasadnicze znaczenie dla stabilności finansowej i zaufania do europejskiego systemu bankowego;</w:t>
            </w:r>
            <w:r>
              <w:t xml:space="preserve"> </w:t>
            </w:r>
            <w:r>
              <w:rPr>
                <w:b/>
                <w:i/>
              </w:rPr>
              <w:t>podkreśla, że wyzwaniem nie powinno być obniżenie standardów, lecz uzupełnienie dostępu do finansowania bankowego solidnym ekosystemem finansowania pozabankowego i rynkowego, który zapewnia odpowiednie alternatywy dla MŚP zgodnie z ich profilem ryzyka;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wzywa Komisję do uelastycznienia ram regulacyjnych dotyczących sekurytyzacji, aby instytucje kredytowe mogły zapewnić przedsiębiorstwom dodatkowe finansowanie i wspierać ich wzrost;</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wzywa Komisję do uelastycznienia ram regulacyjnych dotyczących sekurytyzacji, aby instytucje kredytowe mogły zapewnić przedsiębiorstwom dodatkowe finansowanie i wspierać ich wzrost;</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wzywa Komisję do uelastycznienia ram regulacyjnych dotyczących sekurytyzacji, aby instytucje kredytowe mogły zapewnić przedsiębiorstwom dodatkowe finansowanie i wspierać ich wzrost;</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wzywa Komisję do uelastycznienia ram regulacyjnych dotyczących sekurytyzacji, aby instytucje kredytowe mogły zapewnić przedsiębiorstwom dodatkowe finansowanie i wspierać ich wzrost;</w:t>
            </w:r>
          </w:p>
        </w:tc>
        <w:tc>
          <w:tcPr>
            <w:tcW w:w="4876" w:type="dxa"/>
            <w:tcBorders>
              <w:top w:val="nil"/>
              <w:left w:val="nil"/>
              <w:bottom w:val="nil"/>
              <w:right w:val="nil"/>
            </w:tcBorders>
          </w:tcPr>
          <w:p>
            <w:pPr>
              <w:pStyle w:val="Normal6a"/>
            </w:pPr>
            <w:r>
              <w:t>15.</w:t>
            </w:r>
            <w:r>
              <w:tab/>
            </w:r>
            <w:r>
              <w:t xml:space="preserve">wzywa Komisję do uelastycznienia ram regulacyjnych dotyczących sekurytyzacji, aby instytucje kredytowe mogły zapewnić przedsiębiorstwom dodatkowe finansowanie i wspierać ich wzrost; </w:t>
            </w:r>
            <w:r>
              <w:rPr>
                <w:b/>
                <w:i/>
              </w:rPr>
              <w:t>uważa, że europejskie ramy regulacyjne dotyczące sekurytyzacji były w ostatnich latach nadmiernie restrykcyjne, niepotrzebnie ograniczając potencjał tego instrumentu jako kanału finansowania przedsiębiorstw;</w:t>
            </w:r>
            <w:r>
              <w:t xml:space="preserve"> </w:t>
            </w:r>
            <w:r>
              <w:rPr>
                <w:b/>
                <w:i/>
              </w:rPr>
              <w:t>wzywa Komisję do gruntownego przeglądu dotychczasowego systemu w celu wprowadzenia większej elastyczności regulacyjnej bez uszczerbku dla przejrzystości i jakości kredytowej;</w:t>
            </w:r>
            <w:r>
              <w:t xml:space="preserve"> </w:t>
            </w:r>
            <w:r>
              <w:rPr>
                <w:b/>
                <w:i/>
              </w:rPr>
              <w:t>podkreśla, że dobrze uregulowana, prosta i standardowa sekurytyzacja może uwolnić potencjał pożyczkowy w systemie bankowym i ułatwić MŚP i przedsiębiorstwom typu scale-up dostęp do finansowania, skutecznie uzupełniając bezpośrednie finansowanie rynkowe;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wzywa Komisję do </w:t>
            </w:r>
            <w:r>
              <w:rPr>
                <w:b/>
                <w:i/>
              </w:rPr>
              <w:t>uelastycznienia</w:t>
            </w:r>
            <w:r>
              <w:t xml:space="preserve"> ram regulacyjnych dotyczących sekurytyzacji</w:t>
            </w:r>
            <w:r>
              <w:rPr>
                <w:b/>
                <w:i/>
              </w:rPr>
              <w:t>, aby instytucje kredytowe mogły zapewnić przedsiębiorstwom dodatkowe finansowanie i wspierać ich wzrost</w:t>
            </w:r>
            <w:r>
              <w:t>;</w:t>
            </w:r>
          </w:p>
        </w:tc>
        <w:tc>
          <w:tcPr>
            <w:tcW w:w="4876" w:type="dxa"/>
            <w:tcBorders>
              <w:top w:val="nil"/>
              <w:left w:val="nil"/>
              <w:bottom w:val="nil"/>
              <w:right w:val="nil"/>
            </w:tcBorders>
          </w:tcPr>
          <w:p>
            <w:pPr>
              <w:pStyle w:val="Normal6a"/>
            </w:pPr>
            <w:r>
              <w:t>15.</w:t>
            </w:r>
            <w:r>
              <w:tab/>
            </w:r>
            <w:r>
              <w:t xml:space="preserve">wzywa Komisję do </w:t>
            </w:r>
            <w:r>
              <w:rPr>
                <w:b/>
                <w:i/>
              </w:rPr>
              <w:t>dopilnowania, aby przegląd</w:t>
            </w:r>
            <w:r>
              <w:t xml:space="preserve"> ram regulacyjnych dotyczących sekurytyzacji </w:t>
            </w:r>
            <w:r>
              <w:rPr>
                <w:b/>
                <w:i/>
              </w:rPr>
              <w:t>nie odbywał się kosztem względów stabilności finansowej;</w:t>
            </w:r>
            <w:r>
              <w:t xml:space="preserve"> </w:t>
            </w:r>
            <w:r>
              <w:rPr>
                <w:b/>
                <w:i/>
              </w:rPr>
              <w:t>uważa, że przeglądy powinny mieć ograniczony zakres i nie powinny być czynnością deregulacyjną, która całkowicie osłabiłaby kluczowe wymogi ostrożnościowe i inne zabezpieczenia wprowadzone po światowym kryzysie finansowym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wzywa Komisję do uelastycznienia ram regulacyjnych dotyczących sekurytyzacji, aby instytucje kredytowe mogły zapewnić przedsiębiorstwom dodatkowe finansowanie i wspierać ich wzrost;</w:t>
            </w:r>
          </w:p>
        </w:tc>
        <w:tc>
          <w:tcPr>
            <w:tcW w:w="4876" w:type="dxa"/>
            <w:tcBorders>
              <w:top w:val="nil"/>
              <w:left w:val="nil"/>
              <w:bottom w:val="nil"/>
              <w:right w:val="nil"/>
            </w:tcBorders>
          </w:tcPr>
          <w:p>
            <w:pPr>
              <w:pStyle w:val="Normal6a"/>
            </w:pPr>
            <w:r>
              <w:t>15.</w:t>
            </w:r>
            <w:r>
              <w:tab/>
            </w:r>
            <w:r>
              <w:t xml:space="preserve">wzywa Komisję do uelastycznienia ram regulacyjnych dotyczących sekurytyzacji, aby instytucje kredytowe mogły zapewnić przedsiębiorstwom dodatkowe finansowanie i wspierać ich wzrost; </w:t>
            </w:r>
            <w:r>
              <w:rPr>
                <w:b/>
                <w:i/>
              </w:rPr>
              <w:t>z zadowoleniem przyjmuje zbliżający się przegląd ram sekurytyzacji i wzywa Komisję do zmniejszenia obciążeń wynikających z systemu i szerszego uwzględniania w nim ryzyka;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Gilles Boyer, Billy Kelleher, Stéphanie Yon-Courtin, Pascal Canfin, Anouk Van Brug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wzywa Komisję do uelastycznienia ram regulacyjnych dotyczących sekurytyzacji, aby instytucje kredytowe mogły zapewnić przedsiębiorstwom dodatkowe finansowanie i wspierać ich wzrost</w:t>
            </w:r>
            <w:r>
              <w:t>;</w:t>
            </w:r>
          </w:p>
        </w:tc>
        <w:tc>
          <w:tcPr>
            <w:tcW w:w="4876" w:type="dxa"/>
            <w:tcBorders>
              <w:top w:val="nil"/>
              <w:left w:val="nil"/>
              <w:bottom w:val="nil"/>
              <w:right w:val="nil"/>
            </w:tcBorders>
          </w:tcPr>
          <w:p>
            <w:pPr>
              <w:pStyle w:val="Normal6a"/>
            </w:pPr>
            <w:r>
              <w:t>15.</w:t>
            </w:r>
            <w:r>
              <w:tab/>
            </w:r>
            <w:r>
              <w:rPr>
                <w:b/>
                <w:i/>
              </w:rPr>
              <w:t>podkreśla ważną rolę, jaką sekurytyzacja może odegrać w ułatwianiu finansowania inwestycji, budowania alternatywnych źródeł finansowania dla europejskich przedsiębiorstw, w tym MŚP, w celu ułatwienia ich wzrostu, zwiększania konkurencyjności Europy oraz tworzenia głębokich i dynamicznych europejskich rynków kapitałowych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15 – akapit 1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zauważa, że w raporcie Draghiego jako istotny czynnik ograniczający rozwój rynku kapitałowego wskazano niedostateczny rozwój prefinansowanych publicznych, pracowniczych i prywatnych systemów emerytalnych w państwach członkowskich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spodziewa się, że oczekiwany wniosek Komisji w sprawie sekurytyzacji uprości ramy regulacyjne, aby w pełni wykorzystać możliwości sekurytyzacji;</w:t>
            </w:r>
            <w:r>
              <w:t xml:space="preserve"> </w:t>
            </w:r>
            <w:r>
              <w:rPr>
                <w:b/>
                <w:i/>
              </w:rPr>
              <w:t>stwierdza, że większość zainteresowanych stron w branży postrzega obecne ramy ostrożnościowe jako nadmiernie represyjne i prowadzące do nadmiernej kapitalizacji;</w:t>
            </w:r>
            <w:r>
              <w:t xml:space="preserve"> </w:t>
            </w:r>
            <w:r>
              <w:rPr>
                <w:b/>
                <w:i/>
              </w:rPr>
              <w:t>domaga się podejścia w większym stopniu opartego na analizie ryzyka, które zwiększa wolumen sekurytyzacji, przy jednoczesnym zachowaniu stabilności finansowej i zwiększeniu solidności testów przenoszenia istotnej części ryzyka, zgodnie z zaleceniem Europejskiego Urzędu Nadzoru Bankowego;</w:t>
            </w:r>
            <w:r>
              <w:t xml:space="preserve"> </w:t>
            </w:r>
            <w:r>
              <w:rPr>
                <w:b/>
                <w:i/>
              </w:rPr>
              <w:t>wniosek Komisji powinien poprawić podejście do płynności w odniesieniu do sekurytyzacji w ramach wskaźnika pokrycia wypływów netto, co można osiągnąć w sposób spójny z zaleceniami Europejskich Urzędów Nadzoru i standardami bazylejskimi;</w:t>
            </w:r>
            <w:r>
              <w:t xml:space="preserve"> </w:t>
            </w:r>
            <w:r>
              <w:rPr>
                <w:b/>
                <w:i/>
              </w:rPr>
              <w:t>nowe ramy sekurytyzacji powinny zmniejszyć obciążenie biurokratyczne wynikające z wymogów przejrzystości i należytej staranności;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podkreśla, że rozdrobniona infrastruktura rynkowa stanowi główną przeszkodę dla transgranicznych przepływów kapitałowych i inwestycji, w tym dla finansowania MŚP i przedsiębiorstw scale-up;</w:t>
            </w:r>
            <w:r>
              <w:t xml:space="preserve"> </w:t>
            </w:r>
            <w:r>
              <w:rPr>
                <w:b/>
                <w:i/>
              </w:rPr>
              <w:t>w kontekście unii oszczędności i inwestycji wzywa Komisję do zaproponowania środków wspierających konsolidację infrastruktury transakcyjnej i posttransakcyjnej w Europie;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wspiera Komisję w pracach nad projektem unijnego inwestycyjnego rachunku oszczędnościowego, który powinien obejmować (i) uproszczoną procedurę składania deklaracji podatkowych, (ii) towarzyszące zachęty podatkowe oraz (iii) brak ograniczeń dotyczących geografii, sektora, limitów depozytowych lub minimalnych okresów utrzymywania w odniesieniu do inwestycji;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podkreśla, że UE powinna dążyć do uproszczenia otoczenia biznesowego europejskich przedsiębiorstw dzięki usunięciu zbędnych barier regulacyjnych i stworzeniu ekosystemu ekspansji opartego przede wszystkim na inwestycjach prywatnych, w którym inicjatywa prywatna jest siłą napędową wzrostu;</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Gilles Boyer, Billy Kelleher, Stéphanie Yon-Courtin, Pascal Canfin, Anouk Van Brug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podkreśla, że rozwój europejskiego rynku sekurytyzacji może przyczynić się do zaspokojenia pilnej potrzeby przekształcenia gospodarki Unii z modelu opartego głównie na finansowaniu z bilansów banków w gospodarkę w pełni wykorzystującą potencjał rynków kapitałowych;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wzywa Komisję do szybszej finalizacji w pełni funkcjonującej unii rynków kapitałowych (URK), aby poprawić transgraniczny dostęp MŚP i przedsiębiorstw scale-up do finansowania, zmniejszyć zależność od kapitału spoza UE oraz zwiększyć konkurencyjność i strategiczną autonomię gospodarki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wzywa do szybkiego wdrożenia Funduszu TechEU Scale-up i europejskiego paktu na rzecz inwestycji w innowacje, jak określono w unijnej strategii na rzecz przedsiębiorstw typu start-up i scale-up;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Anouk Van Brug, Billy Kelleher, 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podkreśla, że ukończenie budowy unii rynków kapitałowych idzie w parze z ukończeniem budowy unii bankowej;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Gilles Boyer, Billy Kelleher, Stéphanie Yon-Courtin, Pascal Canfin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15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wzywa Komisję do opublikowania ambitnego i całościowego przeglądu ram sekurytyzacji w II kwartale 2025 r., ze szczególnym uwzględnieniem przeglądu konkretnych wymogów ostrożnościowych, zasad należytej staranności, wymogów sprawozdawczych dotyczących niektórych rodzajów aktywów, spójności prostych, przejrzystych i standardowych kryteriów, a także procesu nadzoru, aby zagwarantować, że sekurytyzacja może odgrywać kluczową rolę w finansowaniu przyszłego europejskiego wzrostu gospodarczego, przy jednoczesnym utrzymaniu bez zmian podstawowych zabezpieczeń wprowadzonych po 2008 r.:</w:t>
            </w:r>
            <w:r>
              <w:t xml:space="preserve"> </w:t>
            </w:r>
            <w:r>
              <w:rPr>
                <w:b/>
                <w:i/>
              </w:rPr>
              <w:t>zakazu resekurytyzacji, zakazu sekurytyzacji bez akceptacji ryzyka, ścisłego nadzoru nad agencjami ratingowymi;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15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docenia kluczową rolę sektora prywatnego we wzroście gospodarczym i dobrobycie Unii Europejskiej;</w:t>
            </w:r>
            <w:r>
              <w:t xml:space="preserve"> </w:t>
            </w:r>
            <w:r>
              <w:rPr>
                <w:b/>
                <w:i/>
              </w:rPr>
              <w:t>podkreśla, że postępy w integracji rynków kapitałowych muszą opierać się na zasadach wolności gospodarczej, konkurencji i pewności prawa;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15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podkreśla potrzebę jasnego, określonego w czasie planu działania na rzecz finalizacji unii rynków kapitałowych, w tym harmonizacji przepisów dotyczących niewypłacalności, uproszczenia zasad notowania MŚP na giełdzie oraz ulepszonych ram ochrony inwestorów;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15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zauważa, że należy zachęcać do zapewniania kapitału podwyższonego ryzyka w modelu biznesowym banków tradycyjnych, przy jednoczesnym zachowaniu stabilności finansowej banków;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324</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15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15c.</w:t>
            </w:r>
            <w:r>
              <w:tab/>
            </w:r>
            <w:r>
              <w:rPr>
                <w:b/>
                <w:i/>
              </w:rPr>
              <w:t>podkreśla znaczenie zapewnienia łatwego, bezpiecznego i transgranicznego dostępu do produktów finansowych inwestorom detalicznym, zachęcania obywateli do udziału w rynkach kapitałowych i promowania skuteczniejszego inwestowania europejskich oszczędności;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325</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15 d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15d.</w:t>
            </w:r>
            <w:r>
              <w:tab/>
            </w:r>
            <w:r>
              <w:rPr>
                <w:b/>
                <w:i/>
              </w:rPr>
              <w:t>wzywa Komisję do priorytetowego potraktowania globalnej konkurencyjności rynków finansowych UE we wnioskach ustawodawczych, tak aby europejskie ramy regulacyjne nie zachęcały do przenoszenia działalności do innych jurysdykcji atrakcyjnych dla kapitału międzynarodowego;</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326</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Śródtytuł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Niwelowanie luki w finansowaniu przedsiębiorstw scale-up</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327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Śródtytuł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Niwelowanie luki w finansowaniu przedsiębiorstw scale-up</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328</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Śródtytuł 4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wzywa Komisję i państwa członkowskie do oceny barier, jakie napotykają przedsiębiorstwa typu start-up i przedsiębiorstwa scale-up w dostępie do finansowania oraz zindywidualizowanych procesów składania wniosków o finansowanie, aby umożliwić łatwiejszy dostęp do finansowania;</w:t>
            </w:r>
            <w:r>
              <w:t xml:space="preserve"> </w:t>
            </w:r>
            <w:r>
              <w:rPr>
                <w:b/>
                <w:i/>
              </w:rPr>
              <w:t>wzywa do skoncentrowania wysiłków na przyspieszeniu harmonizacji rynków kapitałowych w całej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329</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Śródtytuł 4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wzywa Komisję do wzmocnienia mechanizmów finansowania przedsiębiorstw typu start-up i przedsiębiorstw scale-up, w tym zamówień publicznych oraz udzielania dotacji, pożyczek, gwarancji i finansowania społecznościowego, dbając jednocześnie o to, aby nie wypierać prywatnych inwestycji i zagwarantować stabilność finansową;</w:t>
            </w:r>
            <w:r>
              <w:t xml:space="preserve"> </w:t>
            </w:r>
            <w:r>
              <w:rPr>
                <w:b/>
                <w:i/>
              </w:rPr>
              <w:t>wzywa Komisję do przekierowania istniejących funduszy, aby skuteczniej ukierunkować je na europejskie przedsiębiorstwa typu start-up i przedsiębiorstwa scale-up;</w:t>
            </w:r>
            <w:r>
              <w:t xml:space="preserve"> </w:t>
            </w:r>
            <w:r>
              <w:rPr>
                <w:b/>
                <w:i/>
              </w:rPr>
              <w:t>podkreśla potrzebę opracowania dobrowolnego ogólnoeuropejskiego systemu porad kredytowych dla przedsiębiorstw typu start-up i przedsiębiorstw scale-up, którym odmówiono kredytu bankowego;</w:t>
            </w:r>
            <w:r>
              <w:t xml:space="preserve"> </w:t>
            </w:r>
            <w:r>
              <w:rPr>
                <w:b/>
                <w:i/>
              </w:rPr>
              <w:t>podkreśla, że trzeba rozszerzać inicjatywy takie jak paneuropejski fundusz funduszy, aby w dłuższej perspektywie przyciągać większe inwestycje prywatne do przedsiębiorstw typu start-up i przedsiębiorstw scale-up;</w:t>
            </w:r>
            <w:r>
              <w:t xml:space="preserve"> </w:t>
            </w:r>
            <w:r>
              <w:rPr>
                <w:b/>
                <w:i/>
              </w:rPr>
              <w:t>apeluje do Komisji, aby zachęcała państwa członkowskie do zwiększania zachęt dla aniołów biznesu i inwestorów do inwestowania na wczesnym etapie;</w:t>
            </w:r>
            <w:r>
              <w:t xml:space="preserve"> </w:t>
            </w:r>
            <w:r>
              <w:rPr>
                <w:b/>
                <w:i/>
              </w:rPr>
              <w:t>wzywa Komisję, by zbadała najlepsze praktyki w całej UE i przedstawiła zalecenia w celu promowania wspólnych ram;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330</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Śródtytuł 4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zachęca agencje rządowe i inwestorów prywatnych do udzielania bardziej ukierunkowanych dotacji i niskooprocentowanych pożyczek przedsiębiorstwom typu start-up i przedsiębiorstwom scale-up na różnych etapach wzrostu, przy jednoczesnym utrzymaniu konkurencyjnych mechanizmów alokacji kapitału, zagwarantowaniu stabilności finansowej i dokładaniu wszelkich starań, aby nie wypierać inwestycji prywatnych;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331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ubolewa, że wiele europejskich przedsiębiorstw ostatecznie korzysta z usług inwestorów kapitału wysokiego ryzyka z siedzibą w państwach trzecich oraz przenosi się na rynki tych państw, aby zwiększyć skalę swojej działalności;</w:t>
            </w:r>
            <w:r>
              <w:t xml:space="preserve"> </w:t>
            </w:r>
            <w:r>
              <w:rPr>
                <w:b/>
                <w:i/>
              </w:rPr>
              <w:t>wyraża zaniepokojenie rosnącą liczbą upadłości MŚP w UE</w:t>
            </w:r>
            <w:r>
              <w:rPr>
                <w:b/>
                <w:i/>
                <w:vertAlign w:val="superscript"/>
              </w:rPr>
              <w:t>4</w:t>
            </w:r>
            <w:r>
              <w:rPr>
                <w:b/>
                <w:i/>
              </w:rPr>
              <w:t>;</w:t>
            </w:r>
          </w:p>
        </w:tc>
        <w:tc>
          <w:tcPr>
            <w:tcW w:w="4876" w:type="dxa"/>
            <w:tcBorders>
              <w:top w:val="nil"/>
              <w:left w:val="nil"/>
              <w:bottom w:val="nil"/>
              <w:right w:val="nil"/>
            </w:tcBorders>
          </w:tcPr>
          <w:p>
            <w:pPr>
              <w:pStyle w:val="Normal6a"/>
            </w:pPr>
            <w:r>
              <w:rPr>
                <w:b/>
                <w:i/>
              </w:rPr>
              <w:t>skreśla się</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Katsinis, A., Lagüera-González, J., Di Bella, L., Odenthal, L., Hell, M., Lozar, B., „Annual Report on European SMEs 2023/2024” [Sprawozdanie roczne w sprawie europejskich MŚP w latach 2023–2024], Urząd Publikacji Unii Europejskiej, 2024 r.</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332</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ubolewa, że wiele europejskich przedsiębiorstw ostatecznie korzysta z usług inwestorów kapitału wysokiego ryzyka z siedzibą w państwach trzecich oraz przenosi się na rynki tych państw, aby zwiększyć skalę swojej działalności;</w:t>
            </w:r>
            <w:r>
              <w:t xml:space="preserve"> </w:t>
            </w:r>
            <w:r>
              <w:rPr>
                <w:b/>
                <w:i/>
              </w:rPr>
              <w:t>wyraża zaniepokojenie rosnącą liczbą upadłości MŚP w UE</w:t>
            </w:r>
            <w:r>
              <w:rPr>
                <w:b/>
                <w:i/>
                <w:vertAlign w:val="superscript"/>
              </w:rPr>
              <w:t>4</w:t>
            </w:r>
            <w:r>
              <w:rPr>
                <w:b/>
                <w:i/>
              </w:rPr>
              <w:t>;</w:t>
            </w:r>
          </w:p>
        </w:tc>
        <w:tc>
          <w:tcPr>
            <w:tcW w:w="4876" w:type="dxa"/>
            <w:tcBorders>
              <w:top w:val="nil"/>
              <w:left w:val="nil"/>
              <w:bottom w:val="nil"/>
              <w:right w:val="nil"/>
            </w:tcBorders>
          </w:tcPr>
          <w:p>
            <w:pPr>
              <w:pStyle w:val="Normal6a"/>
            </w:pPr>
            <w:r>
              <w:rPr>
                <w:b/>
                <w:i/>
              </w:rPr>
              <w:t>skreśla się</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Katsinis, A., Lagüera-González, J., Di Bella, L., Odenthal, L., Hell, M., Lozar, B., „Annual Report on European SMEs 2023/2024” [Sprawozdanie roczne w sprawie europejskich MŚP w latach 2023–2024], Urząd Publikacji Unii Europejskiej, 2024 r.</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333</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ubolewa, że wiele europejskich przedsiębiorstw ostatecznie korzysta z usług inwestorów kapitału wysokiego ryzyka z siedzibą w państwach trzecich oraz przenosi się na rynki tych państw, aby zwiększyć skalę swojej działalności; wyraża zaniepokojenie rosnącą liczbą upadłości MŚP w UE</w:t>
            </w:r>
            <w:r>
              <w:rPr>
                <w:b/>
                <w:i/>
                <w:vertAlign w:val="superscript"/>
              </w:rPr>
              <w:t>4</w:t>
            </w:r>
            <w:r>
              <w:t>;</w:t>
            </w:r>
          </w:p>
        </w:tc>
        <w:tc>
          <w:tcPr>
            <w:tcW w:w="4876" w:type="dxa"/>
            <w:tcBorders>
              <w:top w:val="nil"/>
              <w:left w:val="nil"/>
              <w:bottom w:val="nil"/>
              <w:right w:val="nil"/>
            </w:tcBorders>
          </w:tcPr>
          <w:p>
            <w:pPr>
              <w:pStyle w:val="Normal6a"/>
            </w:pPr>
            <w:r>
              <w:t>16.</w:t>
            </w:r>
            <w:r>
              <w:tab/>
            </w:r>
            <w:r>
              <w:t xml:space="preserve">ubolewa, że wiele europejskich przedsiębiorstw ostatecznie korzysta z usług inwestorów kapitału wysokiego ryzyka z siedzibą w państwach trzecich oraz przenosi się na rynki tych państw, aby zwiększyć skalę swojej działalności; </w:t>
            </w:r>
            <w:r>
              <w:rPr>
                <w:b/>
                <w:i/>
              </w:rPr>
              <w:t>przypomina, że wynika to głównie z braku finansowania na naszym rynku;</w:t>
            </w:r>
            <w:r>
              <w:t xml:space="preserve"> wyraża zaniepokojenie rosnącą liczbą upadłości MŚP w UE </w:t>
            </w:r>
            <w:r>
              <w:rPr>
                <w:b/>
                <w:i/>
              </w:rPr>
              <w:t>[1]</w:t>
            </w:r>
            <w:r>
              <w:t xml:space="preserve">; </w:t>
            </w:r>
            <w:r>
              <w:rPr>
                <w:b/>
                <w:i/>
              </w:rPr>
              <w:t>[1] Katsinis, A., Lagüera-González, J., Di Bella, L., Odenthal, L., Hell, M., Lozar, B., „Annual Report on European SMEs 2023/2024” [Sprawozdanie roczne w sprawie europejskich MŚP w latach 2023–2024], Urząd Publikacji Unii Europejskiej, 2024 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Katsinis, A., Lagüera-González, J., Di Bella, L., Odenthal, L., Hell, M., Lozar, B., „Annual Report on European SMEs 2023/2024” [Sprawozdanie roczne w sprawie europejskich MŚP w latach 2023–2024], Urząd Publikacji Unii Europejskiej, 2024 r.</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334</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ubolewa</w:t>
            </w:r>
            <w:r>
              <w:t>, że wiele europejskich przedsiębiorstw ostatecznie korzysta z usług inwestorów kapitału wysokiego ryzyka z siedzibą w państwach trzecich oraz przenosi się na rynki tych państw, aby zwiększyć skalę swojej działalności; wyraża zaniepokojenie rosnącą liczbą upadłości MŚP w UE</w:t>
            </w:r>
            <w:r>
              <w:rPr>
                <w:vertAlign w:val="superscript"/>
              </w:rPr>
              <w:t>4</w:t>
            </w:r>
            <w:r>
              <w:t>;</w:t>
            </w:r>
          </w:p>
        </w:tc>
        <w:tc>
          <w:tcPr>
            <w:tcW w:w="4876" w:type="dxa"/>
            <w:tcBorders>
              <w:top w:val="nil"/>
              <w:left w:val="nil"/>
              <w:bottom w:val="nil"/>
              <w:right w:val="nil"/>
            </w:tcBorders>
          </w:tcPr>
          <w:p>
            <w:pPr>
              <w:pStyle w:val="Normal6a"/>
            </w:pPr>
            <w:r>
              <w:t>16.</w:t>
            </w:r>
            <w:r>
              <w:tab/>
            </w:r>
            <w:r>
              <w:rPr>
                <w:b/>
                <w:i/>
              </w:rPr>
              <w:t>zauważa</w:t>
            </w:r>
            <w:r>
              <w:t>, że wiele europejskich przedsiębiorstw ostatecznie korzysta z usług inwestorów kapitału wysokiego ryzyka z siedzibą w państwach trzecich oraz przenosi się na rynki tych państw, aby zwiększyć skalę swojej działalności; wyraża zaniepokojenie rosnącą liczbą upadłości MŚP w UE</w:t>
            </w:r>
            <w:r>
              <w:rPr>
                <w:vertAlign w:val="superscript"/>
              </w:rPr>
              <w:t>4</w:t>
            </w:r>
            <w:r>
              <w:t xml:space="preserve">; </w:t>
            </w:r>
            <w:r>
              <w:rPr>
                <w:b/>
                <w:i/>
              </w:rPr>
              <w:t>podkreśla, że priorytetem musi być zrozumienie i wyeliminowanie podstawowych przyczyn relokacji przez wspieranie bardziej konkurencyjnego i atrakcyjnego rynku wewnętrznego, zapewnienie przedsiębiorcom działającym w UE warunków do rozwoju i ekspansji w Unii oraz zagwarantowanie otoczenia regulacyjnego, które nie będzie nadmiernie obciążające ani restrykcyjne;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Katsinis, A., Lagüera-González, J., Di Bella, L., Odenthal, L., Hell, M., Lozar, B., „Annual Report on European SMEs 2023/2024” [Sprawozdanie roczne w sprawie europejskich MŚP w latach 2023–2024], Urząd Publikacji Unii Europejskiej, 2024 r.</w:t>
            </w:r>
          </w:p>
        </w:tc>
        <w:tc>
          <w:tcPr>
            <w:tcW w:w="4876" w:type="dxa"/>
            <w:tcBorders>
              <w:top w:val="nil"/>
              <w:left w:val="nil"/>
              <w:bottom w:val="nil"/>
              <w:right w:val="nil"/>
            </w:tcBorders>
          </w:tcPr>
          <w:p>
            <w:pPr>
              <w:pStyle w:val="Normal6a"/>
            </w:pPr>
            <w:r>
              <w:rPr>
                <w:vertAlign w:val="superscript"/>
              </w:rPr>
              <w:t>4</w:t>
            </w:r>
            <w:r>
              <w:t xml:space="preserve"> </w:t>
            </w:r>
            <w:r>
              <w:t>Katsinis, A., Lagüera-González, J., Di Bella, L., Odenthal, L., Hell, M., Lozar, B., „Annual Report on European SMEs 2023/2024” [Sprawozdanie roczne w sprawie europejskich MŚP w latach 2023–2024], Urząd Publikacji Unii Europejskiej, 2024 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335</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ubolewa, że wiele europejskich przedsiębiorstw </w:t>
            </w:r>
            <w:r>
              <w:rPr>
                <w:b/>
                <w:i/>
              </w:rPr>
              <w:t>ostatecznie korzysta z usług inwestorów kapitału wysokiego ryzyka z siedzibą w państwach</w:t>
            </w:r>
            <w:r>
              <w:t xml:space="preserve"> trzecich </w:t>
            </w:r>
            <w:r>
              <w:rPr>
                <w:b/>
                <w:i/>
              </w:rPr>
              <w:t>oraz przenosi się na rynki tych państw, aby zwiększyć skalę swojej działalności</w:t>
            </w:r>
            <w:r>
              <w:t>; wyraża zaniepokojenie rosnącą liczbą upadłości MŚP w UE</w:t>
            </w:r>
            <w:r>
              <w:rPr>
                <w:b/>
                <w:i/>
                <w:vertAlign w:val="superscript"/>
              </w:rPr>
              <w:t>4</w:t>
            </w:r>
            <w:r>
              <w:t>;</w:t>
            </w:r>
          </w:p>
        </w:tc>
        <w:tc>
          <w:tcPr>
            <w:tcW w:w="4876" w:type="dxa"/>
            <w:tcBorders>
              <w:top w:val="nil"/>
              <w:left w:val="nil"/>
              <w:bottom w:val="nil"/>
              <w:right w:val="nil"/>
            </w:tcBorders>
          </w:tcPr>
          <w:p>
            <w:pPr>
              <w:pStyle w:val="Normal6a"/>
            </w:pPr>
            <w:r>
              <w:t>16.</w:t>
            </w:r>
            <w:r>
              <w:tab/>
            </w:r>
            <w:r>
              <w:t xml:space="preserve">ubolewa, że wiele europejskich przedsiębiorstw </w:t>
            </w:r>
            <w:r>
              <w:rPr>
                <w:b/>
                <w:i/>
              </w:rPr>
              <w:t>o wysokim potencjale przenosi działalność do państw</w:t>
            </w:r>
            <w:r>
              <w:t xml:space="preserve"> trzecich </w:t>
            </w:r>
            <w:r>
              <w:rPr>
                <w:b/>
                <w:i/>
              </w:rPr>
              <w:t>nie z powodu braku zainteresowania ekspansją w Europie, lecz z powodu braku odpowiedniego otoczenia konkurencyjnego, regulacyjnego i finansowego;</w:t>
            </w:r>
            <w:r>
              <w:t xml:space="preserve"> </w:t>
            </w:r>
            <w:r>
              <w:rPr>
                <w:b/>
                <w:i/>
              </w:rPr>
              <w:t>podkreśla, że sytuacja ta świadczy o wadach strukturalnych w europejskim ekosystemie wzrostu</w:t>
            </w:r>
            <w:r>
              <w:t>; wyraża zaniepokojenie rosnącą liczbą upadłości MŚP w UE</w:t>
            </w:r>
            <w:r>
              <w:rPr>
                <w:b/>
                <w:i/>
              </w:rPr>
              <w:t> i uważa, że priorytetem jest zajęcie się podstawowymi przyczynami, takimi jak brak kapitału w perspektywie długoterminowej, obciążenia podatkowe po zwiększeniu skali i nieproporcjonalne obciążenia administracyjne</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Katsinis, A., Lagüera-González, J., Di Bella, L., Odenthal, L., Hell, M., Lozar, B., „Annual Report on European SMEs 2023/2024” [Sprawozdanie roczne w sprawie europejskich MŚP w latach 2023–2024], Urząd Publikacji Unii Europejskiej, 2024 r.</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336</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ubolewa, że wiele europejskich przedsiębiorstw ostatecznie korzysta z usług inwestorów kapitału wysokiego ryzyka z siedzibą w państwach trzecich oraz przenosi się na rynki tych państw, aby zwiększyć skalę swojej działalności; wyraża zaniepokojenie rosnącą liczbą upadłości MŚP w UE</w:t>
            </w:r>
            <w:r>
              <w:rPr>
                <w:vertAlign w:val="superscript"/>
              </w:rPr>
              <w:t>4</w:t>
            </w:r>
            <w:r>
              <w:t>;</w:t>
            </w:r>
          </w:p>
        </w:tc>
        <w:tc>
          <w:tcPr>
            <w:tcW w:w="4876" w:type="dxa"/>
            <w:tcBorders>
              <w:top w:val="nil"/>
              <w:left w:val="nil"/>
              <w:bottom w:val="nil"/>
              <w:right w:val="nil"/>
            </w:tcBorders>
          </w:tcPr>
          <w:p>
            <w:pPr>
              <w:pStyle w:val="Normal6a"/>
            </w:pPr>
            <w:r>
              <w:t>16.</w:t>
            </w:r>
            <w:r>
              <w:tab/>
            </w:r>
            <w:r>
              <w:t>ubolewa, że wiele europejskich przedsiębiorstw ostatecznie korzysta z usług inwestorów kapitału wysokiego ryzyka z siedzibą w państwach trzecich oraz przenosi się na rynki tych państw, aby zwiększyć skalę swojej działalności; wyraża zaniepokojenie rosnącą liczbą upadłości MŚP w UE</w:t>
            </w:r>
            <w:r>
              <w:rPr>
                <w:vertAlign w:val="superscript"/>
              </w:rPr>
              <w:t>4</w:t>
            </w:r>
            <w:r>
              <w:t xml:space="preserve">; </w:t>
            </w:r>
            <w:r>
              <w:rPr>
                <w:b/>
                <w:i/>
              </w:rPr>
              <w:t>podkreśla, że głębszy i lepiej rozwinięty ekosystem kapitału wysokiego ryzyka w UE jest potrzebny do finansowania innowacyjnych przedsiębiorstw typu start-up i scale-up;</w:t>
            </w:r>
            <w:r>
              <w:t xml:space="preserve"> </w:t>
            </w:r>
            <w:r>
              <w:rPr>
                <w:b/>
                <w:i/>
              </w:rPr>
              <w:t>zauważa, że struktura bankowa UE nie jest dobrze dostosowana do finansowania innowacyjnych przedsiębiorstw typu start-up i scale-up ze względu na gotowość modeli bankowych do podejmowania ryzyka;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Katsinis, A., Lagüera-González, J., Di Bella, L., Odenthal, L., Hell, M., Lozar, B., „Annual Report on European SMEs 2023/2024” [Sprawozdanie roczne w sprawie europejskich MŚP w latach 2023–2024], Urząd Publikacji Unii Europejskiej, 2024 r.</w:t>
            </w:r>
          </w:p>
        </w:tc>
        <w:tc>
          <w:tcPr>
            <w:tcW w:w="4876" w:type="dxa"/>
            <w:tcBorders>
              <w:top w:val="nil"/>
              <w:left w:val="nil"/>
              <w:bottom w:val="nil"/>
              <w:right w:val="nil"/>
            </w:tcBorders>
          </w:tcPr>
          <w:p>
            <w:pPr>
              <w:pStyle w:val="Normal6a"/>
            </w:pPr>
            <w:r>
              <w:rPr>
                <w:vertAlign w:val="superscript"/>
              </w:rPr>
              <w:t>4</w:t>
            </w:r>
            <w:r>
              <w:t xml:space="preserve"> </w:t>
            </w:r>
            <w:r>
              <w:t>Katsinis, A., Lagüera-González, J., Di Bella, L., Odenthal, L., Hell, M., Lozar, B., „Annual Report on European SMEs 2023/2024” [Sprawozdanie roczne w sprawie europejskich MŚP w latach 2023–2024], Urząd Publikacji Unii Europejskiej, 2024 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337</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ubolewa, że wiele europejskich przedsiębiorstw ostatecznie korzysta z usług inwestorów kapitału wysokiego ryzyka z siedzibą w państwach trzecich oraz przenosi się na rynki tych państw, aby zwiększyć skalę swojej działalności; wyraża zaniepokojenie rosnącą liczbą upadłości MŚP w UE</w:t>
            </w:r>
            <w:r>
              <w:rPr>
                <w:vertAlign w:val="superscript"/>
              </w:rPr>
              <w:t>4</w:t>
            </w:r>
            <w:r>
              <w:t>;</w:t>
            </w:r>
          </w:p>
        </w:tc>
        <w:tc>
          <w:tcPr>
            <w:tcW w:w="4876" w:type="dxa"/>
            <w:tcBorders>
              <w:top w:val="nil"/>
              <w:left w:val="nil"/>
              <w:bottom w:val="nil"/>
              <w:right w:val="nil"/>
            </w:tcBorders>
          </w:tcPr>
          <w:p>
            <w:pPr>
              <w:pStyle w:val="Normal6a"/>
            </w:pPr>
            <w:r>
              <w:t>16.</w:t>
            </w:r>
            <w:r>
              <w:tab/>
            </w:r>
            <w:r>
              <w:t>ubolewa, że wiele europejskich przedsiębiorstw ostatecznie korzysta z usług inwestorów kapitału wysokiego ryzyka z siedzibą w państwach trzecich oraz przenosi się na rynki tych państw, aby zwiększyć skalę swojej działalności; wyraża zaniepokojenie rosnącą liczbą upadłości MŚP w UE</w:t>
            </w:r>
            <w:r>
              <w:rPr>
                <w:vertAlign w:val="superscript"/>
              </w:rPr>
              <w:t>4</w:t>
            </w:r>
            <w:r>
              <w:t xml:space="preserve">; </w:t>
            </w:r>
            <w:r>
              <w:rPr>
                <w:b/>
                <w:i/>
              </w:rPr>
              <w:t>podkreśla, że należy wspierać tworzenie prawdziwie europejskich funduszy venture capital, wzrostu i wykupu również za pomocą narzędzi dostępnych w WRF i programach InvestEU, a także finansowania ze strony grupy EBI oraz krajowych banków i instytucji prorozwojowych;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Katsinis, A., Lagüera-González, J., Di Bella, L., Odenthal, L., Hell, M., Lozar, B., „Annual Report on European SMEs 2023/2024” [Sprawozdanie roczne w sprawie europejskich MŚP w latach 2023–2024], Urząd Publikacji Unii Europejskiej, 2024 r.</w:t>
            </w:r>
          </w:p>
        </w:tc>
        <w:tc>
          <w:tcPr>
            <w:tcW w:w="4876" w:type="dxa"/>
            <w:tcBorders>
              <w:top w:val="nil"/>
              <w:left w:val="nil"/>
              <w:bottom w:val="nil"/>
              <w:right w:val="nil"/>
            </w:tcBorders>
          </w:tcPr>
          <w:p>
            <w:pPr>
              <w:pStyle w:val="Normal6a"/>
            </w:pPr>
            <w:r>
              <w:rPr>
                <w:vertAlign w:val="superscript"/>
              </w:rPr>
              <w:t>4</w:t>
            </w:r>
            <w:r>
              <w:t xml:space="preserve"> </w:t>
            </w:r>
            <w:r>
              <w:t>Katsinis, A., Lagüera-González, J., Di Bella, L., Odenthal, L., Hell, M., Lozar, B., „Annual Report on European SMEs 2023/2024” [Sprawozdanie roczne w sprawie europejskich MŚP w latach 2023–2024], Urząd Publikacji Unii Europejskiej, 2024 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338</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ubolewa, że wiele europejskich przedsiębiorstw ostatecznie korzysta z usług inwestorów kapitału wysokiego ryzyka z siedzibą w państwach trzecich oraz przenosi się na rynki tych państw, aby zwiększyć skalę swojej działalności; wyraża zaniepokojenie rosnącą liczbą upadłości MŚP w UE</w:t>
            </w:r>
            <w:r>
              <w:rPr>
                <w:vertAlign w:val="superscript"/>
              </w:rPr>
              <w:t>4</w:t>
            </w:r>
            <w:r>
              <w:t>;</w:t>
            </w:r>
          </w:p>
        </w:tc>
        <w:tc>
          <w:tcPr>
            <w:tcW w:w="4876" w:type="dxa"/>
            <w:tcBorders>
              <w:top w:val="nil"/>
              <w:left w:val="nil"/>
              <w:bottom w:val="nil"/>
              <w:right w:val="nil"/>
            </w:tcBorders>
          </w:tcPr>
          <w:p>
            <w:pPr>
              <w:pStyle w:val="Normal6a"/>
            </w:pPr>
            <w:r>
              <w:t>16.</w:t>
            </w:r>
            <w:r>
              <w:tab/>
            </w:r>
            <w:r>
              <w:t xml:space="preserve">ubolewa, że wiele europejskich przedsiębiorstw ostatecznie korzysta z usług inwestorów kapitału wysokiego ryzyka z siedzibą w państwach trzecich oraz przenosi się na rynki tych państw, aby zwiększyć skalę swojej działalności; </w:t>
            </w:r>
            <w:r>
              <w:rPr>
                <w:b/>
                <w:i/>
              </w:rPr>
              <w:t>zwraca uwagę, że jest to również odzwierciedlenie słabego otoczenia regulacyjnego dla małych i innowacyjnych przedsiębiorstw;</w:t>
            </w:r>
            <w:r>
              <w:t xml:space="preserve"> wyraża zaniepokojenie rosnącą liczbą upadłości MŚP w UE</w:t>
            </w:r>
            <w:r>
              <w:rPr>
                <w:vertAlign w:val="superscript"/>
              </w:rPr>
              <w:t>4</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Katsinis, A., Lagüera-González, J., Di Bella, L., Odenthal, L., Hell, M., Lozar, B., „Annual Report on European SMEs 2023/2024” [Sprawozdanie roczne w sprawie europejskich MŚP w latach 2023–2024], Urząd Publikacji Unii Europejskiej, 2024 r.</w:t>
            </w:r>
          </w:p>
        </w:tc>
        <w:tc>
          <w:tcPr>
            <w:tcW w:w="4876" w:type="dxa"/>
            <w:tcBorders>
              <w:top w:val="nil"/>
              <w:left w:val="nil"/>
              <w:bottom w:val="nil"/>
              <w:right w:val="nil"/>
            </w:tcBorders>
          </w:tcPr>
          <w:p>
            <w:pPr>
              <w:pStyle w:val="Normal6a"/>
            </w:pPr>
            <w:r>
              <w:rPr>
                <w:vertAlign w:val="superscript"/>
              </w:rPr>
              <w:t>4</w:t>
            </w:r>
            <w:r>
              <w:t xml:space="preserve"> </w:t>
            </w:r>
            <w:r>
              <w:t>Katsinis, A., Lagüera-González, J., Di Bella, L., Odenthal, L., Hell, M., Lozar, B., „Annual Report on European SMEs 2023/2024” [Sprawozdanie roczne w sprawie europejskich MŚP w latach 2023–2024], Urząd Publikacji Unii Europejskiej, 2024 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339</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ubolewa, że wiele europejskich przedsiębiorstw </w:t>
            </w:r>
            <w:r>
              <w:rPr>
                <w:b/>
                <w:i/>
              </w:rPr>
              <w:t>ostatecznie korzysta z usług inwestorów kapitału</w:t>
            </w:r>
            <w:r>
              <w:t xml:space="preserve"> wysokiego ryzyka </w:t>
            </w:r>
            <w:r>
              <w:rPr>
                <w:b/>
                <w:i/>
              </w:rPr>
              <w:t>z siedzibą w państwach trzecich oraz przenosi się na rynki tych państw, aby zwiększyć skalę swojej działalności</w:t>
            </w:r>
            <w:r>
              <w:t xml:space="preserve">; wyraża zaniepokojenie rosnącą liczbą </w:t>
            </w:r>
            <w:r>
              <w:rPr>
                <w:b/>
                <w:i/>
              </w:rPr>
              <w:t>upadłości MŚP w UE</w:t>
            </w:r>
            <w:r>
              <w:rPr>
                <w:b/>
                <w:i/>
                <w:vertAlign w:val="superscript"/>
              </w:rPr>
              <w:t>4</w:t>
            </w:r>
            <w:r>
              <w:t>;</w:t>
            </w:r>
          </w:p>
        </w:tc>
        <w:tc>
          <w:tcPr>
            <w:tcW w:w="4876" w:type="dxa"/>
            <w:tcBorders>
              <w:top w:val="nil"/>
              <w:left w:val="nil"/>
              <w:bottom w:val="nil"/>
              <w:right w:val="nil"/>
            </w:tcBorders>
          </w:tcPr>
          <w:p>
            <w:pPr>
              <w:pStyle w:val="Normal6a"/>
            </w:pPr>
            <w:r>
              <w:t>16.</w:t>
            </w:r>
            <w:r>
              <w:tab/>
            </w:r>
            <w:r>
              <w:t>ubolewa, że wiele europejskich przedsiębiorstw </w:t>
            </w:r>
            <w:r>
              <w:rPr>
                <w:b/>
                <w:i/>
              </w:rPr>
              <w:t>opiera się na kapitale</w:t>
            </w:r>
            <w:r>
              <w:t xml:space="preserve"> wysokiego ryzyka </w:t>
            </w:r>
            <w:r>
              <w:rPr>
                <w:b/>
                <w:i/>
              </w:rPr>
              <w:t>i finansowaniu w fazie wzrostu ze strony inwestorów spoza UE, co często prowadzi do sytuacji, w których ustanawiają one miejsce pierwotnych notowań, siedzibę główną lub obecność handlową poza UE</w:t>
            </w:r>
            <w:r>
              <w:t xml:space="preserve">; wyraża zaniepokojenie </w:t>
            </w:r>
            <w:r>
              <w:rPr>
                <w:b/>
                <w:i/>
              </w:rPr>
              <w:t>utrzymującą się luką w finansowaniu na rzecz zwiększenia skali innowacyjnych przedsiębiorstw oraz</w:t>
            </w:r>
            <w:r>
              <w:t xml:space="preserve"> rosnącą liczbą </w:t>
            </w:r>
            <w:r>
              <w:rPr>
                <w:b/>
                <w:i/>
              </w:rPr>
              <w:t>zamykanych MŚP</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Katsinis, A., Lagüera-González, J., Di Bella, L., Odenthal, L., Hell, M., Lozar, B., „Annual Report on European SMEs 2023/2024” [Sprawozdanie roczne w sprawie europejskich MŚP w latach 2023–2024], Urząd Publikacji Unii Europejskiej, 2024 r.</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340</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ubolewa, że wiele europejskich przedsiębiorstw ostatecznie korzysta z usług inwestorów kapitału wysokiego ryzyka z siedzibą w państwach trzecich oraz przenosi się na rynki tych państw, aby zwiększyć skalę swojej działalności; </w:t>
            </w:r>
            <w:r>
              <w:rPr>
                <w:b/>
                <w:i/>
              </w:rPr>
              <w:t>wyraża zaniepokojenie rosnącą liczbą upadłości MŚP w UE</w:t>
            </w:r>
            <w:r>
              <w:rPr>
                <w:b/>
                <w:i/>
                <w:vertAlign w:val="superscript"/>
              </w:rPr>
              <w:t>4</w:t>
            </w:r>
            <w:r>
              <w:rPr>
                <w:b/>
                <w:i/>
              </w:rPr>
              <w:t>;</w:t>
            </w:r>
          </w:p>
        </w:tc>
        <w:tc>
          <w:tcPr>
            <w:tcW w:w="4876" w:type="dxa"/>
            <w:tcBorders>
              <w:top w:val="nil"/>
              <w:left w:val="nil"/>
              <w:bottom w:val="nil"/>
              <w:right w:val="nil"/>
            </w:tcBorders>
          </w:tcPr>
          <w:p>
            <w:pPr>
              <w:pStyle w:val="Normal6a"/>
            </w:pPr>
            <w:r>
              <w:t>16.</w:t>
            </w:r>
            <w:r>
              <w:tab/>
            </w:r>
            <w:r>
              <w:t>ubolewa, że wiele europejskich przedsiębiorstw ostatecznie korzysta z usług inwestorów kapitału wysokiego ryzyka z siedzibą w państwach trzecich oraz przenosi się na rynki tych państw, aby zwiększyć skalę swojej działalności;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Katsinis, A., Lagüera-González, J., Di Bella, L., Odenthal, L., Hell, M., Lozar, B., „Annual Report on European SMEs 2023/2024” [Sprawozdanie roczne w sprawie europejskich MŚP w latach 2023–2024], Urząd Publikacji Unii Europejskiej, 2024 r.</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341</w:t>
      </w:r>
      <w:r>
        <w:rPr>
          <w:rStyle w:val="HideTWBExt"/>
        </w:rPr>
        <w:t>&lt;/NumAm&gt;</w:t>
      </w:r>
    </w:p>
    <w:p>
      <w:pPr>
        <w:pStyle w:val="NormalBold"/>
      </w:pPr>
      <w:r>
        <w:rPr>
          <w:rStyle w:val="HideTWBExt"/>
          <w:b w:val="0"/>
        </w:rPr>
        <w:t>&lt;RepeatBlock-By&gt;</w:t>
      </w:r>
      <w:r>
        <w:rPr>
          <w:rStyle w:val="HideTWBExt"/>
          <w:b w:val="0"/>
        </w:rPr>
        <w:t>&lt;Members&gt;</w:t>
      </w:r>
      <w:r>
        <w:t>Billy Kelleher, Pascal Canfin, 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ubolewa, że wiele europejskich przedsiębiorstw ostatecznie korzysta z usług inwestorów kapitału wysokiego ryzyka z siedzibą w państwach trzecich oraz przenosi się na rynki tych państw, aby zwiększyć skalę swojej działalności; wyraża zaniepokojenie rosnącą liczbą upadłości MŚP w UE</w:t>
            </w:r>
            <w:r>
              <w:rPr>
                <w:vertAlign w:val="superscript"/>
              </w:rPr>
              <w:t>4</w:t>
            </w:r>
            <w:r>
              <w:t>;</w:t>
            </w:r>
          </w:p>
        </w:tc>
        <w:tc>
          <w:tcPr>
            <w:tcW w:w="4876" w:type="dxa"/>
            <w:tcBorders>
              <w:top w:val="nil"/>
              <w:left w:val="nil"/>
              <w:bottom w:val="nil"/>
              <w:right w:val="nil"/>
            </w:tcBorders>
          </w:tcPr>
          <w:p>
            <w:pPr>
              <w:pStyle w:val="Normal6a"/>
            </w:pPr>
            <w:r>
              <w:t>16.</w:t>
            </w:r>
            <w:r>
              <w:tab/>
            </w:r>
            <w:r>
              <w:t>ubolewa, że wiele europejskich przedsiębiorstw ostatecznie korzysta z usług inwestorów kapitału wysokiego ryzyka z siedzibą w państwach trzecich oraz przenosi się na rynki tych państw, aby zwiększyć skalę swojej działalności</w:t>
            </w:r>
            <w:r>
              <w:rPr>
                <w:b/>
                <w:i/>
              </w:rPr>
              <w:t>, ze względu na brak w UE finansowania na rzecz zwiększania skali działalności</w:t>
            </w:r>
            <w:r>
              <w:t>; wyraża zaniepokojenie rosnącą liczbą upadłości MŚP w UE</w:t>
            </w:r>
            <w:r>
              <w:rPr>
                <w:vertAlign w:val="superscript"/>
              </w:rPr>
              <w:t>4</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Katsinis, A., Lagüera-González, J., Di Bella, L., Odenthal, L., Hell, M., Lozar, B., „Annual Report on European SMEs 2023/2024” [Sprawozdanie roczne w sprawie europejskich MŚP w latach 2023–2024], Urząd Publikacji Unii Europejskiej, 2024 r.</w:t>
            </w:r>
          </w:p>
        </w:tc>
        <w:tc>
          <w:tcPr>
            <w:tcW w:w="4876" w:type="dxa"/>
            <w:tcBorders>
              <w:top w:val="nil"/>
              <w:left w:val="nil"/>
              <w:bottom w:val="nil"/>
              <w:right w:val="nil"/>
            </w:tcBorders>
          </w:tcPr>
          <w:p>
            <w:pPr>
              <w:pStyle w:val="Normal6a"/>
            </w:pPr>
            <w:r>
              <w:rPr>
                <w:vertAlign w:val="superscript"/>
              </w:rPr>
              <w:t>4</w:t>
            </w:r>
            <w:r>
              <w:t xml:space="preserve"> </w:t>
            </w:r>
            <w:r>
              <w:t>Katsinis, A., Lagüera-González, J., Di Bella, L., Odenthal, L., Hell, M., Lozar, B., „Annual Report on European SMEs 2023/2024” [Sprawozdanie roczne w sprawie europejskich MŚP w latach 2023–2024], Urząd Publikacji Unii Europejskiej, 2024 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342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przypomina, że Europejska Rada ds. Innowacji (EIC) jest wyjątkowym europejskim programem finansowania, którego celem jest zapewnienie przedsiębiorstwom typu start-up z sektora zaawansowanych technologii punktu kompleksowej obsługi w zakresie finansowania, aby umożliwić im rozwijanie innowacji od wczesnego pomysłu do produktu nadającego się do wprowadzenia do obrotu, a także ekspansję przedsiębiorstwa;</w:t>
            </w:r>
            <w:r>
              <w:t xml:space="preserve"> </w:t>
            </w:r>
            <w:r>
              <w:rPr>
                <w:b/>
                <w:i/>
              </w:rPr>
              <w:t>z zainteresowaniem odnotowuje wysiłki na rzecz uzupełnienia InvestEU i europejskiej inicjatywy na rzecz liderów technologii w celu wypełnienia luki w finansowaniu przedsiębiorstw scale-up z sektora zaawansowanych technologii przez bezpośrednie inwestycje kapitałowe w sektorach strategicznych wykraczające poza obecną logikę interwencji w ramach instrumentu „Akcelerator” EIC;</w:t>
            </w:r>
            <w:r>
              <w:t xml:space="preserve"> </w:t>
            </w:r>
            <w:r>
              <w:rPr>
                <w:b/>
                <w:i/>
              </w:rPr>
              <w:t>przypomina o potrzebie wysokiej przejrzystości, uczciwości i unikania ryzyka konfliktu interesów nieodłącznie związanego z daną logiką interwencji;</w:t>
            </w:r>
            <w:r>
              <w:t xml:space="preserve"> </w:t>
            </w:r>
            <w:r>
              <w:rPr>
                <w:b/>
                <w:i/>
              </w:rPr>
              <w:t>zwraca uwagę na obawę, że inwestowanie środków publicznych podatników przy potencjalnie niższych standardach należytej staranności lub wyższej tolerancji ryzyka wypiera inwestycje prywatne, co może pogorszyć długoterminowe perspektywy przedsiębiorstw typu start-up i przedsiębiorstw scale-up w Unii;</w:t>
            </w:r>
            <w:r>
              <w:t xml:space="preserve"> </w:t>
            </w:r>
            <w:r>
              <w:rPr>
                <w:b/>
                <w:i/>
              </w:rPr>
              <w:t>w związku z tym wzywa Komisję do ustanowienia zarządzania i projektu Funduszu TechEU Scale-up, który zapewni znaczną odpowiedzialność publiczną oraz zgodność z wysokimi standardami etycznymi i ogólnym interesem europejskim, a jednocześnie przyciągnie inwestycje prywatne;</w:t>
            </w:r>
            <w:r>
              <w:t xml:space="preserve"> </w:t>
            </w:r>
            <w:r>
              <w:rPr>
                <w:b/>
                <w:i/>
              </w:rPr>
              <w:t>uważa, że w perspektywie długoterminowej opracowanie szeregu instrumentów mających na celu bezpośrednie inwestycje kapitałowe w sektorach strategicznych na szczeblu Unii mogłoby mieć kluczowe znaczenie dla suwerenności technologicznej i strategicznej autonomii Europy oraz wymagać zmiany mentalności i rozwoju umiejętności w instytucjach UE, aby stopniowo przyjąć nastawienie i postawę życzliwych i strategicznych inwestorów;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343</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podkreśla wyzwania, przed jakimi stoją europejskie przedsiębiorstwa typu start-up i przedsiębiorstwa scale-up w dostępie do finansowania, w tym trudności w szybkim rozwoju przedsiębiorstw w całej Europie;</w:t>
            </w:r>
            <w:r>
              <w:t xml:space="preserve"> </w:t>
            </w:r>
            <w:r>
              <w:rPr>
                <w:b/>
                <w:i/>
              </w:rPr>
              <w:t>dostrzega potrzeby ekosystemu inwestycyjnego, który zaspokaja ich potrzeby, a jednocześnie zapewnia stabilność finansową;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344</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podkreśla, że europejski rynek bezpośrednich transakcji wtórnych, który umożliwiłby obrót akcjami przedsiębiorstw typu start-up na późnym etapie i przed IPO, wzmocniłby ekosystem finansowania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345</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podkreśla znaczący wpływ opóźnień w płatnościach na przepływy środków pieniężnych dla MŚP, przedsiębiorstw typu start-up i przedsiębiorstw scale-up;</w:t>
            </w:r>
            <w:r>
              <w:t xml:space="preserve"> </w:t>
            </w:r>
            <w:r>
              <w:rPr>
                <w:b/>
                <w:i/>
              </w:rPr>
              <w:t>zauważa, że rozwiązania cyfrowe mogą być wykorzystywane do zwiększenia przejrzystości faktur i przyspieszenia ich opłacania;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346</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16c.</w:t>
            </w:r>
            <w:r>
              <w:tab/>
            </w:r>
            <w:r>
              <w:rPr>
                <w:b/>
                <w:i/>
              </w:rPr>
              <w:t>podkreśla, że w gospodarce rynkowej głównym mechanizmem finansowania potrzeb kapitałowych przedsiębiorstw, w tym przedsiębiorstw typu start-up i przedsiębiorstw scale-up, są instrumenty dłużne oferowane na rynku niepublicznym i rynki akcji;</w:t>
            </w:r>
            <w:r>
              <w:t xml:space="preserve"> </w:t>
            </w:r>
            <w:r>
              <w:rPr>
                <w:b/>
                <w:i/>
              </w:rPr>
              <w:t>apeluje o dokończenie tworzenia unii rynków kapitałowych, aby zmobilizować kapitał prywatny i usprawnić transgraniczny przepływ takiego kapitału w Unii;</w:t>
            </w:r>
            <w:r>
              <w:t xml:space="preserve"> </w:t>
            </w:r>
            <w:r>
              <w:rPr>
                <w:b/>
                <w:i/>
              </w:rPr>
              <w:t>apeluje o przyjęcie kompleksowego podejścia do likwidowania regionalnych dysproporcji i barier utrudniających dostęp do finansowania w europejskim ekosystemie przedsiębiorstw typu start-up i przedsiębiorstw scale-up, przy uznaniu zróżnicowanego krajobrazu finansowego w państwach członkowskich i regionach;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347</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 d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16d.</w:t>
            </w:r>
            <w:r>
              <w:tab/>
            </w:r>
            <w:r>
              <w:rPr>
                <w:b/>
                <w:i/>
              </w:rPr>
              <w:t>wzywa Komisję do wspierania i ułatwiania uczestnictwa innowacyjnych przedsiębiorstw typu start-up i przedsiębiorstw scale-up w unijnych programach finansowania oraz do zapewnienia lepszego dostępu do unijnych programów finansowania i przetargów oraz procesów składania wniosków;</w:t>
            </w:r>
            <w:r>
              <w:t xml:space="preserve"> </w:t>
            </w:r>
            <w:r>
              <w:rPr>
                <w:b/>
                <w:i/>
              </w:rPr>
              <w:t>dostrzega obecny krajobraz finansowy, w którym przedsiębiorstwa typu start-up napotykają trudności w dostępie do ukierunkowanego finansowania za pośrednictwem dotacji, gwarancji i pożyczek;</w:t>
            </w:r>
            <w:r>
              <w:t xml:space="preserve"> </w:t>
            </w:r>
            <w:r>
              <w:rPr>
                <w:b/>
                <w:i/>
              </w:rPr>
              <w:t>podkreśla konieczność dostosowania istniejącej struktury finansowania unijnego, aby lepiej odpowiadała potrzebom przedsiębiorstw typu start-up i aby zagwarantować, że wsparcie finansowe nie będzie podlegało nadmiernym obciążeniom administracyjnym;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348</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 e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16e.</w:t>
            </w:r>
            <w:r>
              <w:tab/>
            </w:r>
            <w:r>
              <w:rPr>
                <w:b/>
                <w:i/>
              </w:rPr>
              <w:t>zachęca państwa członkowskie i Komisję, by nadały priorytet inwestycjom w infrastrukturę cyfrową na obszarach miejskich i wiejskich przez przyjęcie przyszłościowego podejścia, które będzie wspierać rozwój i zrównoważony charakter przedsiębiorstw typu start-up i przedsiębiorstw scale-up, oraz przez wzmocnienie czołowej pozycji Europy w dziedzinie technologii cyfrowych;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349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w:t>
            </w:r>
            <w:r>
              <w:tab/>
            </w:r>
            <w:r>
              <w:rPr>
                <w:b/>
                <w:i/>
              </w:rPr>
              <w:t>rozumie, że mobilizacja europejskich inwestorów instytucjonalnych, w szczególności zakładów ubezpieczeń i funduszy emerytalnych, ma zasadnicze znaczenie dla zlikwidowania luki w zwiększaniu skali działalności;</w:t>
            </w:r>
            <w:r>
              <w:t xml:space="preserve"> </w:t>
            </w:r>
            <w:r>
              <w:rPr>
                <w:b/>
                <w:i/>
              </w:rPr>
              <w:t>zauważa, że trzeba zwiększyć udział funduszy venture capital w Europie, aby zapewnić większe finansowanie przedsiębiorstwom scale-up;</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350</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w:t>
            </w:r>
            <w:r>
              <w:tab/>
            </w:r>
            <w:r>
              <w:rPr>
                <w:b/>
                <w:i/>
              </w:rPr>
              <w:t>rozumie, że mobilizacja europejskich inwestorów instytucjonalnych, w szczególności zakładów ubezpieczeń i funduszy emerytalnych, ma zasadnicze znaczenie dla zlikwidowania luki w zwiększaniu skali działalności;</w:t>
            </w:r>
            <w:r>
              <w:t xml:space="preserve"> </w:t>
            </w:r>
            <w:r>
              <w:rPr>
                <w:b/>
                <w:i/>
              </w:rPr>
              <w:t>zauważa, że trzeba zwiększyć udział funduszy venture capital w Europie, aby zapewnić większe finansowanie przedsiębiorstwom scale-up;</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351</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rozumie, że mobilizacja europejskich inwestorów instytucjonalnych, w szczególności zakładów ubezpieczeń i funduszy emerytalnych, </w:t>
            </w:r>
            <w:r>
              <w:rPr>
                <w:b/>
                <w:i/>
              </w:rPr>
              <w:t>ma zasadnicze znaczenie dla</w:t>
            </w:r>
            <w:r>
              <w:t xml:space="preserve"> zlikwidowania luki w zwiększaniu skali działalności; zauważa, że trzeba zwiększyć udział funduszy venture capital w Europie, aby zapewnić większe finansowanie przedsiębiorstwom scale-up;</w:t>
            </w:r>
          </w:p>
        </w:tc>
        <w:tc>
          <w:tcPr>
            <w:tcW w:w="4876" w:type="dxa"/>
            <w:tcBorders>
              <w:top w:val="nil"/>
              <w:left w:val="nil"/>
              <w:bottom w:val="nil"/>
              <w:right w:val="nil"/>
            </w:tcBorders>
          </w:tcPr>
          <w:p>
            <w:pPr>
              <w:pStyle w:val="Normal6a"/>
            </w:pPr>
            <w:r>
              <w:t>17.</w:t>
            </w:r>
            <w:r>
              <w:tab/>
            </w:r>
            <w:r>
              <w:t xml:space="preserve">rozumie, że mobilizacja europejskich inwestorów instytucjonalnych, w szczególności zakładów ubezpieczeń i funduszy emerytalnych, </w:t>
            </w:r>
            <w:r>
              <w:rPr>
                <w:b/>
                <w:i/>
              </w:rPr>
              <w:t>może przyczynić się do</w:t>
            </w:r>
            <w:r>
              <w:t xml:space="preserve"> zlikwidowania luki w zwiększaniu skali działalności</w:t>
            </w:r>
            <w:r>
              <w:rPr>
                <w:b/>
                <w:i/>
              </w:rPr>
              <w:t>;</w:t>
            </w:r>
            <w:r>
              <w:t xml:space="preserve"> </w:t>
            </w:r>
            <w:r>
              <w:rPr>
                <w:b/>
                <w:i/>
              </w:rPr>
              <w:t>podkreśla, że inwestorzy instytucjonalni, w tym fundusze emerytalne, powinni mieć swobodę inwestowania w najlepszym interesie ich emerytów i zainteresowanych stron oraz że zmuszanie do inwestycji w mniej rentowne projekty i przedsiębiorstwa europejskie jest niezrównoważone</w:t>
            </w:r>
            <w:r>
              <w:t xml:space="preserve">; zauważa, że trzeba zwiększyć udział funduszy venture capital w Europie, aby zapewnić większe finansowanie przedsiębiorstwom scale-up; </w:t>
            </w:r>
            <w:r>
              <w:rPr>
                <w:b/>
                <w:i/>
              </w:rPr>
              <w:t>wzywa Komisję, aby zachęcała państwa członkowskie o słabo rozwiniętych systemach emerytalnych do opracowania dodatkowych (filar 2) sektorów emerytalnych, które mogłyby pomóc budować rynki kapitałowe;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352</w:t>
      </w:r>
      <w:r>
        <w:rPr>
          <w:rStyle w:val="HideTWBExt"/>
        </w:rPr>
        <w:t>&lt;/NumAm&gt;</w:t>
      </w:r>
    </w:p>
    <w:p>
      <w:pPr>
        <w:pStyle w:val="NormalBold"/>
      </w:pPr>
      <w:r>
        <w:rPr>
          <w:rStyle w:val="HideTWBExt"/>
          <w:b w:val="0"/>
        </w:rPr>
        <w:t>&lt;RepeatBlock-By&gt;</w:t>
      </w:r>
      <w:r>
        <w:rPr>
          <w:rStyle w:val="HideTWBExt"/>
          <w:b w:val="0"/>
        </w:rPr>
        <w:t>&lt;Members&gt;</w:t>
      </w:r>
      <w:r>
        <w:t>Georgios Aftias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rozumie, że mobilizacja europejskich inwestorów instytucjonalnych, w szczególności zakładów ubezpieczeń i funduszy emerytalnych, ma zasadnicze znaczenie dla zlikwidowania luki w zwiększaniu skali działalności; zauważa, że trzeba zwiększyć udział funduszy venture capital w Europie, aby zapewnić większe finansowanie przedsiębiorstwom scale-up;</w:t>
            </w:r>
          </w:p>
        </w:tc>
        <w:tc>
          <w:tcPr>
            <w:tcW w:w="4876" w:type="dxa"/>
            <w:tcBorders>
              <w:top w:val="nil"/>
              <w:left w:val="nil"/>
              <w:bottom w:val="nil"/>
              <w:right w:val="nil"/>
            </w:tcBorders>
          </w:tcPr>
          <w:p>
            <w:pPr>
              <w:pStyle w:val="Normal6a"/>
            </w:pPr>
            <w:r>
              <w:t>17.</w:t>
            </w:r>
            <w:r>
              <w:tab/>
            </w:r>
            <w:r>
              <w:t xml:space="preserve">rozumie, że mobilizacja europejskich inwestorów instytucjonalnych, w szczególności zakładów ubezpieczeń i funduszy emerytalnych, ma zasadnicze znaczenie dla zlikwidowania luki w zwiększaniu skali działalności; zauważa, że trzeba zwiększyć udział funduszy venture capital w Europie, aby zapewnić większe finansowanie przedsiębiorstwom scale-up; </w:t>
            </w:r>
            <w:r>
              <w:rPr>
                <w:b/>
                <w:i/>
              </w:rPr>
              <w:t>w tym celu wzywa Komisję i państwa członkowskie do rozszerzenia operacyjnej roli krajowych banków rozwoju, umożliwiając im działanie jako bezpośredni pożyczkodawcy mikroprzedsiębiorstw i małych przedsiębiorstw, a nie tylko jako pośrednicy finansowi, tak aby rozwiązać problem utrzymującego się niedoinwestowania i ograniczeń w zakresie zwiększania skali gospodarek lokalnych;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353</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rozumie, że </w:t>
            </w:r>
            <w:r>
              <w:rPr>
                <w:b/>
                <w:i/>
              </w:rPr>
              <w:t>mobilizacja europejskich inwestorów instytucjonalnych</w:t>
            </w:r>
            <w:r>
              <w:t xml:space="preserve">, w szczególności </w:t>
            </w:r>
            <w:r>
              <w:rPr>
                <w:b/>
                <w:i/>
              </w:rPr>
              <w:t>zakładów</w:t>
            </w:r>
            <w:r>
              <w:t xml:space="preserve"> ubezpieczeń i </w:t>
            </w:r>
            <w:r>
              <w:rPr>
                <w:b/>
                <w:i/>
              </w:rPr>
              <w:t>funduszy emerytalnych</w:t>
            </w:r>
            <w:r>
              <w:t xml:space="preserve">, ma zasadnicze znaczenie dla zlikwidowania luki w zwiększaniu skali działalności; </w:t>
            </w:r>
            <w:r>
              <w:rPr>
                <w:b/>
                <w:i/>
              </w:rPr>
              <w:t>zauważa, że trzeba zwiększyć udział funduszy venture capital w Europie, aby zapewnić większe finansowanie przedsiębiorstwom scale-up</w:t>
            </w:r>
            <w:r>
              <w:t>;</w:t>
            </w:r>
          </w:p>
        </w:tc>
        <w:tc>
          <w:tcPr>
            <w:tcW w:w="4876" w:type="dxa"/>
            <w:tcBorders>
              <w:top w:val="nil"/>
              <w:left w:val="nil"/>
              <w:bottom w:val="nil"/>
              <w:right w:val="nil"/>
            </w:tcBorders>
          </w:tcPr>
          <w:p>
            <w:pPr>
              <w:pStyle w:val="Normal6a"/>
            </w:pPr>
            <w:r>
              <w:t>17.</w:t>
            </w:r>
            <w:r>
              <w:tab/>
            </w:r>
            <w:r>
              <w:t xml:space="preserve">rozumie, że </w:t>
            </w:r>
            <w:r>
              <w:rPr>
                <w:b/>
                <w:i/>
              </w:rPr>
              <w:t>umożliwienie europejskim inwestorom instytucjonalnym</w:t>
            </w:r>
            <w:r>
              <w:t xml:space="preserve">, w szczególności </w:t>
            </w:r>
            <w:r>
              <w:rPr>
                <w:b/>
                <w:i/>
              </w:rPr>
              <w:t>zakładom</w:t>
            </w:r>
            <w:r>
              <w:t xml:space="preserve"> ubezpieczeń i </w:t>
            </w:r>
            <w:r>
              <w:rPr>
                <w:b/>
                <w:i/>
              </w:rPr>
              <w:t>pracowniczym funduszom emerytalnym</w:t>
            </w:r>
            <w:r>
              <w:t xml:space="preserve">, </w:t>
            </w:r>
            <w:r>
              <w:rPr>
                <w:b/>
                <w:i/>
              </w:rPr>
              <w:t>inwestowania w akcje i zachęcanie ich do tego</w:t>
            </w:r>
            <w:r>
              <w:t xml:space="preserve"> ma zasadnicze znaczenie dla zlikwidowania luki w zwiększaniu skali działalności; </w:t>
            </w:r>
            <w:r>
              <w:rPr>
                <w:b/>
                <w:i/>
              </w:rPr>
              <w:t>dostrzega korzyści płynące z wyższych alokacji w akcje i fundusze inwestycyjne przez ubezpieczycieli i pracownicze fundusze emerytalne, o ile są one w dobrej kondycji finansowej</w:t>
            </w:r>
            <w:r>
              <w:t xml:space="preserve">; </w:t>
            </w:r>
            <w:r>
              <w:rPr>
                <w:b/>
                <w:i/>
              </w:rPr>
              <w:t>podkreśla potrzebę promowania korzystnych ram dla finansowania kapitału wysokiego ryzyka i bezpiecznych bezpośrednich inwestycji zagranicznych w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354</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rozumie, że mobilizacja europejskich inwestorów instytucjonalnych, w szczególności zakładów ubezpieczeń i funduszy emerytalnych, ma zasadnicze znaczenie dla zlikwidowania luki w zwiększaniu skali działalności; zauważa, że trzeba zwiększyć udział funduszy venture capital w Europie, aby zapewnić większe finansowanie przedsiębiorstwom scale-up;</w:t>
            </w:r>
          </w:p>
        </w:tc>
        <w:tc>
          <w:tcPr>
            <w:tcW w:w="4876" w:type="dxa"/>
            <w:tcBorders>
              <w:top w:val="nil"/>
              <w:left w:val="nil"/>
              <w:bottom w:val="nil"/>
              <w:right w:val="nil"/>
            </w:tcBorders>
          </w:tcPr>
          <w:p>
            <w:pPr>
              <w:pStyle w:val="Normal6a"/>
            </w:pPr>
            <w:r>
              <w:t>17.</w:t>
            </w:r>
            <w:r>
              <w:tab/>
            </w:r>
            <w:r>
              <w:t xml:space="preserve">rozumie, że mobilizacja europejskich inwestorów instytucjonalnych </w:t>
            </w:r>
            <w:r>
              <w:rPr>
                <w:b/>
                <w:i/>
              </w:rPr>
              <w:t>mogących pełnić rolę pośredników między klientami detalicznymi a spółkami, w których dokonano inwestycji</w:t>
            </w:r>
            <w:r>
              <w:t xml:space="preserve">, w szczególności zakładów ubezpieczeń i funduszy emerytalnych, ma zasadnicze znaczenie dla zlikwidowania luki w zwiększaniu skali działalności; zauważa, że trzeba zwiększyć udział funduszy venture capital w Europie, aby zapewnić większe finansowanie przedsiębiorstwom scale-up; </w:t>
            </w:r>
            <w:r>
              <w:rPr>
                <w:b/>
                <w:i/>
              </w:rPr>
              <w:t>wzywa Komisję Europejską do stworzenia otoczenia regulacyjnego promującego inwestycje kapitałowe inwestorów instytucjonalnych;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355</w:t>
      </w:r>
      <w:r>
        <w:rPr>
          <w:rStyle w:val="HideTWBExt"/>
        </w:rPr>
        <w:t>&lt;/NumAm&gt;</w:t>
      </w:r>
    </w:p>
    <w:p>
      <w:pPr>
        <w:pStyle w:val="NormalBold"/>
      </w:pPr>
      <w:r>
        <w:rPr>
          <w:rStyle w:val="HideTWBExt"/>
          <w:b w:val="0"/>
        </w:rPr>
        <w:t>&lt;RepeatBlock-By&gt;</w:t>
      </w:r>
      <w:r>
        <w:rPr>
          <w:rStyle w:val="HideTWBExt"/>
          <w:b w:val="0"/>
        </w:rPr>
        <w:t>&lt;Members&gt;</w:t>
      </w:r>
      <w:r>
        <w:t>Billy Kelleher, Pascal Canfin, 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rozumie, że mobilizacja europejskich inwestorów instytucjonalnych, w szczególności zakładów ubezpieczeń i funduszy emerytalnych, ma zasadnicze znaczenie dla zlikwidowania luki w zwiększaniu skali działalności; </w:t>
            </w:r>
            <w:r>
              <w:rPr>
                <w:b/>
                <w:i/>
              </w:rPr>
              <w:t>zauważa, że trzeba zwiększyć udział</w:t>
            </w:r>
            <w:r>
              <w:t xml:space="preserve"> funduszy venture capital w </w:t>
            </w:r>
            <w:r>
              <w:rPr>
                <w:b/>
                <w:i/>
              </w:rPr>
              <w:t>Europie, aby zapewnić większe finansowanie przedsiębiorstwom scale-up</w:t>
            </w:r>
            <w:r>
              <w:t>;</w:t>
            </w:r>
          </w:p>
        </w:tc>
        <w:tc>
          <w:tcPr>
            <w:tcW w:w="4876" w:type="dxa"/>
            <w:tcBorders>
              <w:top w:val="nil"/>
              <w:left w:val="nil"/>
              <w:bottom w:val="nil"/>
              <w:right w:val="nil"/>
            </w:tcBorders>
          </w:tcPr>
          <w:p>
            <w:pPr>
              <w:pStyle w:val="Normal6a"/>
            </w:pPr>
            <w:r>
              <w:t>17.</w:t>
            </w:r>
            <w:r>
              <w:tab/>
            </w:r>
            <w:r>
              <w:t>rozumie, że mobilizacja europejskich inwestorów instytucjonalnych, w szczególności zakładów ubezpieczeń</w:t>
            </w:r>
            <w:r>
              <w:rPr>
                <w:b/>
                <w:i/>
              </w:rPr>
              <w:t>, banków</w:t>
            </w:r>
            <w:r>
              <w:t xml:space="preserve"> i funduszy emerytalnych, ma zasadnicze znaczenie dla zlikwidowania luki w zwiększaniu skali działalności; </w:t>
            </w:r>
            <w:r>
              <w:rPr>
                <w:b/>
                <w:i/>
              </w:rPr>
              <w:t>dostrzega potencjał kapitału wysokiego ryzyka, funduszy wzrostu i funduszy private equity w zapewnianiu większego finansowania MŚP i przedsiębiorstwom scale-up oraz wzywa Komisję do rozważenia środków mających na celu poprawę otoczenia inwestycyjnego dla transgranicznych</w:t>
            </w:r>
            <w:r>
              <w:t xml:space="preserve"> funduszy venture capital w </w:t>
            </w:r>
            <w:r>
              <w:rPr>
                <w:b/>
                <w:i/>
              </w:rPr>
              <w:t>ramach unii oszczędności i inwestycji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356</w:t>
      </w:r>
      <w:r>
        <w:rPr>
          <w:rStyle w:val="HideTWBExt"/>
        </w:rPr>
        <w:t>&lt;/NumAm&gt;</w:t>
      </w:r>
    </w:p>
    <w:p>
      <w:pPr>
        <w:pStyle w:val="NormalBold"/>
      </w:pPr>
      <w:r>
        <w:rPr>
          <w:rStyle w:val="HideTWBExt"/>
          <w:b w:val="0"/>
        </w:rPr>
        <w:t>&lt;RepeatBlock-By&gt;</w:t>
      </w:r>
      <w:r>
        <w:rPr>
          <w:rStyle w:val="HideTWBExt"/>
          <w:b w:val="0"/>
        </w:rPr>
        <w:t>&lt;Members&gt;</w:t>
      </w:r>
      <w:r>
        <w:t>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podkreśla, że oprócz zapewnienia właściwego funkcjonowania rynku wewnętrznego pomoc państwa może być strategicznym narzędziem propagowania zrównoważonego wzrostu europejskiej tkanki produkcyjnej;</w:t>
            </w:r>
            <w:r>
              <w:t xml:space="preserve"> </w:t>
            </w:r>
            <w:r>
              <w:rPr>
                <w:b/>
                <w:i/>
              </w:rPr>
              <w:t>w związku z tym wzywa Komisję do przeprowadzenia starannej oceny potencjału pomocy państwa w tworzeniu korzystnych warunków dla rozwoju i odporności małych i średnich przedsiębiorstw oraz przedsiębiorstw scale-up, zwłaszcza w innowacyjnych i strategicznych sektorach, takich jak energetyka i technologia, a także w regionach Unii znajdujących się w niekorzystnej sytuacji i słabiej rozwiniętych;</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357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wzywa Komisję do wspierania rozwoju specjalnych rynków na rzecz wzrostu dla MŚP i przedsiębiorstw scale-up, aby poprawić dostęp innowacyjnych przedsiębiorstw do publicznych rynków akcji i ułatwić inwestorom wychodzenie z rynku;</w:t>
            </w:r>
            <w:r>
              <w:t xml:space="preserve"> </w:t>
            </w:r>
            <w:r>
              <w:rPr>
                <w:b/>
                <w:i/>
              </w:rPr>
              <w:t>popiera utworzenie ogólnounijnych ram w odniesieniu do giełd dla MŚP i przedsiębiorstw scale-up, z uproszczonymi wymogami dotyczącymi notowania i zwiększoną ochroną inwestorów;</w:t>
            </w:r>
            <w:r>
              <w:t xml:space="preserve"> </w:t>
            </w:r>
            <w:r>
              <w:rPr>
                <w:b/>
                <w:i/>
              </w:rPr>
              <w:t>wzywa Komisję Europejską do utworzenia unijnego szerokiego funduszu rynku w celu ukierunkowania inwestycji instytucjonalnych na rynki akcji, uwzględniając przedsiębiorstwa typu start-up;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358</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zwraca się do Komisji i Europejskiego Urzędu Nadzoru Giełd i Papierów Wartościowych o dopilnowanie, by akty delegowane i wykonawcze pakietu dotyczącego dopuszczania do obrotu giełdowego były jak najprostsze, i o minimalizowanie obciążeń;</w:t>
            </w:r>
            <w:r>
              <w:t xml:space="preserve"> </w:t>
            </w:r>
            <w:r>
              <w:rPr>
                <w:b/>
                <w:i/>
              </w:rPr>
              <w:t>przypomina, że pakiet dotyczący dopuszczania do obrotu giełdowego przyjęto w kwietniu 2024 r., aby ułatwić dopuszczanie do obrotu giełdowego mniejszych przedsiębiorstw;</w:t>
            </w:r>
            <w:r>
              <w:t xml:space="preserve"> </w:t>
            </w:r>
            <w:r>
              <w:rPr>
                <w:b/>
                <w:i/>
              </w:rPr>
              <w:t>wyraża zaniepokojenie ograniczeniami chroniącymi nowych akcjonariuszy, które mogą być przyjmowane według uznania krajowego, co może wprowadzać przeszkody w integracji rynków kapitałowych;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359</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podkreśla, że kapitał własny jest głównym instrumentem finansowania dla innowacyjnych i szybko rozwijających się przedsiębiorstw, zwłaszcza na wczesnym etapie i na etapie ekspansji;</w:t>
            </w:r>
            <w:r>
              <w:t xml:space="preserve"> </w:t>
            </w:r>
            <w:r>
              <w:rPr>
                <w:b/>
                <w:i/>
              </w:rPr>
              <w:t>przypomina, że ograniczona dostępność kapitału wysokiego ryzyka w wielu państwach członkowskich oraz rozdrobnienie europejskich rynków kapitałowych ograniczają konkurencyjność unijnych przedsiębiorstw;</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360</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podkreśla, że pierwsze oferty publiczne (IPO) są ważną strategią wyjścia dla przedsiębiorców;</w:t>
            </w:r>
            <w:r>
              <w:t xml:space="preserve"> </w:t>
            </w:r>
            <w:r>
              <w:rPr>
                <w:b/>
                <w:i/>
              </w:rPr>
              <w:t>uważa, że dynamiczny rynek IPO jest podstawą dobrze funkcjonującego ekosystemu finansowania, który przynosi korzyści młodym i innowacyjnym przedsiębiorstwom;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361</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przypomina, że dostęp do rynków kapitałowych, w tym zarówno rynków długu, jak i akcji, pociąga za sobą znaczne koszty dla MŚP;</w:t>
            </w:r>
            <w:r>
              <w:t xml:space="preserve"> </w:t>
            </w:r>
            <w:r>
              <w:rPr>
                <w:b/>
                <w:i/>
              </w:rPr>
              <w:t>podkreśla, że unijne ramy dopuszczania do obrotu giełdowego muszą być elastyczne i proporcjonalne;</w:t>
            </w:r>
            <w:r>
              <w:t xml:space="preserve"> </w:t>
            </w:r>
            <w:r>
              <w:rPr>
                <w:b/>
                <w:i/>
              </w:rPr>
              <w:t>z zadowoleniem odnosi się do przyjęcia aktu dotyczącego dopuszczania do obrotu giełdowego i wzywa do jego szybkiego wdrożenia;</w:t>
            </w:r>
            <w:r>
              <w:t xml:space="preserve"> </w:t>
            </w:r>
            <w:r>
              <w:rPr>
                <w:b/>
                <w:i/>
              </w:rPr>
              <w:t>podkreśla, że przedsiębiorstwa zdecydują się na notowanie na giełdzie tylko wtedy, gdy ujawnienie informacji, odpowiedzialność i obciążenia administracyjne będą rozsądne i akceptowalne;</w:t>
            </w:r>
            <w:r>
              <w:t xml:space="preserve"> </w:t>
            </w:r>
            <w:r>
              <w:rPr>
                <w:b/>
                <w:i/>
              </w:rPr>
              <w:t>zwraca uwagę, że dotyczy to również wymogów w zakresie działań następczych w odniesieniu do spółek giełdowych;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362</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podkreśla, że aby przyciągnąć więcej kapitału wysokiego ryzyka i zachęcić do inwestowania w innowacyjne przedsiębiorstwa, należy usprawnić mechanizmy wyjścia dla inwestorów (wejście na giełdę, transgraniczne przejęcia itp.) dzięki większej harmonizacji i dostępności europejskich notowań giełdowych i łączenia przedsiębiorstw;</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363</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17c.</w:t>
            </w:r>
            <w:r>
              <w:tab/>
            </w:r>
            <w:r>
              <w:rPr>
                <w:b/>
                <w:i/>
              </w:rPr>
              <w:t>zauważa, że w przekształconej dyrektywie w sprawie rynków instrumentów finansowych (MiFID II) przewidziano specjalną kategorię rynków na rzecz wzrostu MŚP, które mają zaspokajać szczególne potrzeby mniejszych przedsiębiorstw;</w:t>
            </w:r>
            <w:r>
              <w:t xml:space="preserve"> </w:t>
            </w:r>
            <w:r>
              <w:rPr>
                <w:b/>
                <w:i/>
              </w:rPr>
              <w:t>wzywa Komisję Europejską do dalszego rozwijania tego instrumentu przez zapewnienie bardziej elastycznego systemu regulacyjnego dostosowanego do potrzeb małych spółek i spółek o średniej kapitalizacji;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364</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 d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17d.</w:t>
            </w:r>
            <w:r>
              <w:tab/>
            </w:r>
            <w:r>
              <w:rPr>
                <w:b/>
                <w:i/>
              </w:rPr>
              <w:t>wzywa do szybkiego i ambitnego przeglądu rozporządzenia w sprawie europejskich funduszy venture capital (EuVECA);</w:t>
            </w:r>
            <w:r>
              <w:t xml:space="preserve"> </w:t>
            </w:r>
            <w:r>
              <w:rPr>
                <w:b/>
                <w:i/>
              </w:rPr>
              <w:t>podkreśla, że taki przegląd powinien obejmować rozszerzenie zakresu aktywów i strategii inwestycyjnych;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365</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18.</w:t>
            </w:r>
            <w:r>
              <w:tab/>
            </w:r>
            <w:r>
              <w:rPr>
                <w:b/>
                <w:i/>
              </w:rPr>
              <w:t>zachęca Komisję do wzmocnienia platform współinwestycyjnych w celu przyciągnięcia inwestycji prywatnych;</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366</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18.</w:t>
            </w:r>
            <w:r>
              <w:tab/>
            </w:r>
            <w:r>
              <w:rPr>
                <w:b/>
                <w:i/>
              </w:rPr>
              <w:t>zachęca Komisję do wzmocnienia platform współinwestycyjnych w celu przyciągnięcia inwestycji prywatnych;</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367</w:t>
      </w:r>
      <w:r>
        <w:rPr>
          <w:rStyle w:val="HideTWBExt"/>
        </w:rPr>
        <w:t>&lt;/NumAm&gt;</w:t>
      </w:r>
    </w:p>
    <w:p>
      <w:pPr>
        <w:pStyle w:val="NormalBold"/>
      </w:pPr>
      <w:r>
        <w:rPr>
          <w:rStyle w:val="HideTWBExt"/>
          <w:b w:val="0"/>
        </w:rPr>
        <w:t>&lt;RepeatBlock-By&gt;</w:t>
      </w:r>
      <w:r>
        <w:rPr>
          <w:rStyle w:val="HideTWBExt"/>
          <w:b w:val="0"/>
        </w:rPr>
        <w:t>&lt;Members&gt;</w:t>
      </w:r>
      <w:r>
        <w:t>Pascal Canfin, Stéphanie Yon-Courtin, Billy Kelleher,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zachęca Komisję do wzmocnienia platform współinwestycyjnych w celu przyciągnięcia inwestycji prywatnych;</w:t>
            </w:r>
          </w:p>
        </w:tc>
        <w:tc>
          <w:tcPr>
            <w:tcW w:w="4876" w:type="dxa"/>
            <w:tcBorders>
              <w:top w:val="nil"/>
              <w:left w:val="nil"/>
              <w:bottom w:val="nil"/>
              <w:right w:val="nil"/>
            </w:tcBorders>
          </w:tcPr>
          <w:p>
            <w:pPr>
              <w:pStyle w:val="Normal6a"/>
            </w:pPr>
            <w:r>
              <w:t>18.</w:t>
            </w:r>
            <w:r>
              <w:tab/>
            </w:r>
            <w:r>
              <w:t xml:space="preserve">zachęca Komisję do wzmocnienia platform współinwestycyjnych w celu przyciągnięcia inwestycji prywatnych; </w:t>
            </w:r>
            <w:r>
              <w:rPr>
                <w:b/>
                <w:i/>
              </w:rPr>
              <w:t>apeluje, aby w przyszłej europejskiej inicjatywie na rzecz liderów technologii 2.0, zapowiedzianej w komunikacie Komisji w sprawie unii oszczędności i inwestycji, zwiększyć środki finansowe na wsparcie finansowania unijnego i wejście na giełdę przedsiębiorstw typu start-up;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368</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zachęca Komisję do wzmocnienia platform współinwestycyjnych w celu przyciągnięcia inwestycji prywatnych;</w:t>
            </w:r>
          </w:p>
        </w:tc>
        <w:tc>
          <w:tcPr>
            <w:tcW w:w="4876" w:type="dxa"/>
            <w:tcBorders>
              <w:top w:val="nil"/>
              <w:left w:val="nil"/>
              <w:bottom w:val="nil"/>
              <w:right w:val="nil"/>
            </w:tcBorders>
          </w:tcPr>
          <w:p>
            <w:pPr>
              <w:pStyle w:val="Normal6a"/>
            </w:pPr>
            <w:r>
              <w:t>18.</w:t>
            </w:r>
            <w:r>
              <w:tab/>
            </w:r>
            <w:r>
              <w:t xml:space="preserve">zachęca Komisję do wzmocnienia platform współinwestycyjnych w celu przyciągnięcia inwestycji prywatnych; </w:t>
            </w:r>
            <w:r>
              <w:rPr>
                <w:b/>
                <w:i/>
              </w:rPr>
              <w:t>popiera wysiłki na rzecz wzmocnienia regionalnych platform współinwestycyjnych i sieci aniołów biznesu jako sposobu na poprawę dostępu do kapitału dla szybko rozwijających się i opartych na innowacjach MŚP, co przyczyni się do wyeliminowania utrzymujących się luk w finansowaniu na wczesnym etapie;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369</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18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podkreśla, że wspieranie MŚP jest jednym z zasadniczych celów grupy EBI;</w:t>
            </w:r>
            <w:r>
              <w:t xml:space="preserve"> </w:t>
            </w:r>
            <w:r>
              <w:rPr>
                <w:b/>
                <w:i/>
              </w:rPr>
              <w:t>w związku z tym podkreśla potrzebę przyjęcia bardziej elastycznych ram oceny ryzyka, aby lepiej wspierać także mniejsze projekty i przedsiębiorstwa, które odgrywają zasadniczą rolę w zwiększaniu konkurencyjności i wspieraniu rozwoju gospodarczego sprzyjającego włączeniu społecznemu we wszystkich państwach członkowskich; podkreśla, że większy dostęp do kredytów, tworzenie dostosowanych do potrzeb instrumentów finansowych oraz ukierunkowane inwestycje w MŚP mogą wywrzeć znaczący pozytywny wpływ, przyczyniając się do odporności gospodarczej Unii;</w:t>
            </w:r>
            <w:r>
              <w:t xml:space="preserve"> </w:t>
            </w:r>
            <w:r>
              <w:rPr>
                <w:b/>
                <w:i/>
              </w:rPr>
              <w:t>wzywa EBI do zwiększenia finansowanie na rzecz inwestycji prywatnych;</w:t>
            </w:r>
            <w:r>
              <w:t xml:space="preserve"> </w:t>
            </w:r>
            <w:r>
              <w:rPr>
                <w:b/>
                <w:i/>
              </w:rPr>
              <w:t>wzywa grupę EBI do znacznego zwiększenia części rocznego finansowania przeznaczonego na inwestycje sektora prywatnego, uznając ich kluczową rolę w stymulowaniu wzrostu gospodarczego, tworzeniu miejsc pracy i postępie technologicznym w Unii Europejskiej;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370</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18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wyraża poparcie dla komunikatu w sprawie unii oszczędności i inwestycji w odniesieniu do znaczenia publicznego wsparcia finansowego na szczeblu UE dla finansowania rozwijających się przedsiębiorstw;</w:t>
            </w:r>
            <w:r>
              <w:t xml:space="preserve"> </w:t>
            </w:r>
            <w:r>
              <w:rPr>
                <w:b/>
                <w:i/>
              </w:rPr>
              <w:t>w związku z tym wzywa do przekierowania funduszy UE z mniejszą liczbą programów oraz do większej elastyczności w celu przesuwania środków między priorytetami w miarę upływu czasu;</w:t>
            </w:r>
            <w:r>
              <w:t xml:space="preserve"> </w:t>
            </w:r>
            <w:r>
              <w:rPr>
                <w:b/>
                <w:i/>
              </w:rPr>
              <w:t>zaleca specjalne systemy finansowania dla „technologicznych przedsiębiorstw scale-up”;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371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18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wzywa Komisję do przeglądu dyrektywy IORP II mającej na celu mobilizację zwłaszcza funduszy ubezpieczeniowych i emerytalnych do zwiększenia ich udziału w funduszach venture capital w Europie, aby zapewnić większe finansowanie przedsiębiorstwom typu start-up i przedsiębiorstwom scale-up;</w:t>
            </w:r>
            <w:r>
              <w:t xml:space="preserve"> </w:t>
            </w:r>
            <w:r>
              <w:rPr>
                <w:b/>
                <w:i/>
              </w:rPr>
              <w:t>zaangażowanie inwestorów instytucjonalnych ma kluczowe znaczenie dla ograniczenia luki w zwiększaniu skali i luki inwestycyjnej w Europie;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372</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18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18b.</w:t>
            </w:r>
            <w:r>
              <w:tab/>
            </w:r>
            <w:r>
              <w:rPr>
                <w:b/>
                <w:i/>
              </w:rPr>
              <w:t>z zadowoleniem przyjmuje zbliżające się uruchomienie platformy TechEU Europejskiego Banku Inwestycyjnego i podkreśla jej potencjał w zakresie wyeliminowania krytycznych luk w finansowaniu, z którymi borykają się przedsiębiorstwa typu start-up w sektorze technologicznym;</w:t>
            </w:r>
            <w:r>
              <w:t xml:space="preserve"> </w:t>
            </w:r>
            <w:r>
              <w:rPr>
                <w:b/>
                <w:i/>
              </w:rPr>
              <w:t>wzywa grupę EBI do dopilnowania, by platforma TechEU była szeroko dostępna we wszystkich państwach członkowskich, w tym dzięki uproszczonym procedurom, tak aby zagwarantować, że będzie przyciągać talenty, inwestycje i kapitał we wszystkich państwach członkowskich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373</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19.</w:t>
            </w:r>
            <w:r>
              <w:tab/>
            </w:r>
            <w:r>
              <w:rPr>
                <w:b/>
                <w:i/>
              </w:rPr>
              <w:t>podkreśla, jak ważne jest, by ukierunkować oszczędności obywateli na produktywne instrumenty inwestycyjne, które mogą przynieść korzyści MŚP i przedsiębiorstwom scale-up;</w:t>
            </w:r>
            <w:r>
              <w:t xml:space="preserve"> </w:t>
            </w:r>
            <w:r>
              <w:rPr>
                <w:b/>
                <w:i/>
              </w:rPr>
              <w:t>zachęca Komisję, aby propagowała proste i bezpieczne kanały inwestycji detalicznych oraz usuwała regulacje, które zniechęcają do inwestowania;</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374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19.</w:t>
            </w:r>
            <w:r>
              <w:tab/>
            </w:r>
            <w:r>
              <w:rPr>
                <w:b/>
                <w:i/>
              </w:rPr>
              <w:t>podkreśla, jak ważne jest, by ukierunkować oszczędności obywateli na produktywne instrumenty inwestycyjne, które mogą przynieść korzyści MŚP i przedsiębiorstwom scale-up;</w:t>
            </w:r>
            <w:r>
              <w:t xml:space="preserve"> </w:t>
            </w:r>
            <w:r>
              <w:rPr>
                <w:b/>
                <w:i/>
              </w:rPr>
              <w:t>zachęca Komisję, aby propagowała proste i bezpieczne kanały inwestycji detalicznych oraz usuwała regulacje, które zniechęcają do inwestowania;</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375</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podkreśla, jak ważne jest, by ukierunkować oszczędności obywateli na produktywne instrumenty inwestycyjne, które mogą przynieść korzyści MŚP i przedsiębiorstwom scale-up; </w:t>
            </w:r>
            <w:r>
              <w:rPr>
                <w:b/>
                <w:i/>
              </w:rPr>
              <w:t>zachęca Komisję, aby propagowała proste i bezpieczne kanały inwestycji</w:t>
            </w:r>
            <w:r>
              <w:t xml:space="preserve"> detalicznych </w:t>
            </w:r>
            <w:r>
              <w:rPr>
                <w:b/>
                <w:i/>
              </w:rPr>
              <w:t>oraz usuwała regulacje, które zniechęcają do inwestowania</w:t>
            </w:r>
            <w:r>
              <w:t>;</w:t>
            </w:r>
          </w:p>
        </w:tc>
        <w:tc>
          <w:tcPr>
            <w:tcW w:w="4876" w:type="dxa"/>
            <w:tcBorders>
              <w:top w:val="nil"/>
              <w:left w:val="nil"/>
              <w:bottom w:val="nil"/>
              <w:right w:val="nil"/>
            </w:tcBorders>
          </w:tcPr>
          <w:p>
            <w:pPr>
              <w:pStyle w:val="Normal6a"/>
            </w:pPr>
            <w:r>
              <w:t>19.</w:t>
            </w:r>
            <w:r>
              <w:tab/>
            </w:r>
            <w:r>
              <w:t xml:space="preserve">podkreśla, jak ważne jest, by ukierunkować oszczędności obywateli na produktywne instrumenty inwestycyjne, które mogą przynieść korzyści MŚP i przedsiębiorstwom scale-up; </w:t>
            </w:r>
            <w:r>
              <w:rPr>
                <w:b/>
                <w:i/>
              </w:rPr>
              <w:t>zwraca uwagę, że bezpośrednie inwestycje inwestorów</w:t>
            </w:r>
            <w:r>
              <w:t xml:space="preserve"> detalicznych </w:t>
            </w:r>
            <w:r>
              <w:rPr>
                <w:b/>
                <w:i/>
              </w:rPr>
              <w:t>w MŚP i przedsiębiorstwa scale-up są często trudne ze względu na dostęp i dywersyfikację oraz że kluczową rolę odgrywają tu pośrednicy, tacy jak zakłady ubezpieczeń i fundusze emerytalne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376</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podkreśla, jak ważne jest, by ukierunkować oszczędności obywateli na produktywne instrumenty inwestycyjne, które mogą przynieść korzyści MŚP i przedsiębiorstwom scale-up; zachęca Komisję, aby propagowała proste i bezpieczne kanały inwestycji detalicznych oraz </w:t>
            </w:r>
            <w:r>
              <w:rPr>
                <w:b/>
                <w:i/>
              </w:rPr>
              <w:t>usuwała regulacje, które zniechęcają do inwestowania</w:t>
            </w:r>
            <w:r>
              <w:t>;</w:t>
            </w:r>
          </w:p>
        </w:tc>
        <w:tc>
          <w:tcPr>
            <w:tcW w:w="4876" w:type="dxa"/>
            <w:tcBorders>
              <w:top w:val="nil"/>
              <w:left w:val="nil"/>
              <w:bottom w:val="nil"/>
              <w:right w:val="nil"/>
            </w:tcBorders>
          </w:tcPr>
          <w:p>
            <w:pPr>
              <w:pStyle w:val="Normal6a"/>
            </w:pPr>
            <w:r>
              <w:t>19.</w:t>
            </w:r>
            <w:r>
              <w:tab/>
            </w:r>
            <w:r>
              <w:t xml:space="preserve">podkreśla, jak ważne jest, by ukierunkować oszczędności obywateli na produktywne instrumenty inwestycyjne, które mogą przynieść korzyści MŚP i przedsiębiorstwom scale-up; zachęca Komisję, aby propagowała proste i bezpieczne kanały inwestycji detalicznych oraz </w:t>
            </w:r>
            <w:r>
              <w:rPr>
                <w:b/>
                <w:i/>
              </w:rPr>
              <w:t>zagwarantowała, że inwestorzy detaliczni będą odpowiednio chronieni przy podejmowaniu decyzji inwestycyjnych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377</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podkreśla, jak ważne jest</w:t>
            </w:r>
            <w:r>
              <w:rPr>
                <w:b/>
                <w:i/>
              </w:rPr>
              <w:t>, by ukierunkować</w:t>
            </w:r>
            <w:r>
              <w:t xml:space="preserve"> oszczędności </w:t>
            </w:r>
            <w:r>
              <w:rPr>
                <w:b/>
                <w:i/>
              </w:rPr>
              <w:t>obywateli</w:t>
            </w:r>
            <w:r>
              <w:t xml:space="preserve"> na produktywne instrumenty inwestycyjne, które mogą przynieść korzyści MŚP i przedsiębiorstwom scale-up; zachęca Komisję, aby propagowała proste i bezpieczne </w:t>
            </w:r>
            <w:r>
              <w:rPr>
                <w:b/>
                <w:i/>
              </w:rPr>
              <w:t>kanały</w:t>
            </w:r>
            <w:r>
              <w:t xml:space="preserve"> inwestycji detalicznych oraz usuwała regulacje, które zniechęcają do inwestowania;</w:t>
            </w:r>
          </w:p>
        </w:tc>
        <w:tc>
          <w:tcPr>
            <w:tcW w:w="4876" w:type="dxa"/>
            <w:tcBorders>
              <w:top w:val="nil"/>
              <w:left w:val="nil"/>
              <w:bottom w:val="nil"/>
              <w:right w:val="nil"/>
            </w:tcBorders>
          </w:tcPr>
          <w:p>
            <w:pPr>
              <w:pStyle w:val="Normal6a"/>
            </w:pPr>
            <w:r>
              <w:t>19.</w:t>
            </w:r>
            <w:r>
              <w:tab/>
            </w:r>
            <w:r>
              <w:t xml:space="preserve">podkreśla, jak ważne jest </w:t>
            </w:r>
            <w:r>
              <w:rPr>
                <w:b/>
                <w:i/>
              </w:rPr>
              <w:t>utworzenie odpowiednich warunków, aby obywatele ukierunkowali swoje</w:t>
            </w:r>
            <w:r>
              <w:t xml:space="preserve"> oszczędności na produktywne instrumenty inwestycyjne, które mogą przynieść korzyści MŚP i przedsiębiorstwom scale-up; zachęca Komisję, aby propagowała proste i bezpieczne </w:t>
            </w:r>
            <w:r>
              <w:rPr>
                <w:b/>
                <w:i/>
              </w:rPr>
              <w:t>produkty</w:t>
            </w:r>
            <w:r>
              <w:t xml:space="preserve"> inwestycji detalicznych oraz usuwała regulacje, które zniechęcają do inwestowania;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378</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podkreśla, jak ważne jest</w:t>
            </w:r>
            <w:r>
              <w:rPr>
                <w:b/>
                <w:i/>
              </w:rPr>
              <w:t>, by ukierunkować oszczędności obywateli na produktywne instrumenty inwestycyjne, które mogą</w:t>
            </w:r>
            <w:r>
              <w:t xml:space="preserve"> przynieść korzyści MŚP i przedsiębiorstwom scale-up; zachęca Komisję, aby propagowała proste i bezpieczne kanały inwestycji detalicznych oraz usuwała regulacje, które zniechęcają do inwestowania;</w:t>
            </w:r>
          </w:p>
        </w:tc>
        <w:tc>
          <w:tcPr>
            <w:tcW w:w="4876" w:type="dxa"/>
            <w:tcBorders>
              <w:top w:val="nil"/>
              <w:left w:val="nil"/>
              <w:bottom w:val="nil"/>
              <w:right w:val="nil"/>
            </w:tcBorders>
          </w:tcPr>
          <w:p>
            <w:pPr>
              <w:pStyle w:val="Normal6a"/>
            </w:pPr>
            <w:r>
              <w:t>19.</w:t>
            </w:r>
            <w:r>
              <w:tab/>
            </w:r>
            <w:r>
              <w:t xml:space="preserve">podkreśla, jak ważne jest </w:t>
            </w:r>
            <w:r>
              <w:rPr>
                <w:b/>
                <w:i/>
              </w:rPr>
              <w:t>zwiększenie udziału sektora detalicznego w rynkach kapitałowych, co może</w:t>
            </w:r>
            <w:r>
              <w:t xml:space="preserve"> przynieść korzyści MŚP i przedsiębiorstwom scale-up; zachęca Komisję, aby propagowała proste i bezpieczne kanały inwestycji detalicznych oraz usuwała regulacje, które zniechęcają do inwestowania;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379</w:t>
      </w:r>
      <w:r>
        <w:rPr>
          <w:rStyle w:val="HideTWBExt"/>
        </w:rPr>
        <w:t>&lt;/NumAm&gt;</w:t>
      </w:r>
    </w:p>
    <w:p>
      <w:pPr>
        <w:pStyle w:val="NormalBold"/>
      </w:pPr>
      <w:r>
        <w:rPr>
          <w:rStyle w:val="HideTWBExt"/>
          <w:b w:val="0"/>
        </w:rPr>
        <w:t>&lt;RepeatBlock-By&gt;</w:t>
      </w:r>
      <w:r>
        <w:rPr>
          <w:rStyle w:val="HideTWBExt"/>
          <w:b w:val="0"/>
        </w:rPr>
        <w:t>&lt;Members&gt;</w:t>
      </w:r>
      <w:r>
        <w:t>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19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wzywa Komisję i Europejskie Urzędy Nadzoru do przeprowadzenia przeglądu finansowych ram regulacyjnych i ostrożnościowych pod kątem poprawy dostępu MŚP i przedsiębiorstw scale-up do kredytów bankowych, co zapewni lepszą równowagę między stabilnością finansową a wsparciem dla gospodarki realnej;</w:t>
            </w:r>
            <w:r>
              <w:t xml:space="preserve"> </w:t>
            </w:r>
            <w:r>
              <w:rPr>
                <w:b/>
                <w:i/>
              </w:rPr>
              <w:t>podkreśla kluczową rolę banków lokalnych i spółdzielni kredytowych, głęboko zakorzenionych w miejscowej tkance produkcyjnej, w ocenie stabilności MŚP i odpowiadaniu na ich specyficzne potrzeby;</w:t>
            </w:r>
            <w:r>
              <w:t xml:space="preserve"> </w:t>
            </w:r>
            <w:r>
              <w:rPr>
                <w:b/>
                <w:i/>
              </w:rPr>
              <w:t>apeluje o wspieranie, a nie karanie tych podmiotów w ramach prawodawstwa europejskiego przez propagowanie systemu finansowego bardziej sprzyjającego włączeniu społecznemu i zorientowanego na rozwój;</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380</w:t>
      </w:r>
      <w:r>
        <w:rPr>
          <w:rStyle w:val="HideTWBExt"/>
        </w:rPr>
        <w:t>&lt;/NumAm&gt;</w:t>
      </w:r>
    </w:p>
    <w:p>
      <w:pPr>
        <w:pStyle w:val="NormalBold"/>
      </w:pPr>
      <w:r>
        <w:rPr>
          <w:rStyle w:val="HideTWBExt"/>
          <w:b w:val="0"/>
        </w:rPr>
        <w:t>&lt;RepeatBlock-By&gt;</w:t>
      </w:r>
      <w:r>
        <w:rPr>
          <w:rStyle w:val="HideTWBExt"/>
          <w:b w:val="0"/>
        </w:rPr>
        <w:t>&lt;Members&gt;</w:t>
      </w:r>
      <w:r>
        <w:t>Billy Kelleher, Pascal Canfin, 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19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podkreśla przyjęcie rozporządzenia ustanawiającego europejski pojedynczy punkt dostępu (ESAP), tworzącego ogólnounijną, łatwą do przeszukiwania bazę danych dotyczących sprawozdawczości finansowej i niefinansowej, która zacznie działać w 2027 r.;</w:t>
            </w:r>
            <w:r>
              <w:t xml:space="preserve"> </w:t>
            </w:r>
            <w:r>
              <w:rPr>
                <w:b/>
                <w:i/>
              </w:rPr>
              <w:t>zauważa, że rozporządzenie w sprawie ESAP umożliwia MŚP dobrowolne przekazywanie informacji finansowych i niefinansowych do tej scentralizowanej bazy danych, aby zwiększyć ich widoczność wśród potencjalnych inwestorów;</w:t>
            </w:r>
            <w:r>
              <w:t xml:space="preserve"> </w:t>
            </w:r>
            <w:r>
              <w:rPr>
                <w:b/>
                <w:i/>
              </w:rPr>
              <w:t>zachęca MŚP i przedsiębiorstwa typu start-up do dobrowolnego przekazywania informacji;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381</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19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z zadowoleniem przyjmuje zamiar Komisji, przedstawiony w unijnej strategii na rzecz przedsiębiorstw typu start-up i scale-up z 28 maja, dotyczący opracowania ram wyceny własności intelektualnej w odniesieniu do finansowania zabezpieczonego własnością intelektualną;</w:t>
            </w:r>
            <w:r>
              <w:t xml:space="preserve"> </w:t>
            </w:r>
            <w:r>
              <w:rPr>
                <w:b/>
                <w:i/>
              </w:rPr>
              <w:t>zachęca Komisję do uzupełnienia tego przez ustanowienie ogólnoeuropejskiego instrumentu gwarancji dla pożyczek MŚP zabezpieczonych własnością intelektualną;</w:t>
            </w:r>
            <w:r>
              <w:t xml:space="preserve"> </w:t>
            </w:r>
            <w:r>
              <w:rPr>
                <w:b/>
                <w:i/>
              </w:rPr>
              <w:t>uważa, że taki instrument gwarancji należy rozważyć w przyszłym 28. systemie prawnym;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382</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19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docenia potencjał platform finansowania społecznościowego i nowych narzędzi technologicznych, takich jak inteligentne umowy i finansowanie zdecentralizowane, które zwiększają dostęp MŚP do finansowania bezpośredniego;</w:t>
            </w:r>
            <w:r>
              <w:t xml:space="preserve"> </w:t>
            </w:r>
            <w:r>
              <w:rPr>
                <w:b/>
                <w:i/>
              </w:rPr>
              <w:t>wzywa Komisję do przeglądu ram regulacyjnych z zastosowaniem podejścia opartego na innowacjach i proporcjonalnym ryzyku;</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383</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19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wzywa do przyspieszenia rozwoju unijnego rynku wysokiego ryzyka i niepublicznego rynku akcji przez zwiększenie dostępności finansowania dla inwestycji z udziałem kapitału wysokiego ryzyka, rozwój większych funduszy venture capital na potrzeby inwestycji na późnym etapie, programy publiczne dla inwestycji z udziałem kapitału wysokiego ryzyka i aniołów biznesu oraz aktywne rynki IPO dla przedsiębiorstw korzystających z tego kapitału;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384</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19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wzywa Komisję i państwa członkowskie do priorytetowego traktowania rozwoju ogólnoeuropejskich platform inwestycyjnych i transgranicznych instrumentów finansowych dostosowanych do MŚP i przedsiębiorstw scale-up, zwłaszcza tych działających w sektorach opartych na innowacjach i sektorach ekologicznych;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385</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19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19b.</w:t>
            </w:r>
            <w:r>
              <w:tab/>
            </w:r>
            <w:r>
              <w:rPr>
                <w:b/>
                <w:i/>
              </w:rPr>
              <w:t>zauważa, że nawet krajowy próg finansowania, mający również zastosowanie do mniejszych banków spółdzielczych, może stanowić limit finansowania dla przedsiębiorstw typu start-up;</w:t>
            </w:r>
            <w:r>
              <w:t xml:space="preserve"> </w:t>
            </w:r>
            <w:r>
              <w:rPr>
                <w:b/>
                <w:i/>
              </w:rPr>
              <w:t>takie limity lub progi powinny zostać poddane przeglądowi;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386</w:t>
      </w:r>
      <w:r>
        <w:rPr>
          <w:rStyle w:val="HideTWBExt"/>
        </w:rPr>
        <w:t>&lt;/NumAm&gt;</w:t>
      </w:r>
    </w:p>
    <w:p>
      <w:pPr>
        <w:pStyle w:val="NormalBold"/>
      </w:pPr>
      <w:r>
        <w:rPr>
          <w:rStyle w:val="HideTWBExt"/>
          <w:b w:val="0"/>
        </w:rPr>
        <w:t>&lt;RepeatBlock-By&gt;</w:t>
      </w:r>
      <w:r>
        <w:rPr>
          <w:rStyle w:val="HideTWBExt"/>
          <w:b w:val="0"/>
        </w:rPr>
        <w:t>&lt;Members&gt;</w:t>
      </w:r>
      <w:r>
        <w:t>Billy Kelleher, Pascal Canfin, 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19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19c.</w:t>
            </w:r>
            <w:r>
              <w:tab/>
            </w:r>
            <w:r>
              <w:rPr>
                <w:b/>
                <w:i/>
              </w:rPr>
              <w:t>podkreśla zobowiązanie – podjęte przez przewodniczącą Komisji w jej wytycznych politycznych na następną kadencję Komisji Europejskiej 2024–2029</w:t>
            </w:r>
            <w:r>
              <w:rPr>
                <w:b/>
                <w:i/>
                <w:vertAlign w:val="superscript"/>
              </w:rPr>
              <w:t>1a</w:t>
            </w:r>
            <w:r>
              <w:t xml:space="preserve"> </w:t>
            </w:r>
            <w:r>
              <w:rPr>
                <w:b/>
                <w:i/>
              </w:rPr>
              <w:t>i powtórzone w piśmie określającym zadania skierowanym do komisarz Albuquerque</w:t>
            </w:r>
            <w:r>
              <w:rPr>
                <w:b/>
                <w:i/>
                <w:vertAlign w:val="superscript"/>
              </w:rPr>
              <w:t>1b</w:t>
            </w:r>
            <w:r>
              <w:rPr>
                <w:b/>
                <w:i/>
              </w:rPr>
              <w:t> – do pracy nad środkami absorbującymi ryzyko, aby przyciągnąć prywatne finansowanie od banków komercyjnych, inwestorów i kapitału wysokiego ryzyka, a tym samym zwiększyć możliwości finansowania dla nowych lub szybko rozwijających się innowacyjnych przedsiębiorstw;</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Przemówienie nowo wybranej przewodniczącej Ursuli von der Leyen pt. „Wybór Europy –</w:t>
            </w:r>
            <w:r>
              <w:t xml:space="preserve"> </w:t>
            </w:r>
            <w:r>
              <w:rPr>
                <w:b/>
                <w:i/>
              </w:rPr>
              <w:t>wytyczne polityczne na następną kadencję Komisji Europejskiej 2024–2029", wygłoszone 18 lipca 2024r. w Strasburgu, https://commission.europa.eu/document/download/e6cd4328-673c-4e7a-8683-f63ffb2cf648_pl?filename=Political%20Guidelines%202024-2029_PL.pdf</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https://commission.europa.eu/document/download/ac06a896-2645-4857-9958-467d2ce6f221_en?filename=Mission%20letter%20-%20ALBUQUERQUE.pdf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387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podkreśla, że bardziej zintegrowany ekosystem innowacji, który będzie obejmował sieć uniwersytetów, przedsiębiorstwa typu start-up, duże przedsiębiorstwa oraz inwestorów kapitału podwyższonego ryzyka i będzie oparty na dostępie do obiektów testowych i infrastruktury technologicznej, ma zasadnicze znaczenie dla wsparcia rozwoju przedsiębiorstw;</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388</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podkreśla, że bardziej zintegrowany ekosystem innowacji, który będzie obejmował sieć uniwersytetów, przedsiębiorstwa typu start-up, duże przedsiębiorstwa oraz inwestorów kapitału podwyższonego ryzyka i będzie oparty na dostępie do obiektów testowych i infrastruktury technologicznej, ma zasadnicze znaczenie dla wsparcia rozwoju przedsiębiorstw;</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389</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podkreśla, że bardziej zintegrowany ekosystem innowacji, który będzie obejmował sieć uniwersytetów, przedsiębiorstwa typu start-up, duże przedsiębiorstwa oraz inwestorów kapitału podwyższonego ryzyka i będzie oparty na dostępie do obiektów testowych i infrastruktury technologicznej, ma zasadnicze znaczenie dla wsparcia rozwoju przedsiębiorstw;</w:t>
            </w:r>
          </w:p>
        </w:tc>
        <w:tc>
          <w:tcPr>
            <w:tcW w:w="4876" w:type="dxa"/>
            <w:tcBorders>
              <w:top w:val="nil"/>
              <w:left w:val="nil"/>
              <w:bottom w:val="nil"/>
              <w:right w:val="nil"/>
            </w:tcBorders>
          </w:tcPr>
          <w:p>
            <w:pPr>
              <w:pStyle w:val="Normal6a"/>
            </w:pPr>
            <w:r>
              <w:t>20.</w:t>
            </w:r>
            <w:r>
              <w:tab/>
            </w:r>
            <w:r>
              <w:t xml:space="preserve">podkreśla, że bardziej zintegrowany ekosystem innowacji, który będzie obejmował sieć uniwersytetów, przedsiębiorstwa typu start-up, duże przedsiębiorstwa oraz inwestorów kapitału podwyższonego ryzyka i będzie oparty na dostępie do obiektów testowych i infrastruktury technologicznej, ma zasadnicze znaczenie dla wsparcia rozwoju przedsiębiorstw; </w:t>
            </w:r>
            <w:r>
              <w:rPr>
                <w:b/>
                <w:i/>
              </w:rPr>
              <w:t>podkreśla również wartość dodaną środowisk biznesowych, które zachęcają do wymiany doświadczeń, wzajemnego uczenia się i rozpowszechniania dobrych praktyk;</w:t>
            </w:r>
            <w:r>
              <w:t xml:space="preserve"> </w:t>
            </w:r>
            <w:r>
              <w:rPr>
                <w:b/>
                <w:i/>
              </w:rPr>
              <w:t>podkreśla rolę, jaką we wspieraniu rozwoju nowych projektów biznesowych mogą odegrać fora przedsiębiorców, prywatne akceleratory i sieci mentorów;</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390</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podkreśla, że bardziej zintegrowany ekosystem innowacji, który będzie obejmował sieć uniwersytetów, przedsiębiorstwa typu start-up, duże przedsiębiorstwa oraz inwestorów kapitału podwyższonego ryzyka i będzie oparty na dostępie do obiektów testowych i infrastruktury technologicznej, ma zasadnicze znaczenie dla wsparcia rozwoju przedsiębiorstw;</w:t>
            </w:r>
          </w:p>
        </w:tc>
        <w:tc>
          <w:tcPr>
            <w:tcW w:w="4876" w:type="dxa"/>
            <w:tcBorders>
              <w:top w:val="nil"/>
              <w:left w:val="nil"/>
              <w:bottom w:val="nil"/>
              <w:right w:val="nil"/>
            </w:tcBorders>
          </w:tcPr>
          <w:p>
            <w:pPr>
              <w:pStyle w:val="Normal6a"/>
            </w:pPr>
            <w:r>
              <w:t>20.</w:t>
            </w:r>
            <w:r>
              <w:tab/>
            </w:r>
            <w:r>
              <w:t xml:space="preserve">podkreśla, że bardziej zintegrowany ekosystem innowacji, który będzie obejmował sieć uniwersytetów, przedsiębiorstwa typu start-up, duże przedsiębiorstwa oraz inwestorów kapitału podwyższonego ryzyka i będzie oparty na dostępie do obiektów testowych i infrastruktury technologicznej, ma zasadnicze znaczenie dla wsparcia rozwoju przedsiębiorstw; </w:t>
            </w:r>
            <w:r>
              <w:rPr>
                <w:b/>
                <w:i/>
              </w:rPr>
              <w:t>wzywa Komisję i państwa członkowskie do korzystania z inicjatyw takich jak sieć zaufanych inwestorów, której celem jest mobilizacja kapitału prywatnego na dużą skalę do wspierania ambicji Europy w zakresie innowacji;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391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20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wzywa Komisję do przeprowadzenia badania i oceny skutków nowych sposobów zapewnienia finansowania kapitałowego tym MŚP, które mogą z niego skorzystać ze względu na swoją wielkość lub perspektywy wzrostu;</w:t>
            </w:r>
            <w:r>
              <w:t xml:space="preserve"> </w:t>
            </w:r>
            <w:r>
              <w:rPr>
                <w:b/>
                <w:i/>
              </w:rPr>
              <w:t>w takim badaniu należy przeanalizować opcje takie jak utworzenie publiczno-prywatnego paneuropejskiego funduszu na rzecz pierwszych ofert publicznych (IPO) lub rozszerzenie finansowania typu mezzanine;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392</w:t>
      </w:r>
      <w:r>
        <w:rPr>
          <w:rStyle w:val="HideTWBExt"/>
        </w:rPr>
        <w:t>&lt;/NumAm&gt;</w:t>
      </w:r>
    </w:p>
    <w:p>
      <w:pPr>
        <w:pStyle w:val="NormalBold"/>
      </w:pPr>
      <w:r>
        <w:rPr>
          <w:rStyle w:val="HideTWBExt"/>
          <w:b w:val="0"/>
        </w:rPr>
        <w:t>&lt;RepeatBlock-By&gt;</w:t>
      </w:r>
      <w:r>
        <w:rPr>
          <w:rStyle w:val="HideTWBExt"/>
          <w:b w:val="0"/>
        </w:rPr>
        <w:t>&lt;Members&gt;</w:t>
      </w:r>
      <w:r>
        <w:t>Anouk Van Brug, Billy Kelleher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20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zachęca państwa członkowskie do zwiększenia udziału w systemach emerytalnych drugiego filaru oraz do skierowania części tych długoterminowych aktywów do funduszy venture i kapitału wzrostu, tworząc tym samym stabilną i stałą bazę inwestorów krajowych dla rozwijających się przedsiębiorstw, co można również osiągnąć przez automatyczną rejestrację;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393</w:t>
      </w:r>
      <w:r>
        <w:rPr>
          <w:rStyle w:val="HideTWBExt"/>
        </w:rPr>
        <w:t>&lt;/NumAm&gt;</w:t>
      </w:r>
    </w:p>
    <w:p>
      <w:pPr>
        <w:pStyle w:val="NormalBold"/>
      </w:pPr>
      <w:r>
        <w:rPr>
          <w:rStyle w:val="HideTWBExt"/>
          <w:b w:val="0"/>
        </w:rPr>
        <w:t>&lt;RepeatBlock-By&gt;</w:t>
      </w:r>
      <w:r>
        <w:rPr>
          <w:rStyle w:val="HideTWBExt"/>
          <w:b w:val="0"/>
        </w:rPr>
        <w:t>&lt;Members&gt;</w:t>
      </w:r>
      <w:r>
        <w:t>Pascal Canfin, 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20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odnotowuje, że przyszła inicjatywa 28. systemu prawnego planowana przez Komisję Europejską może uprościć pracę inwestorów prywatnych i przyciągnąć większy kapitał do europejskich innowacyjnych przedsiębiorstw typu start-up i MŚP;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394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Śródtytuł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Poprawa konkurencyjnego ekosystemu w UE</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395</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Śródtytuł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Poprawa konkurencyjnego ekosystemu w UE</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396</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uważa, że konkurencyjny ekosystem w UE musi składać się z silnych rynków krajowych oraz że różnice między państwami członkowskimi sprzyjają zdrowej konkurencji między nimi, a także zachęcają je, aby utrzymywały dynamikę i atrakcyjność swoich gospodarek;</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397</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uważa, że konkurencyjny ekosystem w UE musi składać się z silnych rynków krajowych oraz że różnice między państwami członkowskimi sprzyjają zdrowej konkurencji między nimi, a także zachęcają je, aby utrzymywały dynamikę i atrakcyjność swoich gospodarek;</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398</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uważa, że konkurencyjny ekosystem w UE musi składać się z silnych rynków krajowych oraz że różnice między państwami członkowskimi sprzyjają zdrowej konkurencji między nimi, a także zachęcają je, aby utrzymywały dynamikę i atrakcyjność swoich gospodarek;</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399</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uważa, że konkurencyjny ekosystem w UE musi składać się z silnych rynków krajowych oraz że różnice między państwami członkowskimi sprzyjają zdrowej konkurencji między nimi, a także zachęcają je, aby utrzymywały dynamikę i atrakcyjność swoich gospodarek;</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400</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uważa, że konkurencyjny ekosystem w UE musi składać się z silnych rynków krajowych oraz że różnice między państwami członkowskimi </w:t>
            </w:r>
            <w:r>
              <w:rPr>
                <w:b/>
                <w:i/>
              </w:rPr>
              <w:t>sprzyjają</w:t>
            </w:r>
            <w:r>
              <w:t xml:space="preserve"> zdrowej konkurencji między </w:t>
            </w:r>
            <w:r>
              <w:rPr>
                <w:b/>
                <w:i/>
              </w:rPr>
              <w:t>nimi, a także</w:t>
            </w:r>
            <w:r>
              <w:t xml:space="preserve"> zachęcają je, aby utrzymywały dynamikę i atrakcyjność swoich gospodarek;</w:t>
            </w:r>
          </w:p>
        </w:tc>
        <w:tc>
          <w:tcPr>
            <w:tcW w:w="4876" w:type="dxa"/>
            <w:tcBorders>
              <w:top w:val="nil"/>
              <w:left w:val="nil"/>
              <w:bottom w:val="nil"/>
              <w:right w:val="nil"/>
            </w:tcBorders>
          </w:tcPr>
          <w:p>
            <w:pPr>
              <w:pStyle w:val="Normal6a"/>
            </w:pPr>
            <w:r>
              <w:t>21.</w:t>
            </w:r>
            <w:r>
              <w:tab/>
            </w:r>
            <w:r>
              <w:t xml:space="preserve">uważa, że konkurencyjny ekosystem w UE musi składać się z silnych rynków krajowych oraz że różnice między państwami członkowskimi </w:t>
            </w:r>
            <w:r>
              <w:rPr>
                <w:b/>
                <w:i/>
              </w:rPr>
              <w:t>odgrywają rolę w promowaniu</w:t>
            </w:r>
            <w:r>
              <w:t xml:space="preserve"> zdrowej konkurencji między </w:t>
            </w:r>
            <w:r>
              <w:rPr>
                <w:b/>
                <w:i/>
              </w:rPr>
              <w:t>państwami członkowskimi na szczeblu UE, a jednocześnie</w:t>
            </w:r>
            <w:r>
              <w:t xml:space="preserve"> zachęcają je, aby utrzymywały dynamikę i atrakcyjność swoich gospodarek; </w:t>
            </w:r>
            <w:r>
              <w:rPr>
                <w:b/>
                <w:i/>
              </w:rPr>
              <w:t>podkreśla jednak, że rynek kapitałowy UE jest obecnie bardzo rozdrobniony, a fragmentacja przebiega wzdłuż granic krajowych, co ogranicza efektywność i utrudnia operatorom rynku wykorzystanie jednolitego rynku i efektu skali, jaki zapewnia bardziej zintegrowany rynek;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401</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uważa, że konkurencyjny ekosystem w UE musi składać się z silnych rynków krajowych oraz że różnice między państwami członkowskimi sprzyjają zdrowej konkurencji między nimi, a także zachęcają je, aby utrzymywały dynamikę i atrakcyjność swoich gospodarek;</w:t>
            </w:r>
          </w:p>
        </w:tc>
        <w:tc>
          <w:tcPr>
            <w:tcW w:w="4876" w:type="dxa"/>
            <w:tcBorders>
              <w:top w:val="nil"/>
              <w:left w:val="nil"/>
              <w:bottom w:val="nil"/>
              <w:right w:val="nil"/>
            </w:tcBorders>
          </w:tcPr>
          <w:p>
            <w:pPr>
              <w:pStyle w:val="Normal6a"/>
            </w:pPr>
            <w:r>
              <w:t>21.</w:t>
            </w:r>
            <w:r>
              <w:tab/>
            </w:r>
            <w:r>
              <w:t xml:space="preserve">uważa, że konkurencyjny ekosystem w UE musi składać się z silnych rynków krajowych oraz że różnice między państwami członkowskimi sprzyjają zdrowej konkurencji między nimi, a także zachęcają je, aby utrzymywały dynamikę i atrakcyjność swoich gospodarek; </w:t>
            </w:r>
            <w:r>
              <w:rPr>
                <w:b/>
                <w:i/>
              </w:rPr>
              <w:t>wzywa Komisję do opracowania rozwiązań, zarówno ustawodawczych, jak i nieustawodawczych, w oparciu o najlepsze praktyki oraz dobrze rozwinięte i dobrze funkcjonujące rynki w niektórych państwach członkowskich;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402</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uważa, że konkurencyjny ekosystem w UE musi </w:t>
            </w:r>
            <w:r>
              <w:rPr>
                <w:b/>
                <w:i/>
              </w:rPr>
              <w:t>składać się z</w:t>
            </w:r>
            <w:r>
              <w:t xml:space="preserve"> silnych </w:t>
            </w:r>
            <w:r>
              <w:rPr>
                <w:b/>
                <w:i/>
              </w:rPr>
              <w:t>rynków</w:t>
            </w:r>
            <w:r>
              <w:t xml:space="preserve"> krajowych </w:t>
            </w:r>
            <w:r>
              <w:rPr>
                <w:b/>
                <w:i/>
              </w:rPr>
              <w:t>oraz że różnice między państwami członkowskimi sprzyjają zdrowej konkurencji między nimi, a także zachęcają je, aby utrzymywały dynamikę i atrakcyjność swoich gospodarek</w:t>
            </w:r>
            <w:r>
              <w:t>;</w:t>
            </w:r>
          </w:p>
        </w:tc>
        <w:tc>
          <w:tcPr>
            <w:tcW w:w="4876" w:type="dxa"/>
            <w:tcBorders>
              <w:top w:val="nil"/>
              <w:left w:val="nil"/>
              <w:bottom w:val="nil"/>
              <w:right w:val="nil"/>
            </w:tcBorders>
          </w:tcPr>
          <w:p>
            <w:pPr>
              <w:pStyle w:val="Normal6a"/>
            </w:pPr>
            <w:r>
              <w:t>21.</w:t>
            </w:r>
            <w:r>
              <w:tab/>
            </w:r>
            <w:r>
              <w:t xml:space="preserve">uważa, że konkurencyjny ekosystem w UE musi </w:t>
            </w:r>
            <w:r>
              <w:rPr>
                <w:b/>
                <w:i/>
              </w:rPr>
              <w:t>opierać się na</w:t>
            </w:r>
            <w:r>
              <w:t xml:space="preserve"> silnych </w:t>
            </w:r>
            <w:r>
              <w:rPr>
                <w:b/>
                <w:i/>
              </w:rPr>
              <w:t>rynkach</w:t>
            </w:r>
            <w:r>
              <w:t xml:space="preserve"> krajowych</w:t>
            </w:r>
            <w:r>
              <w:rPr>
                <w:b/>
                <w:i/>
              </w:rPr>
              <w:t>, ale podkreśla, że nie powinny się one stać barierą dla skutecznej transgranicznej alokacji kapitału ani pretekstem do preferencyjnego traktowania kapitału o określonym pochodzeniu geograficznym;</w:t>
            </w:r>
            <w:r>
              <w:t xml:space="preserve"> </w:t>
            </w:r>
            <w:r>
              <w:rPr>
                <w:b/>
                <w:i/>
              </w:rPr>
              <w:t>nalega, aby dostęp MŚP do finansowania opierał się na kryteriach wydajności, skalowalności i profilu ryzyka</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403</w:t>
      </w:r>
      <w:r>
        <w:rPr>
          <w:rStyle w:val="HideTWBExt"/>
        </w:rPr>
        <w:t>&lt;/NumAm&gt;</w:t>
      </w:r>
    </w:p>
    <w:p>
      <w:pPr>
        <w:pStyle w:val="NormalBold"/>
      </w:pPr>
      <w:r>
        <w:rPr>
          <w:rStyle w:val="HideTWBExt"/>
          <w:b w:val="0"/>
        </w:rPr>
        <w:t>&lt;RepeatBlock-By&gt;</w:t>
      </w:r>
      <w:r>
        <w:rPr>
          <w:rStyle w:val="HideTWBExt"/>
          <w:b w:val="0"/>
        </w:rPr>
        <w:t>&lt;Members&gt;</w:t>
      </w:r>
      <w:r>
        <w:t>Anouk Van Brug, Billy Kelleher, 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uważa, że konkurencyjny ekosystem w UE </w:t>
            </w:r>
            <w:r>
              <w:rPr>
                <w:b/>
                <w:i/>
              </w:rPr>
              <w:t>musi składać</w:t>
            </w:r>
            <w:r>
              <w:t xml:space="preserve"> się z silnych rynków krajowych oraz że </w:t>
            </w:r>
            <w:r>
              <w:rPr>
                <w:b/>
                <w:i/>
              </w:rPr>
              <w:t>różnice między państwami członkowskimi sprzyjają zdrowej konkurencji między nimi, a także zachęcają je, aby utrzymywały dynamikę i atrakcyjność swoich</w:t>
            </w:r>
            <w:r>
              <w:t xml:space="preserve"> gospodarek;</w:t>
            </w:r>
          </w:p>
        </w:tc>
        <w:tc>
          <w:tcPr>
            <w:tcW w:w="4876" w:type="dxa"/>
            <w:tcBorders>
              <w:top w:val="nil"/>
              <w:left w:val="nil"/>
              <w:bottom w:val="nil"/>
              <w:right w:val="nil"/>
            </w:tcBorders>
          </w:tcPr>
          <w:p>
            <w:pPr>
              <w:pStyle w:val="Normal6a"/>
            </w:pPr>
            <w:r>
              <w:t>21.</w:t>
            </w:r>
            <w:r>
              <w:tab/>
            </w:r>
            <w:r>
              <w:t xml:space="preserve">uważa, że konkurencyjny ekosystem w UE </w:t>
            </w:r>
            <w:r>
              <w:rPr>
                <w:b/>
                <w:i/>
              </w:rPr>
              <w:t>składa</w:t>
            </w:r>
            <w:r>
              <w:t xml:space="preserve"> się z silnych rynków krajowych oraz że </w:t>
            </w:r>
            <w:r>
              <w:rPr>
                <w:b/>
                <w:i/>
              </w:rPr>
              <w:t>zdrowa konkurencja zachęca przedsiębiorstwa do innowacyjności i utrzymywania dynamiki i atrakcyjności</w:t>
            </w:r>
            <w:r>
              <w:t xml:space="preserve"> gospodarek;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404</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uważa, że konkurencyjny ekosystem </w:t>
            </w:r>
            <w:r>
              <w:rPr>
                <w:b/>
                <w:i/>
              </w:rPr>
              <w:t>w UE musi składać się z silnych rynków krajowych oraz że różnice</w:t>
            </w:r>
            <w:r>
              <w:t xml:space="preserve"> między państwami członkowskimi </w:t>
            </w:r>
            <w:r>
              <w:rPr>
                <w:b/>
                <w:i/>
              </w:rPr>
              <w:t>sprzyjają zdrowej konkurencji między nimi, a także zachęcają je, aby utrzymywały dynamikę i atrakcyjność swoich gospodarek</w:t>
            </w:r>
            <w:r>
              <w:t>;</w:t>
            </w:r>
          </w:p>
        </w:tc>
        <w:tc>
          <w:tcPr>
            <w:tcW w:w="4876" w:type="dxa"/>
            <w:tcBorders>
              <w:top w:val="nil"/>
              <w:left w:val="nil"/>
              <w:bottom w:val="nil"/>
              <w:right w:val="nil"/>
            </w:tcBorders>
          </w:tcPr>
          <w:p>
            <w:pPr>
              <w:pStyle w:val="Normal6a"/>
            </w:pPr>
            <w:r>
              <w:t>21.</w:t>
            </w:r>
            <w:r>
              <w:tab/>
            </w:r>
            <w:r>
              <w:t xml:space="preserve">uważa, że konkurencyjny ekosystem </w:t>
            </w:r>
            <w:r>
              <w:rPr>
                <w:b/>
                <w:i/>
              </w:rPr>
              <w:t>europejski powinien opierać się na sile dynamicznego ekosystemu;</w:t>
            </w:r>
            <w:r>
              <w:t xml:space="preserve"> </w:t>
            </w:r>
            <w:r>
              <w:rPr>
                <w:b/>
                <w:i/>
              </w:rPr>
              <w:t>podkreśla, że różnorodność regulacyjna, równoważona interoperacyjnością i wspólnymi normami, może sprzyjać zdrowej konkurencji</w:t>
            </w:r>
            <w:r>
              <w:t xml:space="preserve"> między państwami członkowskimi </w:t>
            </w:r>
            <w:r>
              <w:rPr>
                <w:b/>
                <w:i/>
              </w:rPr>
              <w:t>oraz zachęcać do innowacji i inwestycji na szczeblu krajowym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405</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uważa, że konkurencyjny ekosystem w UE musi składać się z </w:t>
            </w:r>
            <w:r>
              <w:rPr>
                <w:b/>
                <w:i/>
              </w:rPr>
              <w:t>silnych rynków krajowych oraz że</w:t>
            </w:r>
            <w:r>
              <w:t xml:space="preserve"> różnice między państwami członkowskimi sprzyjają zdrowej konkurencji między nimi, a także zachęcają je, aby utrzymywały dynamikę i atrakcyjność swoich gospodarek;</w:t>
            </w:r>
          </w:p>
        </w:tc>
        <w:tc>
          <w:tcPr>
            <w:tcW w:w="4876" w:type="dxa"/>
            <w:tcBorders>
              <w:top w:val="nil"/>
              <w:left w:val="nil"/>
              <w:bottom w:val="nil"/>
              <w:right w:val="nil"/>
            </w:tcBorders>
          </w:tcPr>
          <w:p>
            <w:pPr>
              <w:pStyle w:val="Normal6a"/>
            </w:pPr>
            <w:r>
              <w:t>21.</w:t>
            </w:r>
            <w:r>
              <w:tab/>
            </w:r>
            <w:r>
              <w:t xml:space="preserve">uważa, że konkurencyjny ekosystem w UE musi składać się z </w:t>
            </w:r>
            <w:r>
              <w:rPr>
                <w:b/>
                <w:i/>
              </w:rPr>
              <w:t>silnego rynku wewnętrznego, a</w:t>
            </w:r>
            <w:r>
              <w:t xml:space="preserve"> różnice między państwami członkowskimi sprzyjają zdrowej konkurencji między nimi, a także zachęcają je, aby utrzymywały dynamikę i atrakcyjność swoich gospodarek;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406</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21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z zadowoleniem przyjmuje utworzenie Europejskiej Rady ds. Innowacji (EIC), której celem jest wspieranie, za pomocą dotacji i instrumentów finansowych, innowacyjnych przedsiębiorstw typu start-up i scale-up;</w:t>
            </w:r>
            <w:r>
              <w:t xml:space="preserve"> </w:t>
            </w:r>
            <w:r>
              <w:rPr>
                <w:b/>
                <w:i/>
              </w:rPr>
              <w:t>wzywa fundusz EIC do zwrócenia szczególnej uwagi na równowagę geograficzną;</w:t>
            </w:r>
            <w:r>
              <w:t xml:space="preserve"> </w:t>
            </w:r>
            <w:r>
              <w:rPr>
                <w:b/>
                <w:i/>
              </w:rPr>
              <w:t>z zadowoleniem przyjmuje plan działania EIC na rzecz poszerzenia uczestnictwa oraz ogólny cel, jakim jest zwiększenie udziału krajów objętych inicjatywą szerszego uczestnictwa do co najmniej 15 % finansowania we wszystkich instrumentach EIC, zgodnie z zaleceniem Rady EIC;</w:t>
            </w:r>
            <w:r>
              <w:t xml:space="preserve"> </w:t>
            </w:r>
            <w:r>
              <w:rPr>
                <w:b/>
                <w:i/>
              </w:rPr>
              <w:t>wzywa Komisję do pełnego wdrożenia działań zalecanych przez Radę EIC, aby zapewnić prawdziwie europejski wpływ funduszu EIC;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407</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w imieniu grupy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21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dostrzega korzyści płynące z zachęt podatkowych i zdrowej konkurencji podatkowej, zwłaszcza w dziedzinie innowacji i nowych technologii;</w:t>
            </w:r>
            <w:r>
              <w:t xml:space="preserve"> </w:t>
            </w:r>
            <w:r>
              <w:rPr>
                <w:b/>
                <w:i/>
              </w:rPr>
              <w:t>podkreśla, że konkurencja podatkowa różni się od szkodliwych praktyk podatkowych i musi opierać się na jasnych, przejrzystych i sprawiedliwych zasadach;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408</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21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podkreśla potrzebę stworzenia ogólnoeuropejskiego produktu inwestycji detalicznych w celu zmobilizowania oszczędności gospodarstw domowych do inwestycji produkcyjnych w MŚP i przedsiębiorstwa scale-up; apeluje o zharmonizowane przepisy ułatwiające inwestycje transgraniczne i rozwój rynków ukierunkowanych na wzrost MŚP;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409</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21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zwraca się do Komisji o przeanalizowanie możliwości zastosowania środków, które mogą zachęcić mniejsze banki do udziału w alternatywnych instrumentach finansowania, takich jak fundusze venture capital i private equity;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410</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21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21b.</w:t>
            </w:r>
            <w:r>
              <w:tab/>
            </w:r>
            <w:r>
              <w:rPr>
                <w:b/>
                <w:i/>
              </w:rPr>
              <w:t>podkreśla, że Europejska Rada ds. Innowacji musi być wiarygodnym podmiotem rynkowym;</w:t>
            </w:r>
            <w:r>
              <w:t xml:space="preserve"> </w:t>
            </w:r>
            <w:r>
              <w:rPr>
                <w:b/>
                <w:i/>
              </w:rPr>
              <w:t>przypomina, że inwestycje EIC powinny mieć na celu „przyciąganie” inwestorów prywatnych, a nie ich wypieranie; w świetle rosnącej aktywności EIC apeluje o opracowanie jasnej strategii zarządzania funduszem EIC, w tym w odniesieniu do metod i kryteriów alokacji kapitału oraz oceny wyników osób zarządzających funduszem;</w:t>
            </w:r>
            <w:r>
              <w:t xml:space="preserve"> </w:t>
            </w:r>
            <w:r>
              <w:rPr>
                <w:b/>
                <w:i/>
              </w:rPr>
              <w:t>docenia wysokiej jakości analizę należytej staranności przeprowadzoną przez Europejski Bank Inwestycyjny (EBI) i wzywa Komisję do zapewnienia utrzymania tej jakości zgodnie ze standardami rynkowymi;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411</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21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21c.</w:t>
            </w:r>
            <w:r>
              <w:tab/>
            </w:r>
            <w:r>
              <w:rPr>
                <w:b/>
                <w:i/>
              </w:rPr>
              <w:t>zachęca Grupę Europejskiego Banku Inwestycyjnego (EBI), w tym Europejski Fundusz Inwestycyjny i krajowe banki rozwoju, do przeanalizowania wsparcia finansowego dla MŚP, przedsiębiorstw typu start-up i przedsiębiorstw scale-up, również tych działających w sektorach nowych i o wysokim potencjale, w szczególności w obszarach energetyki i odporności na zmianę klimatu oraz transformacji cyfrowej w UE;</w:t>
            </w:r>
            <w:r>
              <w:t xml:space="preserve"> </w:t>
            </w:r>
            <w:r>
              <w:rPr>
                <w:b/>
                <w:i/>
              </w:rPr>
              <w:t>zauważa, że wiele przedsiębiorstw typu start-up nie jest wystarczająco świadomych oferty EBI, i podkreśla, że lepsza komunikacja i działania informacyjne ze strony EBI są niezbędne, aby umożliwić przedsiębiorstwom typu start-up i przedsiębiorstwom scale-up pełne korzystanie z instrumentów i wsparcia finansowego EBI;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412</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21 d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21d.</w:t>
            </w:r>
            <w:r>
              <w:tab/>
            </w:r>
            <w:r>
              <w:rPr>
                <w:b/>
                <w:i/>
              </w:rPr>
              <w:t>uznaje w szczególności, że grupa EBI odgrywa kluczową rolę w zapewnianiu instrumentów i zasobów finansowych do wspierania przedsiębiorstw typu start-up, przedsiębiorstw scale-up i MŚP zajmujących się czystymi technologiami w całej Unii;</w:t>
            </w:r>
            <w:r>
              <w:t xml:space="preserve"> </w:t>
            </w:r>
            <w:r>
              <w:rPr>
                <w:b/>
                <w:i/>
              </w:rPr>
              <w:t>promuje specjalne wsparcie pożyczkowe EBI dla MŚP, przedsiębiorstw typu start-up i przedsiębiorstw scale-up zaangażowanych w transformację ekologiczną i cyfrową w celu wyeliminowania luki w finansowaniu inwestycji w infrastrukturę i zdolności produkcyjne;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413</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21 e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21e.</w:t>
            </w:r>
            <w:r>
              <w:tab/>
            </w:r>
            <w:r>
              <w:rPr>
                <w:b/>
                <w:i/>
              </w:rPr>
              <w:t>przyznaje, że według narzędzia Europejskiego Urzędu Patentowego „Deep Tech Finder” ponad 10 % europejskich przedsiębiorstw typu start-up, które złożyły wnioski o patenty europejskie, skorzystało już z finansowania z EIC;</w:t>
            </w:r>
            <w:r>
              <w:t xml:space="preserve"> </w:t>
            </w:r>
            <w:r>
              <w:rPr>
                <w:b/>
                <w:i/>
              </w:rPr>
              <w:t>jest przekonany o konieczności uświadamiania znaczenia własności intelektualnej;</w:t>
            </w:r>
            <w:r>
              <w:t xml:space="preserve"> </w:t>
            </w:r>
            <w:r>
              <w:rPr>
                <w:b/>
                <w:i/>
              </w:rPr>
              <w:t>jest zdania, że reforma jednolitego patentu jest dobrym przykładem, który ma na celu zapewnienie jednolitej ochrony we wszystkich uczestniczących krajach, na zasadzie punktu kompleksowej obsługi, przez zmniejszenie obciążeń administracyjnych i zapewnienie spójności orzecznictwa;</w:t>
            </w:r>
            <w:r>
              <w:t xml:space="preserve"> </w:t>
            </w:r>
            <w:r>
              <w:rPr>
                <w:b/>
                <w:i/>
              </w:rPr>
              <w:t>wzywa państwa członkowskie, które jeszcze nie ratyfikowały Porozumienia w sprawie Jednolitego Sądu Patentowego, aby uczyniły to z korzyścią dla ekosystemu przedsiębiorstw typu start-up;</w:t>
            </w:r>
            <w:r>
              <w:t xml:space="preserve"> </w:t>
            </w:r>
            <w:r>
              <w:rPr>
                <w:b/>
                <w:i/>
              </w:rPr>
              <w:t>jak dotąd ponad 35 % wnioskodawców, którzy złożyli wniosek o jednolity patent, to MŚP, w porównaniu z 20 % w przypadku zwykłych patentów europejskich;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414</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21 f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21f.</w:t>
            </w:r>
            <w:r>
              <w:tab/>
            </w:r>
            <w:r>
              <w:rPr>
                <w:b/>
                <w:i/>
              </w:rPr>
              <w:t>dostrzega, że w porównaniu z uzyskaniem wielu pojedynczych patentów jednolity patent, ważny we wszystkich uczestniczących państwach członkowskich, zapewnia wnioskodawcom znaczne obniżenie kosztów o około 30 %;</w:t>
            </w:r>
            <w:r>
              <w:t xml:space="preserve"> </w:t>
            </w:r>
            <w:r>
              <w:rPr>
                <w:b/>
                <w:i/>
              </w:rPr>
              <w:t>obecnie koszt uzyskania jednolitego patentu ważnego we wszystkich 18 uczestniczących państwach członkowskich jest równoważny kosztowi uzyskania patentu w czterech różnych państwach członkowskich przed wprowadzeniem jednolitego patentu w 2023 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415</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21 g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21g.</w:t>
            </w:r>
            <w:r>
              <w:tab/>
            </w:r>
            <w:r>
              <w:rPr>
                <w:b/>
                <w:i/>
              </w:rPr>
              <w:t>jest przekonany, że stworzenie warunków umożliwiających innowacyjnym przedsiębiorstwom działanie w prostym, klarownym i przewidywalnym środowisku ma kluczowe znaczenie dla zabezpieczenia ich zdolności do wzrostu i zwiększania skali działalności na rynku wewnętrznym, ponieważ szansa dostępu do szerszego rynku zwiększy ich zdolność do przyciągania inwestorów;</w:t>
            </w:r>
            <w:r>
              <w:t xml:space="preserve"> </w:t>
            </w:r>
            <w:r>
              <w:rPr>
                <w:b/>
                <w:i/>
              </w:rPr>
              <w:t>podkreśla znaczenie ram politycznych ułatwiających i wspierających współpracę przez usuwanie przeszkód wynikających z niespójnych krajowych systemów regulacyjnych oraz zapewnienie niezbędnych zachęt do promowania aktywnego udziału wszystkich zainteresowanych stron w ekosystemie innowacji;</w:t>
            </w:r>
            <w:r>
              <w:t xml:space="preserve"> </w:t>
            </w:r>
            <w:r>
              <w:rPr>
                <w:b/>
                <w:i/>
              </w:rPr>
              <w:t>wzywa do wprowadzenia mechanizmów łagodzących ryzyko związane z ekspansją międzynarodową, zapewniających przedsiębiorstwom typu start-up, przedsiębiorstwom scale-up i MŚP niezbędne wsparcie i wytyczne umożliwiające radzenie sobie z niepewnością nieodłącznie związaną z rynkami światowymi;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416</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21 h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21h.</w:t>
            </w:r>
            <w:r>
              <w:tab/>
            </w:r>
            <w:r>
              <w:rPr>
                <w:b/>
                <w:i/>
              </w:rPr>
              <w:t>z zadowoleniem przyjmuje powołanie pełnomocnika UE ds. MŚP;</w:t>
            </w:r>
            <w:r>
              <w:t xml:space="preserve"> </w:t>
            </w:r>
            <w:r>
              <w:rPr>
                <w:b/>
                <w:i/>
              </w:rPr>
              <w:t>ponadto podkreśla potrzebę dokonania przez tego pełnomocnika wszechstronnej analizy i dostarczania okresowych sprawozdań na temat statusu europejskich przedsiębiorstw typu start-up i przedsiębiorstw scale-up, uwzględniających przeszkody i trudności napotykane przez nie w codziennej działalności;</w:t>
            </w:r>
            <w:r>
              <w:t xml:space="preserve"> </w:t>
            </w:r>
            <w:r>
              <w:rPr>
                <w:b/>
                <w:i/>
              </w:rPr>
              <w:t>zachęca Komisję do wyznaczenia punktów kontaktowych do spraw przedsiębiorstw typu start-up i przedsiębiorstw scale-up w odpowiednich dyrekcjach generalnych w celu lepszej koordynacji dotyczących ich strategii politycznych;</w:t>
            </w:r>
            <w:r>
              <w:t xml:space="preserve"> </w:t>
            </w:r>
            <w:r>
              <w:rPr>
                <w:b/>
                <w:i/>
              </w:rPr>
              <w:t>wzywa Komisję do ustanowienia specjalnej sieci doradców dla przedsiębiorstw scale-up w ramach Europejskiej Sieci Przedsiębiorczości;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417</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21 i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21i.</w:t>
            </w:r>
            <w:r>
              <w:tab/>
            </w:r>
            <w:r>
              <w:rPr>
                <w:b/>
                <w:i/>
              </w:rPr>
              <w:t>podkreśla fundamentalne znaczenie tworzenia inkluzywnego ekosystemu przedsiębiorstw typu start-up, przedsiębiorstw scale-up i MŚP, który zapewnia miejsca pracy z równymi szansami dla wszystkich, w tym dla ludzi młodych, uznanych specjalistów i niedostatecznie reprezentowanych grup;</w:t>
            </w:r>
            <w:r>
              <w:t xml:space="preserve"> </w:t>
            </w:r>
            <w:r>
              <w:rPr>
                <w:b/>
                <w:i/>
              </w:rPr>
              <w:t>wzywa Komisję i państwa członkowskie, by przedstawiły proaktywne inicjatywy i strategie polityczne, które będą aktywnie promować włączenie społeczne przez eliminowanie systemowych barier i uprzedzeń oraz zapewnianie równych warunków działania grupom niedostatecznie reprezentowanym;</w:t>
            </w:r>
            <w:r>
              <w:t xml:space="preserve"> </w:t>
            </w:r>
            <w:r>
              <w:rPr>
                <w:b/>
                <w:i/>
              </w:rPr>
              <w:t>zachęca do opracowywania odpowiednich programów mentorskich, zapewnienia możliwości tworzenia sieci kontaktów oraz inicjatyw edukacyjnych i innych skierowanych szczególnie do grup niedostatecznie reprezentowanych;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418</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21 j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21j.</w:t>
            </w:r>
            <w:r>
              <w:tab/>
            </w:r>
            <w:r>
              <w:rPr>
                <w:b/>
                <w:i/>
              </w:rPr>
              <w:t>zaleca wzmocnienie regionalnych ekosystemów przedsiębiorstw typu start-up, które skupiają lokalne uczelnie, przedsiębiorców, przedsiębiorstwa i podmioty sektora publicznego, w tym przez ośrodki innowacji, inkubatory innowacji, akceleratory i organizacje rozwijające przedsiębiorstwa typu start-up, co pozwoli wykorzystać mocne strony i zasoby każdego regionu;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419</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22.</w:t>
            </w:r>
            <w:r>
              <w:tab/>
            </w:r>
            <w:r>
              <w:rPr>
                <w:b/>
                <w:i/>
              </w:rPr>
              <w:t>wzywa Komisję do skoncentrowania się na warunkach sprzyjających rynkowi, wspólnych mianownikach istotnych dla państw członkowskich oraz dobrowolnych i uzupełniających się ramach, z poszanowaniem zasady pomocniczości;</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420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22.</w:t>
            </w:r>
            <w:r>
              <w:tab/>
            </w:r>
            <w:r>
              <w:rPr>
                <w:b/>
                <w:i/>
              </w:rPr>
              <w:t>wzywa Komisję do skoncentrowania się na warunkach sprzyjających rynkowi, wspólnych mianownikach istotnych dla państw członkowskich oraz dobrowolnych i uzupełniających się ramach, z poszanowaniem zasady pomocniczości;</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421</w:t>
      </w:r>
      <w:r>
        <w:rPr>
          <w:rStyle w:val="HideTWBExt"/>
        </w:rPr>
        <w:t>&lt;/NumAm&gt;</w:t>
      </w:r>
    </w:p>
    <w:p>
      <w:pPr>
        <w:pStyle w:val="NormalBold"/>
      </w:pPr>
      <w:r>
        <w:rPr>
          <w:rStyle w:val="HideTWBExt"/>
          <w:b w:val="0"/>
        </w:rPr>
        <w:t>&lt;RepeatBlock-By&gt;</w:t>
      </w:r>
      <w:r>
        <w:rPr>
          <w:rStyle w:val="HideTWBExt"/>
          <w:b w:val="0"/>
        </w:rPr>
        <w:t>&lt;Members&gt;</w:t>
      </w:r>
      <w:r>
        <w:t>Jonás Fernández, Tsvetelina Penkova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22.</w:t>
            </w:r>
            <w:r>
              <w:tab/>
            </w:r>
            <w:r>
              <w:rPr>
                <w:b/>
                <w:i/>
              </w:rPr>
              <w:t>wzywa Komisję do skoncentrowania się na warunkach sprzyjających rynkowi, wspólnych mianownikach istotnych dla państw członkowskich oraz dobrowolnych i uzupełniających się ramach, z poszanowaniem zasady pomocniczości;</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422</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22.</w:t>
            </w:r>
            <w:r>
              <w:tab/>
            </w:r>
            <w:r>
              <w:rPr>
                <w:b/>
                <w:i/>
              </w:rPr>
              <w:t>wzywa Komisję do skoncentrowania się na warunkach sprzyjających rynkowi, wspólnych mianownikach istotnych dla państw członkowskich oraz dobrowolnych i uzupełniających się ramach, z poszanowaniem zasady pomocniczości;</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423</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wzywa Komisję do skoncentrowania się na </w:t>
            </w:r>
            <w:r>
              <w:rPr>
                <w:b/>
                <w:i/>
              </w:rPr>
              <w:t>warunkach sprzyjających rynkowi, wspólnych mianownikach istotnych</w:t>
            </w:r>
            <w:r>
              <w:t xml:space="preserve"> dla państw członkowskich oraz </w:t>
            </w:r>
            <w:r>
              <w:rPr>
                <w:b/>
                <w:i/>
              </w:rPr>
              <w:t>dobrowolnych i uzupełniających się ramach</w:t>
            </w:r>
            <w:r>
              <w:t>, z poszanowaniem zasady pomocniczości;</w:t>
            </w:r>
          </w:p>
        </w:tc>
        <w:tc>
          <w:tcPr>
            <w:tcW w:w="4876" w:type="dxa"/>
            <w:tcBorders>
              <w:top w:val="nil"/>
              <w:left w:val="nil"/>
              <w:bottom w:val="nil"/>
              <w:right w:val="nil"/>
            </w:tcBorders>
          </w:tcPr>
          <w:p>
            <w:pPr>
              <w:pStyle w:val="Normal6a"/>
            </w:pPr>
            <w:r>
              <w:t>22.</w:t>
            </w:r>
            <w:r>
              <w:tab/>
            </w:r>
            <w:r>
              <w:t xml:space="preserve">wzywa Komisję do skoncentrowania się na </w:t>
            </w:r>
            <w:r>
              <w:rPr>
                <w:b/>
                <w:i/>
              </w:rPr>
              <w:t>usuwaniu barier występujących na jednolitym rynku, zapewniając zharmonizowane warunki ramowe dla rynków i wspólne mianowniki istotne</w:t>
            </w:r>
            <w:r>
              <w:t xml:space="preserve"> dla państw członkowskich oraz </w:t>
            </w:r>
            <w:r>
              <w:rPr>
                <w:b/>
                <w:i/>
              </w:rPr>
              <w:t>dobrowolne i uzupełniające się ramy</w:t>
            </w:r>
            <w:r>
              <w:t xml:space="preserve">, z poszanowaniem zasady pomocniczości </w:t>
            </w:r>
            <w:r>
              <w:rPr>
                <w:b/>
                <w:i/>
              </w:rPr>
              <w:t>i zasady samoograniczenia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424</w:t>
      </w:r>
      <w:r>
        <w:rPr>
          <w:rStyle w:val="HideTWBExt"/>
        </w:rPr>
        <w:t>&lt;/NumAm&gt;</w:t>
      </w:r>
    </w:p>
    <w:p>
      <w:pPr>
        <w:pStyle w:val="NormalBold"/>
      </w:pPr>
      <w:r>
        <w:rPr>
          <w:rStyle w:val="HideTWBExt"/>
          <w:b w:val="0"/>
        </w:rPr>
        <w:t>&lt;RepeatBlock-By&gt;</w:t>
      </w:r>
      <w:r>
        <w:rPr>
          <w:rStyle w:val="HideTWBExt"/>
          <w:b w:val="0"/>
        </w:rPr>
        <w:t>&lt;Members&gt;</w:t>
      </w:r>
      <w:r>
        <w:t>Anouk Van Brug, Billy Kelleher, 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wzywa Komisję do skoncentrowania się na warunkach sprzyjających rynkowi, wspólnych mianownikach istotnych dla państw członkowskich oraz dobrowolnych i uzupełniających się ramach, </w:t>
            </w:r>
            <w:r>
              <w:rPr>
                <w:b/>
                <w:i/>
              </w:rPr>
              <w:t>z poszanowaniem zasady pomocniczości</w:t>
            </w:r>
            <w:r>
              <w:t>;</w:t>
            </w:r>
          </w:p>
        </w:tc>
        <w:tc>
          <w:tcPr>
            <w:tcW w:w="4876" w:type="dxa"/>
            <w:tcBorders>
              <w:top w:val="nil"/>
              <w:left w:val="nil"/>
              <w:bottom w:val="nil"/>
              <w:right w:val="nil"/>
            </w:tcBorders>
          </w:tcPr>
          <w:p>
            <w:pPr>
              <w:pStyle w:val="Normal6a"/>
            </w:pPr>
            <w:r>
              <w:t>22.</w:t>
            </w:r>
            <w:r>
              <w:tab/>
            </w:r>
            <w:r>
              <w:t xml:space="preserve">wzywa Komisję do skoncentrowania się na warunkach sprzyjających rynkowi, wspólnych mianownikach istotnych dla państw członkowskich oraz dobrowolnych i uzupełniających się ramach, </w:t>
            </w:r>
            <w:r>
              <w:rPr>
                <w:b/>
                <w:i/>
              </w:rPr>
              <w:t>oprócz inicjatyw na rzecz rozwoju unii oszczędności i inwestycji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425</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wzywa Komisję do skoncentrowania się na warunkach sprzyjających rynkowi, wspólnych mianownikach istotnych dla państw członkowskich oraz dobrowolnych i uzupełniających się ramach</w:t>
            </w:r>
            <w:r>
              <w:rPr>
                <w:b/>
                <w:i/>
              </w:rPr>
              <w:t>, z poszanowaniem zasady pomocniczości</w:t>
            </w:r>
            <w:r>
              <w:t>;</w:t>
            </w:r>
          </w:p>
        </w:tc>
        <w:tc>
          <w:tcPr>
            <w:tcW w:w="4876" w:type="dxa"/>
            <w:tcBorders>
              <w:top w:val="nil"/>
              <w:left w:val="nil"/>
              <w:bottom w:val="nil"/>
              <w:right w:val="nil"/>
            </w:tcBorders>
          </w:tcPr>
          <w:p>
            <w:pPr>
              <w:pStyle w:val="Normal6a"/>
            </w:pPr>
            <w:r>
              <w:t>22.</w:t>
            </w:r>
            <w:r>
              <w:tab/>
            </w:r>
            <w:r>
              <w:t>wzywa Komisję do skoncentrowania się na warunkach sprzyjających rynkowi, wspólnych mianownikach istotnych dla państw członkowskich oraz dobrowolnych i uzupełniających się ramach;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426</w:t>
      </w:r>
      <w:r>
        <w:rPr>
          <w:rStyle w:val="HideTWBExt"/>
        </w:rPr>
        <w:t>&lt;/NumAm&gt;</w:t>
      </w:r>
    </w:p>
    <w:p>
      <w:pPr>
        <w:pStyle w:val="NormalBold"/>
      </w:pPr>
      <w:r>
        <w:rPr>
          <w:rStyle w:val="HideTWBExt"/>
          <w:b w:val="0"/>
        </w:rPr>
        <w:t>&lt;RepeatBlock-By&gt;</w:t>
      </w:r>
      <w:r>
        <w:rPr>
          <w:rStyle w:val="HideTWBExt"/>
          <w:b w:val="0"/>
        </w:rPr>
        <w:t>&lt;Members&gt;</w:t>
      </w:r>
      <w:r>
        <w:t>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22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zdecydowanie apeluje o przyjęcie kompleksowej i ustrukturyzowanej strategii na szczeblu Unii w celu wsparcia małych i średnich przedsiębiorstw na obszarach wyspiarskich, śródlądowych, najbardziej oddalonych i znajdujących się w niekorzystnej sytuacji gospodarczej oraz we wszystkich częściach Unii cierpiących z powodu trwałych utrudnień naturalnych, takich jak wyspiarski charakter i peryferyjne położenie;</w:t>
            </w:r>
            <w:r>
              <w:t xml:space="preserve"> </w:t>
            </w:r>
            <w:r>
              <w:rPr>
                <w:b/>
                <w:i/>
              </w:rPr>
              <w:t>podkreśla, że należy zapewnić większą elastyczność regulacyjną i ograniczyć biurokrację dla przedsiębiorstw działających na tych obszarach, ze szczególnym uwzględnieniem najbardziej niestabilnych i wyspiarskich obszarów UE;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427</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22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wzywa Komisję Europejską do opracowania i wdrożenia ukierunkowanych instrumentów finansowych dostosowanych do potrzeb mniejszych gospodarek i przedsiębiorstw, zapewniających równy dostęp do finansowania;</w:t>
            </w:r>
            <w:r>
              <w:t xml:space="preserve"> </w:t>
            </w:r>
            <w:r>
              <w:rPr>
                <w:b/>
                <w:i/>
              </w:rPr>
              <w:t>podkreśla, że takie inicjatywy powinny mieć na celu stymulowanie innowacji, wspieranie zrównoważonego wzrostu gospodarczego i zmniejszanie dysproporcji w inwestycjach w Unii, przyczyniając się tym samym do ogólnej konkurencyjności i odporności gospodarki europejskiej;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428</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22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zachęca do utrzymania zharmonizowanych mechanizmów egzekwowania i minimalnych norm dotyczących sankcji we wszystkich państwach członkowskich, aby zagwarantować pewność prawa dla MŚP prowadzących działalność transgraniczną na jednolitym rynku;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429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22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wzywa do usunięcia barier dla inwestycji transgranicznych oraz do wzmocnienia unii rynków kapitałowych, aby ułatwić MŚP dostęp zarówno do rynków akcji, jak i długu;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430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23.</w:t>
            </w:r>
            <w:r>
              <w:tab/>
            </w:r>
            <w:r>
              <w:rPr>
                <w:b/>
                <w:i/>
              </w:rPr>
              <w:t>apeluje do Komisji, aby wyjaśniła, na czym będzie polegał 28. system prawny, i przypomina, że musi on być dobrowolny i w pełni respektować systemy państw członkowskich;</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431</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23.</w:t>
            </w:r>
            <w:r>
              <w:tab/>
            </w:r>
            <w:r>
              <w:rPr>
                <w:b/>
                <w:i/>
              </w:rPr>
              <w:t>apeluje do Komisji, aby wyjaśniła, na czym będzie polegał 28. system prawny, i przypomina, że musi on być dobrowolny i w pełni respektować systemy państw członkowskich;</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432</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rPr>
                <w:b/>
                <w:i/>
              </w:rPr>
              <w:t>apeluje do Komisji, aby wyjaśniła, na czym</w:t>
            </w:r>
            <w:r>
              <w:t xml:space="preserve"> będzie </w:t>
            </w:r>
            <w:r>
              <w:rPr>
                <w:b/>
                <w:i/>
              </w:rPr>
              <w:t>polegał 28.</w:t>
            </w:r>
            <w:r>
              <w:t xml:space="preserve"> system </w:t>
            </w:r>
            <w:r>
              <w:rPr>
                <w:b/>
                <w:i/>
              </w:rPr>
              <w:t>prawny, i przypomina, że musi on być dobrowolny i w pełni</w:t>
            </w:r>
            <w:r>
              <w:t xml:space="preserve"> respektować </w:t>
            </w:r>
            <w:r>
              <w:rPr>
                <w:b/>
                <w:i/>
              </w:rPr>
              <w:t>systemy państw członkowskich</w:t>
            </w:r>
            <w:r>
              <w:t>;</w:t>
            </w:r>
          </w:p>
        </w:tc>
        <w:tc>
          <w:tcPr>
            <w:tcW w:w="4876" w:type="dxa"/>
            <w:tcBorders>
              <w:top w:val="nil"/>
              <w:left w:val="nil"/>
              <w:bottom w:val="nil"/>
              <w:right w:val="nil"/>
            </w:tcBorders>
          </w:tcPr>
          <w:p>
            <w:pPr>
              <w:pStyle w:val="Normal6a"/>
            </w:pPr>
            <w:r>
              <w:t>23.</w:t>
            </w:r>
            <w:r>
              <w:tab/>
            </w:r>
            <w:r>
              <w:rPr>
                <w:b/>
                <w:i/>
              </w:rPr>
              <w:t>z zadowoleniem przyjmuje raport Letty i odniesienie do dobrowolnego 28. systemu prawnego, który</w:t>
            </w:r>
            <w:r>
              <w:t xml:space="preserve"> będzie </w:t>
            </w:r>
            <w:r>
              <w:rPr>
                <w:b/>
                <w:i/>
              </w:rPr>
              <w:t>koncentrował się na przyciąganiu i zatrzymywaniu innowacyjnych przedsiębiorstw typu start-up w Unii Europejskiej;</w:t>
            </w:r>
            <w:r>
              <w:t xml:space="preserve"> </w:t>
            </w:r>
            <w:r>
              <w:rPr>
                <w:b/>
                <w:i/>
              </w:rPr>
              <w:t>podkreśla, że</w:t>
            </w:r>
            <w:r>
              <w:t xml:space="preserve"> system </w:t>
            </w:r>
            <w:r>
              <w:rPr>
                <w:b/>
                <w:i/>
              </w:rPr>
              <w:t>ten powinien</w:t>
            </w:r>
            <w:r>
              <w:t xml:space="preserve"> respektować </w:t>
            </w:r>
            <w:r>
              <w:rPr>
                <w:b/>
                <w:i/>
              </w:rPr>
              <w:t>zasadę proporcjonalności, obniżyć koszty przestrzegania przepisów, wspierać inwestycje transgraniczne oraz zawierać atrakcyjne i proste przepisy podatkowe, które minimalizują zakłócenia, przy jednoczesnym kontynuowaniu walki z uchylaniem się od opodatkowania</w:t>
            </w:r>
            <w:r>
              <w:t xml:space="preserve">; </w:t>
            </w:r>
            <w:r>
              <w:rPr>
                <w:b/>
                <w:i/>
              </w:rPr>
              <w:t>podkreśla, że przestrzeganie tych zasad ma kluczowe znaczenie dla uczynienia UE wiodącym ośrodkiem inwestycji i innowacji;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433</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apeluje do Komisji, aby wyjaśniła, na czym będzie polegał 28. system prawny, i </w:t>
            </w:r>
            <w:r>
              <w:rPr>
                <w:b/>
                <w:i/>
              </w:rPr>
              <w:t>przypomina, że musi on być dobrowolny i w pełni respektować systemy</w:t>
            </w:r>
            <w:r>
              <w:t xml:space="preserve"> państw członkowskich;</w:t>
            </w:r>
          </w:p>
        </w:tc>
        <w:tc>
          <w:tcPr>
            <w:tcW w:w="4876" w:type="dxa"/>
            <w:tcBorders>
              <w:top w:val="nil"/>
              <w:left w:val="nil"/>
              <w:bottom w:val="nil"/>
              <w:right w:val="nil"/>
            </w:tcBorders>
          </w:tcPr>
          <w:p>
            <w:pPr>
              <w:pStyle w:val="Normal6a"/>
            </w:pPr>
            <w:r>
              <w:t>23.</w:t>
            </w:r>
            <w:r>
              <w:tab/>
            </w:r>
            <w:r>
              <w:t xml:space="preserve">apeluje do Komisji, aby wyjaśniła, na czym będzie polegał 28. system prawny, i </w:t>
            </w:r>
            <w:r>
              <w:rPr>
                <w:b/>
                <w:i/>
              </w:rPr>
              <w:t>oceniła potencjalne wdrożenie i wpływ takiego systemu;</w:t>
            </w:r>
            <w:r>
              <w:t xml:space="preserve"> </w:t>
            </w:r>
            <w:r>
              <w:rPr>
                <w:b/>
                <w:i/>
              </w:rPr>
              <w:t>uważa, że Komisja nie powinna bez końca dążyć do przyjęcia podejścia UE-27 do unii oszczędności i inwestycji, ponieważ odkładanie tego jest zbyt ważne z punktu widzenia konkurencyjności UE;</w:t>
            </w:r>
            <w:r>
              <w:t xml:space="preserve"> </w:t>
            </w:r>
            <w:r>
              <w:rPr>
                <w:b/>
                <w:i/>
              </w:rPr>
              <w:t>podkreśla, że powinna istnieć możliwość rozwoju unii oszczędności i inwestycji z mniejszą grupą</w:t>
            </w:r>
            <w:r>
              <w:t xml:space="preserve"> państw członkowskich </w:t>
            </w:r>
            <w:r>
              <w:rPr>
                <w:b/>
                <w:i/>
              </w:rPr>
              <w:t>lub koalicją chętnych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434</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apeluje do Komisji, aby wyjaśniła, na czym będzie polegał 28. system prawny, i przypomina, że musi on być dobrowolny i w pełni respektować systemy państw członkowskich;</w:t>
            </w:r>
          </w:p>
        </w:tc>
        <w:tc>
          <w:tcPr>
            <w:tcW w:w="4876" w:type="dxa"/>
            <w:tcBorders>
              <w:top w:val="nil"/>
              <w:left w:val="nil"/>
              <w:bottom w:val="nil"/>
              <w:right w:val="nil"/>
            </w:tcBorders>
          </w:tcPr>
          <w:p>
            <w:pPr>
              <w:pStyle w:val="Normal6a"/>
            </w:pPr>
            <w:r>
              <w:t>23.</w:t>
            </w:r>
            <w:r>
              <w:tab/>
            </w:r>
            <w:r>
              <w:t xml:space="preserve">apeluje do Komisji, aby wyjaśniła, na czym będzie polegał 28. system prawny, i przypomina, że musi on być dobrowolny i w pełni respektować systemy państw członkowskich; </w:t>
            </w:r>
            <w:r>
              <w:rPr>
                <w:b/>
                <w:i/>
              </w:rPr>
              <w:t>przypomina w związku z tym, że sektor prywatny ma kluczowe znaczenie dla rozwoju i że w związku z tym priorytetem powinno być wysłuchanie jego potrzeb, aby nie tworzyć większych obciążeń lub niepewności legislacyjnej;</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435</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apeluje do Komisji, aby wyjaśniła, na czym będzie polegał 28. system prawny, </w:t>
            </w:r>
            <w:r>
              <w:rPr>
                <w:b/>
                <w:i/>
              </w:rPr>
              <w:t>i przypomina, że musi on być dobrowolny i w pełni respektować systemy państw członkowskich</w:t>
            </w:r>
            <w:r>
              <w:t>;</w:t>
            </w:r>
          </w:p>
        </w:tc>
        <w:tc>
          <w:tcPr>
            <w:tcW w:w="4876" w:type="dxa"/>
            <w:tcBorders>
              <w:top w:val="nil"/>
              <w:left w:val="nil"/>
              <w:bottom w:val="nil"/>
              <w:right w:val="nil"/>
            </w:tcBorders>
          </w:tcPr>
          <w:p>
            <w:pPr>
              <w:pStyle w:val="Normal6a"/>
            </w:pPr>
            <w:r>
              <w:t>23.</w:t>
            </w:r>
            <w:r>
              <w:tab/>
            </w:r>
            <w:r>
              <w:t xml:space="preserve">apeluje do Komisji, aby wyjaśniła, na czym będzie polegał 28. system prawny, </w:t>
            </w:r>
            <w:r>
              <w:rPr>
                <w:b/>
                <w:i/>
              </w:rPr>
              <w:t>oraz jego wartość dodana, która powinna zasadzać się na stworzeniu bardziej zharmonizowanego i atrakcyjnego ekosystemu finansowania MŚP dla europejskich i zagranicznych inwestycji kapitałowych</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436</w:t>
      </w:r>
      <w:r>
        <w:rPr>
          <w:rStyle w:val="HideTWBExt"/>
        </w:rPr>
        <w:t>&lt;/NumAm&gt;</w:t>
      </w:r>
    </w:p>
    <w:p>
      <w:pPr>
        <w:pStyle w:val="NormalBold"/>
      </w:pPr>
      <w:r>
        <w:rPr>
          <w:rStyle w:val="HideTWBExt"/>
          <w:b w:val="0"/>
        </w:rPr>
        <w:t>&lt;RepeatBlock-By&gt;</w:t>
      </w:r>
      <w:r>
        <w:rPr>
          <w:rStyle w:val="HideTWBExt"/>
          <w:b w:val="0"/>
        </w:rPr>
        <w:t>&lt;Members&gt;</w:t>
      </w:r>
      <w:r>
        <w:t>Pascal Canfin, 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apeluje do Komisji, aby </w:t>
            </w:r>
            <w:r>
              <w:rPr>
                <w:b/>
                <w:i/>
              </w:rPr>
              <w:t>wyjaśniła, na czym będzie polegał 28. system prawny, i przypomina, że musi on być dobrowolny i w pełni respektować systemy państw członkowskich</w:t>
            </w:r>
            <w:r>
              <w:t>;</w:t>
            </w:r>
          </w:p>
        </w:tc>
        <w:tc>
          <w:tcPr>
            <w:tcW w:w="4876" w:type="dxa"/>
            <w:tcBorders>
              <w:top w:val="nil"/>
              <w:left w:val="nil"/>
              <w:bottom w:val="nil"/>
              <w:right w:val="nil"/>
            </w:tcBorders>
          </w:tcPr>
          <w:p>
            <w:pPr>
              <w:pStyle w:val="Normal6a"/>
            </w:pPr>
            <w:r>
              <w:t>23.</w:t>
            </w:r>
            <w:r>
              <w:tab/>
            </w:r>
            <w:r>
              <w:t>apeluje do Komisji, aby </w:t>
            </w:r>
            <w:r>
              <w:rPr>
                <w:b/>
                <w:i/>
              </w:rPr>
              <w:t>przyjęła ambitny wniosek w sprawie 28. systemu prawnego, tak aby pomóc przedsiębiorstwom typu start-up stać się europejskimi liderami technologicznymi i zwiększyć ich konkurencyjność na świecie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437</w:t>
      </w:r>
      <w:r>
        <w:rPr>
          <w:rStyle w:val="HideTWBExt"/>
        </w:rPr>
        <w:t>&lt;/NumAm&gt;</w:t>
      </w:r>
    </w:p>
    <w:p>
      <w:pPr>
        <w:pStyle w:val="NormalBold"/>
      </w:pPr>
      <w:r>
        <w:rPr>
          <w:rStyle w:val="HideTWBExt"/>
          <w:b w:val="0"/>
        </w:rPr>
        <w:t>&lt;RepeatBlock-By&gt;</w:t>
      </w:r>
      <w:r>
        <w:rPr>
          <w:rStyle w:val="HideTWBExt"/>
          <w:b w:val="0"/>
        </w:rPr>
        <w:t>&lt;Members&gt;</w:t>
      </w:r>
      <w:r>
        <w:t>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apeluje do Komisji, aby wyjaśniła, na czym </w:t>
            </w:r>
            <w:r>
              <w:rPr>
                <w:b/>
                <w:i/>
              </w:rPr>
              <w:t>będzie polegał</w:t>
            </w:r>
            <w:r>
              <w:t xml:space="preserve"> 28. system prawny, i </w:t>
            </w:r>
            <w:r>
              <w:rPr>
                <w:b/>
                <w:i/>
              </w:rPr>
              <w:t>przypomina, że musi on być dobrowolny i w pełni respektować systemy państw członkowskich</w:t>
            </w:r>
            <w:r>
              <w:t>;</w:t>
            </w:r>
          </w:p>
        </w:tc>
        <w:tc>
          <w:tcPr>
            <w:tcW w:w="4876" w:type="dxa"/>
            <w:tcBorders>
              <w:top w:val="nil"/>
              <w:left w:val="nil"/>
              <w:bottom w:val="nil"/>
              <w:right w:val="nil"/>
            </w:tcBorders>
          </w:tcPr>
          <w:p>
            <w:pPr>
              <w:pStyle w:val="Normal6a"/>
            </w:pPr>
            <w:r>
              <w:t>23.</w:t>
            </w:r>
            <w:r>
              <w:tab/>
            </w:r>
            <w:r>
              <w:t xml:space="preserve">apeluje do Komisji, aby wyjaśniła, na czym </w:t>
            </w:r>
            <w:r>
              <w:rPr>
                <w:b/>
                <w:i/>
              </w:rPr>
              <w:t>mógłby polegać</w:t>
            </w:r>
            <w:r>
              <w:t xml:space="preserve"> 28. system prawny, i </w:t>
            </w:r>
            <w:r>
              <w:rPr>
                <w:b/>
                <w:i/>
              </w:rPr>
              <w:t>ostrzega przed ryzykiem fragmentacji, z którą może się wiązać</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438</w:t>
      </w:r>
      <w:r>
        <w:rPr>
          <w:rStyle w:val="HideTWBExt"/>
        </w:rPr>
        <w:t>&lt;/NumAm&gt;</w:t>
      </w:r>
    </w:p>
    <w:p>
      <w:pPr>
        <w:pStyle w:val="NormalBold"/>
      </w:pPr>
      <w:r>
        <w:rPr>
          <w:rStyle w:val="HideTWBExt"/>
          <w:b w:val="0"/>
        </w:rPr>
        <w:t>&lt;RepeatBlock-By&gt;</w:t>
      </w:r>
      <w:r>
        <w:rPr>
          <w:rStyle w:val="HideTWBExt"/>
          <w:b w:val="0"/>
        </w:rPr>
        <w:t>&lt;Members&gt;</w:t>
      </w:r>
      <w:r>
        <w:t>Anouk Van Brug, Billy Kelleher, 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apeluje do Komisji, aby wyjaśniła, na czym będzie polegał 28. system prawny, i przypomina, że musi on </w:t>
            </w:r>
            <w:r>
              <w:rPr>
                <w:b/>
                <w:i/>
              </w:rPr>
              <w:t>być dobrowolny i w pełni respektować systemy państw członkowskich</w:t>
            </w:r>
            <w:r>
              <w:t>;</w:t>
            </w:r>
          </w:p>
        </w:tc>
        <w:tc>
          <w:tcPr>
            <w:tcW w:w="4876" w:type="dxa"/>
            <w:tcBorders>
              <w:top w:val="nil"/>
              <w:left w:val="nil"/>
              <w:bottom w:val="nil"/>
              <w:right w:val="nil"/>
            </w:tcBorders>
          </w:tcPr>
          <w:p>
            <w:pPr>
              <w:pStyle w:val="Normal6a"/>
            </w:pPr>
            <w:r>
              <w:t>23.</w:t>
            </w:r>
            <w:r>
              <w:tab/>
            </w:r>
            <w:r>
              <w:t xml:space="preserve">apeluje do Komisji, aby wyjaśniła, na czym będzie polegał 28. system prawny, i przypomina, że musi on </w:t>
            </w:r>
            <w:r>
              <w:rPr>
                <w:b/>
                <w:i/>
              </w:rPr>
              <w:t>zapewnić jasną wartość dodaną na szczeblu 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439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23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podkreśla, że Europejski Bank Inwestycyjny (EBI) ma do odegrania decydującą rolę w rozwoju unijnych rynków kapitału wysokiego ryzyka;</w:t>
            </w:r>
            <w:r>
              <w:t xml:space="preserve"> </w:t>
            </w:r>
            <w:r>
              <w:rPr>
                <w:b/>
                <w:i/>
              </w:rPr>
              <w:t>wzywa Komisję i grupę EBI do podjęcia działań w celu zwiększenia zaangażowania inwestorów instytucjonalnych w kapitał wysokiego ryzyka przez udzielanie im pomocy w budowaniu wiedzy fachowej w zakresie takiego kapitału;</w:t>
            </w:r>
            <w:r>
              <w:t xml:space="preserve"> </w:t>
            </w:r>
            <w:r>
              <w:rPr>
                <w:b/>
                <w:i/>
              </w:rPr>
              <w:t>wzywa w związku z tym grupę EBI do utworzenia Europejskiego Forum Technologicznego, gromadzącego cały ekosystem kapitału wysokiego ryzyka, w celu zwiększenia zasięgu i zaangażowania inwestorów instytucjonalnych na wzór inicjatywy Tibi;</w:t>
            </w:r>
            <w:r>
              <w:t xml:space="preserve"> </w:t>
            </w:r>
            <w:r>
              <w:rPr>
                <w:b/>
                <w:i/>
              </w:rPr>
              <w:t>wzywa EBI do zaoferowania takim inwestorom możliwości wyboru systemu współinwestowania między Europejskim Funduszem Inwestycyjnym (EFI) a inwestorami instytucjonalnymi na przejrzystych i wcześniej uzgodnionych warunkach;</w:t>
            </w:r>
            <w:r>
              <w:t xml:space="preserve"> </w:t>
            </w:r>
            <w:r>
              <w:rPr>
                <w:b/>
                <w:i/>
              </w:rPr>
              <w:t>podkreśla, że lepsza komunikacja i działania informacyjne ze strony EBI są niezbędne, aby umożliwić przedsiębiorstwom typu start-up i przedsiębiorstwom scale-up pełne korzystanie z instrumentów i wsparcia finansowego EBI;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440</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23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wzywa Komisję do usprawnienia krajowych przepisów dotyczących wprowadzania do obrotu funduszy venture capital i ochrony inwestorów;</w:t>
            </w:r>
            <w:r>
              <w:t xml:space="preserve"> </w:t>
            </w:r>
            <w:r>
              <w:rPr>
                <w:b/>
                <w:i/>
              </w:rPr>
              <w:t>przyznaje, że przepisy i praktyki krajowe są trudne do zmiany;</w:t>
            </w:r>
            <w:r>
              <w:t xml:space="preserve"> </w:t>
            </w:r>
            <w:r>
              <w:rPr>
                <w:b/>
                <w:i/>
              </w:rPr>
              <w:t>proponuje, aby wykorzystać przyszły 28. system prawny do włączenia do niego ogólnoeuropejskich ram kapitału wysokiego ryzyka;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441</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24.</w:t>
            </w:r>
            <w:r>
              <w:tab/>
            </w:r>
            <w:r>
              <w:rPr>
                <w:b/>
                <w:i/>
              </w:rPr>
              <w:t>wzywa Komisję, aby przy wsparciu władz państw członkowskich opracowała wytyczne biznesowe dla MŚP i przedsiębiorstw scale-up, co pomoże im poruszać się w różnych systemach prawnych w całej UE w kwestiach takich jak prawo spółek, prawo pracy, prawo upadłościowe, prawo podatkowe, prawa własności intelektualnej i możliwości finansowania krajowego;</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442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24.</w:t>
            </w:r>
            <w:r>
              <w:tab/>
            </w:r>
            <w:r>
              <w:rPr>
                <w:b/>
                <w:i/>
              </w:rPr>
              <w:t>wzywa Komisję, aby przy wsparciu władz państw członkowskich opracowała wytyczne biznesowe dla MŚP i przedsiębiorstw scale-up, co pomoże im poruszać się w różnych systemach prawnych w całej UE w kwestiach takich jak prawo spółek, prawo pracy, prawo upadłościowe, prawo podatkowe, prawa własności intelektualnej i możliwości finansowania krajowego;</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443</w:t>
      </w:r>
      <w:r>
        <w:rPr>
          <w:rStyle w:val="HideTWBExt"/>
        </w:rPr>
        <w:t>&lt;/NumAm&gt;</w:t>
      </w:r>
    </w:p>
    <w:p>
      <w:pPr>
        <w:pStyle w:val="NormalBold"/>
      </w:pPr>
      <w:r>
        <w:rPr>
          <w:rStyle w:val="HideTWBExt"/>
          <w:b w:val="0"/>
        </w:rPr>
        <w:t>&lt;RepeatBlock-By&gt;</w:t>
      </w:r>
      <w:r>
        <w:rPr>
          <w:rStyle w:val="HideTWBExt"/>
          <w:b w:val="0"/>
        </w:rPr>
        <w:t>&lt;Members&gt;</w:t>
      </w:r>
      <w:r>
        <w:t>Gilles Boyer, Billy Kelleher, Stéphanie Yon-Courtin, Pascal Canfin, Anouk Van Brug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wzywa Komisję, aby przy wsparciu władz państw członkowskich opracowała wytyczne biznesowe dla MŚP i przedsiębiorstw scale-up, co pomoże im poruszać się w różnych systemach prawnych w </w:t>
            </w:r>
            <w:r>
              <w:rPr>
                <w:b/>
                <w:i/>
              </w:rPr>
              <w:t>całej</w:t>
            </w:r>
            <w:r>
              <w:t xml:space="preserve"> UE w kwestiach takich jak prawo spółek, prawo pracy, prawo upadłościowe, prawo podatkowe, prawa własności intelektualnej i możliwości finansowania krajowego;</w:t>
            </w:r>
          </w:p>
        </w:tc>
        <w:tc>
          <w:tcPr>
            <w:tcW w:w="4876" w:type="dxa"/>
            <w:tcBorders>
              <w:top w:val="nil"/>
              <w:left w:val="nil"/>
              <w:bottom w:val="nil"/>
              <w:right w:val="nil"/>
            </w:tcBorders>
          </w:tcPr>
          <w:p>
            <w:pPr>
              <w:pStyle w:val="Normal6a"/>
            </w:pPr>
            <w:r>
              <w:t>24.</w:t>
            </w:r>
            <w:r>
              <w:tab/>
            </w:r>
            <w:r>
              <w:t xml:space="preserve">wzywa Komisję, aby </w:t>
            </w:r>
            <w:r>
              <w:rPr>
                <w:b/>
                <w:i/>
              </w:rPr>
              <w:t>– w oczekiwaniu na konwergencję na szczeblu UE w odniesieniu do obecnego rozdrobnienia prawa upadłościowego w państwach członkowskich –</w:t>
            </w:r>
            <w:r>
              <w:t xml:space="preserve"> przy wsparciu władz państw członkowskich opracowała wytyczne biznesowe dla MŚP i przedsiębiorstw scale-up, co pomoże im poruszać się w różnych systemach prawnych w UE w kwestiach takich jak prawo spółek, prawo pracy, prawo upadłościowe, prawo podatkowe, prawa własności intelektualnej i możliwości finansowania krajowego; </w:t>
            </w:r>
            <w:r>
              <w:rPr>
                <w:b/>
                <w:i/>
              </w:rPr>
              <w:t>wzywa Komisję do pilnego rozwiązania tego istotnego problemu, jak podkreślono w raportach Draghiego i Letty, oraz podkreśla ważną rolę, jaką mogłoby to odegrać w tworzeniu unii oszczędności i inwestycji;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444</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wzywa Komisję, aby przy wsparciu władz państw członkowskich opracowała wytyczne biznesowe dla MŚP i przedsiębiorstw scale-up, co pomoże im poruszać się w różnych systemach prawnych w całej UE w kwestiach takich jak prawo spółek, prawo pracy, prawo upadłościowe, prawo podatkowe, prawa własności intelektualnej i możliwości finansowania krajowego;</w:t>
            </w:r>
          </w:p>
        </w:tc>
        <w:tc>
          <w:tcPr>
            <w:tcW w:w="4876" w:type="dxa"/>
            <w:tcBorders>
              <w:top w:val="nil"/>
              <w:left w:val="nil"/>
              <w:bottom w:val="nil"/>
              <w:right w:val="nil"/>
            </w:tcBorders>
          </w:tcPr>
          <w:p>
            <w:pPr>
              <w:pStyle w:val="Normal6a"/>
            </w:pPr>
            <w:r>
              <w:t>24.</w:t>
            </w:r>
            <w:r>
              <w:tab/>
            </w:r>
            <w:r>
              <w:t xml:space="preserve">wzywa Komisję, aby przy wsparciu władz państw członkowskich opracowała wytyczne biznesowe dla MŚP i przedsiębiorstw scale-up, co pomoże im poruszać się w różnych systemach prawnych w całej UE w kwestiach takich jak prawo spółek, prawo pracy, prawo upadłościowe, prawo podatkowe, prawa własności intelektualnej i możliwości finansowania krajowego; </w:t>
            </w:r>
            <w:r>
              <w:rPr>
                <w:b/>
                <w:i/>
              </w:rPr>
              <w:t>wzywa do zwiększenia wsparcia na rzecz wzmocnienia MŚP pod względem zdolności cyfrowych, finansowych i związanych ze zrównoważonym rozwojem, w tym za pośrednictwem centrów doradczych, uproszczonych narzędzi poradnictwa, internetowych platform nawigacyjnych i transgranicznych programów szkoleniowych;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445</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wzywa Komisję, aby przy wsparciu władz państw członkowskich opracowała wytyczne biznesowe dla MŚP i przedsiębiorstw scale-up, co pomoże im poruszać się w różnych systemach prawnych w całej UE w kwestiach takich jak prawo spółek, prawo pracy, prawo upadłościowe, prawo podatkowe, prawa własności intelektualnej i możliwości finansowania krajowego;</w:t>
            </w:r>
          </w:p>
        </w:tc>
        <w:tc>
          <w:tcPr>
            <w:tcW w:w="4876" w:type="dxa"/>
            <w:tcBorders>
              <w:top w:val="nil"/>
              <w:left w:val="nil"/>
              <w:bottom w:val="nil"/>
              <w:right w:val="nil"/>
            </w:tcBorders>
          </w:tcPr>
          <w:p>
            <w:pPr>
              <w:pStyle w:val="Normal6a"/>
            </w:pPr>
            <w:r>
              <w:t>24.</w:t>
            </w:r>
            <w:r>
              <w:tab/>
            </w:r>
            <w:r>
              <w:t xml:space="preserve">wzywa Komisję, aby przy wsparciu władz państw członkowskich opracowała wytyczne biznesowe dla MŚP i przedsiębiorstw scale-up </w:t>
            </w:r>
            <w:r>
              <w:rPr>
                <w:b/>
                <w:i/>
              </w:rPr>
              <w:t>oraz utworzyła dla nich punkty kompleksowej obsługi</w:t>
            </w:r>
            <w:r>
              <w:t>, co pomoże im poruszać się w różnych systemach prawnych w całej UE w kwestiach takich jak prawo spółek, prawo pracy, prawo upadłościowe, prawo podatkowe, prawa własności intelektualnej i możliwości finansowania krajowego;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446</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wzywa Komisję, aby </w:t>
            </w:r>
            <w:r>
              <w:rPr>
                <w:b/>
                <w:i/>
              </w:rPr>
              <w:t>przy wsparciu władz państw członkowskich opracowała wytyczne biznesowe dla MŚP i przedsiębiorstw scale-up, co pomoże im poruszać się w różnych systemach prawnych w całej UE w kwestiach takich jak prawo</w:t>
            </w:r>
            <w:r>
              <w:t xml:space="preserve"> spółek, </w:t>
            </w:r>
            <w:r>
              <w:rPr>
                <w:b/>
                <w:i/>
              </w:rPr>
              <w:t>prawo pracy, prawo upadłościowe, prawo podatkowe,</w:t>
            </w:r>
            <w:r>
              <w:t xml:space="preserve"> prawa własności intelektualnej </w:t>
            </w:r>
            <w:r>
              <w:rPr>
                <w:b/>
                <w:i/>
              </w:rPr>
              <w:t>i możliwości finansowania krajowego</w:t>
            </w:r>
            <w:r>
              <w:t>;</w:t>
            </w:r>
          </w:p>
        </w:tc>
        <w:tc>
          <w:tcPr>
            <w:tcW w:w="4876" w:type="dxa"/>
            <w:tcBorders>
              <w:top w:val="nil"/>
              <w:left w:val="nil"/>
              <w:bottom w:val="nil"/>
              <w:right w:val="nil"/>
            </w:tcBorders>
          </w:tcPr>
          <w:p>
            <w:pPr>
              <w:pStyle w:val="Normal6a"/>
            </w:pPr>
            <w:r>
              <w:t>24.</w:t>
            </w:r>
            <w:r>
              <w:tab/>
            </w:r>
            <w:r>
              <w:t xml:space="preserve">wzywa Komisję, aby </w:t>
            </w:r>
            <w:r>
              <w:rPr>
                <w:b/>
                <w:i/>
              </w:rPr>
              <w:t>określiła istotne aspekty prawa</w:t>
            </w:r>
            <w:r>
              <w:t xml:space="preserve"> spółek, prawa </w:t>
            </w:r>
            <w:r>
              <w:rPr>
                <w:b/>
                <w:i/>
              </w:rPr>
              <w:t>upadłościowego i praw</w:t>
            </w:r>
            <w:r>
              <w:t xml:space="preserve"> własności intelektualnej </w:t>
            </w:r>
            <w:r>
              <w:rPr>
                <w:b/>
                <w:i/>
              </w:rPr>
              <w:t>państw członkowskich, które to aspekty mogłyby zostać lepiej dostosowane w perspektywie średnioterminowej i przyniosłyby wyraźne dodatkowe korzyści pod względem konkurencyjności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447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24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zaleca, aby Europejski Fundusz Inwestycyjny (EFI) publikował w sposób zanonimizowany szczegółowe dane dotyczące zwrotów i inne kluczowe dane statystyczne dotyczące funduszy wspieranych przez EFI;</w:t>
            </w:r>
            <w:r>
              <w:t xml:space="preserve"> </w:t>
            </w:r>
            <w:r>
              <w:rPr>
                <w:b/>
                <w:i/>
              </w:rPr>
              <w:t>apeluje o zwiększenie budżetu EFI w celu wzmocnienia unijnego ekosystemu kapitału wysokiego ryzyka zgodnie z zaleceniem zawartym w raporcie Draghiego;</w:t>
            </w:r>
            <w:r>
              <w:t xml:space="preserve"> </w:t>
            </w:r>
            <w:r>
              <w:rPr>
                <w:b/>
                <w:i/>
              </w:rPr>
              <w:t>apeluje o zwiększenie odsetka inwestycji finansowanych z EFI, które mają pozytywny wpływ na środowisko, oraz o ustanowienie i egzekwowanie rygorystycznych warunków zrównoważonego rozwoju;</w:t>
            </w:r>
            <w:r>
              <w:t xml:space="preserve"> </w:t>
            </w:r>
            <w:r>
              <w:rPr>
                <w:b/>
                <w:i/>
              </w:rPr>
              <w:t>apeluje, aby EFI dawał przykład i wymagał od pośredników finansowych przeglądu i weryfikacji przestrzegania praw człowieka w całym łańcuchu dostaw;</w:t>
            </w:r>
            <w:r>
              <w:t xml:space="preserve"> </w:t>
            </w:r>
            <w:r>
              <w:rPr>
                <w:b/>
                <w:i/>
              </w:rPr>
              <w:t>zachęca EFI i krajowe banki rozwoju do zwiększenia wsparcia finansowego dla przedsiębiorstw typu start-up i przedsiębiorstw scale-up przez udzielanie gwarancji kredytowych i korygowanie o ryzyko w przypadku przedsiębiorstw scale-up przez zapewnianie gwarancji produkcyjnych;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448</w:t>
      </w:r>
      <w:r>
        <w:rPr>
          <w:rStyle w:val="HideTWBExt"/>
        </w:rPr>
        <w:t>&lt;/NumAm&gt;</w:t>
      </w:r>
    </w:p>
    <w:p>
      <w:pPr>
        <w:pStyle w:val="NormalBold"/>
      </w:pPr>
      <w:r>
        <w:rPr>
          <w:rStyle w:val="HideTWBExt"/>
          <w:b w:val="0"/>
        </w:rPr>
        <w:t>&lt;RepeatBlock-By&gt;</w:t>
      </w:r>
      <w:r>
        <w:rPr>
          <w:rStyle w:val="HideTWBExt"/>
          <w:b w:val="0"/>
        </w:rPr>
        <w:t>&lt;Members&gt;</w:t>
      </w:r>
      <w:r>
        <w:t>Lídia Pereira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24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apeluje do Rady, aby zapewniła podmiotom gospodarczym pewność prawa, bezpieczeństwo i przewidywalność przez odblokowanie instrumentów prawnych, które mogą przyczynić się do poprawy otoczenia biznesowego w Europie, zwłaszcza w dziedzinie polityki podatkowej (np. opodatkowania według siedziby głównej, FASTER lub SAFE);</w:t>
            </w:r>
            <w:r>
              <w:t xml:space="preserve"> </w:t>
            </w:r>
            <w:r>
              <w:rPr>
                <w:b/>
                <w:i/>
              </w:rPr>
              <w:t>wzywa Komisję do oceny szeregu inicjatyw ustawodawczych, które mogą stanowić niepotrzebne obciążenie dla przedsiębiorstw, mianowicie MŚP, w odniesieniu do wycofania wniosków;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449</w:t>
      </w:r>
      <w:r>
        <w:rPr>
          <w:rStyle w:val="HideTWBExt"/>
        </w:rPr>
        <w:t>&lt;/NumAm&gt;</w:t>
      </w:r>
    </w:p>
    <w:p>
      <w:pPr>
        <w:pStyle w:val="NormalBold"/>
      </w:pPr>
      <w:r>
        <w:rPr>
          <w:rStyle w:val="HideTWBExt"/>
          <w:b w:val="0"/>
        </w:rPr>
        <w:t>&lt;RepeatBlock-By&gt;</w:t>
      </w:r>
      <w:r>
        <w:rPr>
          <w:rStyle w:val="HideTWBExt"/>
          <w:b w:val="0"/>
        </w:rPr>
        <w:t>&lt;Members&gt;</w:t>
      </w:r>
      <w:r>
        <w:t>Pascal Canfin, Stéphanie Yon-Courtin, Billy Kelleher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24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wzywa Komisję, aby w przeglądzie przepisów dotyczących zamówień publicznych rozważyła strategiczną rolę zamówień publicznych w rozwoju finansowym europejskich przedsiębiorstw typu start-up i MŚP oraz by w większym stopniu uwzględniała kryteria związane z innowacjami, zrównoważonym rozwojem i suwerennością;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450</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24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wzywa Komisję do poprawy narzędzi monitorowania dostępu MŚP do finansowania, w tym do opracowania ogólnounijnych wskaźników i tablic wskaźników w celu śledzenia luk w finansowaniu i oceny wpływu instrumentów finansowych;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451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25.</w:t>
            </w:r>
            <w:r>
              <w:tab/>
            </w:r>
            <w:r>
              <w:rPr>
                <w:b/>
                <w:i/>
              </w:rPr>
              <w:t>zobowiązuje swoją przewodniczącą do przekazania niniejszej rezolucji Radzie i Komisji.</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452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przypomina, że Europejska Rada ds. Innowacji (EIC) jest nowym i wyjątkowym europejskim programem finansowania, którego celem jest zapewnienie przedsiębiorstwom typu start-up z sektora zaawansowanych technologii punktu kompleksowej obsługi w zakresie finansowania, aby umożliwić im rozwijanie innowacji od wczesnego pomysłu do produktu nadającego się do wprowadzenia do obrotu, a także ekspansję przedsiębiorstwa;</w:t>
            </w:r>
            <w:r>
              <w:t xml:space="preserve"> </w:t>
            </w:r>
            <w:r>
              <w:rPr>
                <w:b/>
                <w:i/>
              </w:rPr>
              <w:t>z zadowoleniem przyjmuje zwiększony przydział środków budżetowych dla EIC, a także rozszerzony zakres jej działalności w odniesieniu do inwestycji kapitałowych w ramach wniosku dotyczącego platformy technologii strategicznych dla Europy;</w:t>
            </w:r>
            <w:r>
              <w:t xml:space="preserve"> </w:t>
            </w:r>
            <w:r>
              <w:rPr>
                <w:b/>
                <w:i/>
              </w:rPr>
              <w:t>zachęca Komisję do przeznaczenia części tej platformy specjalnie dla MŚP;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453</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25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25b.</w:t>
            </w:r>
            <w:r>
              <w:tab/>
            </w:r>
            <w:r>
              <w:rPr>
                <w:b/>
                <w:i/>
              </w:rPr>
              <w:t>wzywa Komisję do ułatwiania udziału przedsiębiorstw typu start-up i przedsiębiorstw scale-up w unijnych programach finansowania;</w:t>
            </w:r>
            <w:r>
              <w:t xml:space="preserve"> </w:t>
            </w:r>
            <w:r>
              <w:rPr>
                <w:b/>
                <w:i/>
              </w:rPr>
              <w:t>wzywa Komisję do zadbania o to, by Fundusz Konkurencyjności sprawiedliwie wspierał pojawianie się nowych podmiotów;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454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25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25c.</w:t>
            </w:r>
            <w:r>
              <w:tab/>
            </w:r>
            <w:r>
              <w:rPr>
                <w:b/>
                <w:i/>
              </w:rPr>
              <w:t>wzywa Komisję do wzmocnienia mechanizmów finansowania przedsiębiorstw typu start-up i przedsiębiorstw scale-up, w tym zamówień publicznych oraz udzielania dotacji, pożyczek i gwarancji, dbając jednocześnie o to, aby nie wypierać prywatnych inwestycji;</w:t>
            </w:r>
            <w:r>
              <w:t xml:space="preserve"> </w:t>
            </w:r>
            <w:r>
              <w:rPr>
                <w:b/>
                <w:i/>
              </w:rPr>
              <w:t>wzywa Komisję, aby przyjęła rolę pierwszego nabywcy i przeznaczała część swoich własnych zamówień na europejskie przedsiębiorstwa scale-up;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455</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25 d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25d.</w:t>
            </w:r>
            <w:r>
              <w:tab/>
            </w:r>
            <w:r>
              <w:rPr>
                <w:b/>
                <w:i/>
              </w:rPr>
              <w:t>z zaniepokojeniem odnotowuje wnioski dotyczące stymulowania sekurytyzacji przez złagodzenie regulacyjnych wymogów należytej staranności, wymogów kapitałowych i płynnościowych, co prowadzi do dalszego odejścia od ram Bazylea III;</w:t>
            </w:r>
            <w:r>
              <w:t xml:space="preserve"> </w:t>
            </w:r>
            <w:r>
              <w:rPr>
                <w:b/>
                <w:i/>
              </w:rPr>
              <w:t>ostrzega, że zagroziłoby to stabilności finansowej i zwiększyło ryzyko systemowe, bez żadnej wartości dodanej dla gospodarki realnej;</w:t>
            </w:r>
            <w:r>
              <w:t xml:space="preserve"> </w:t>
            </w:r>
            <w:r>
              <w:rPr>
                <w:b/>
                <w:i/>
              </w:rPr>
              <w:t>przypomina, że w sprawozdaniu Wspólnego Komitetu Europejskich Urzędów Nadzoru (ESA) z 2022 r. stwierdzono, że przekalibrowanie ram sekurytyzacji kapitału dla banków nie byłoby rozwiązaniem gwarantującym ożywienie rynku sekurytyzacji;</w:t>
            </w:r>
            <w:r>
              <w:t xml:space="preserve"> </w:t>
            </w:r>
            <w:r>
              <w:rPr>
                <w:b/>
                <w:i/>
              </w:rPr>
              <w:t>podkreśla, że kryterium jednorodności ma pierwszorzędne znaczenie dla uznania sekurytyzacji za prostą, przejrzystą i standardową (STS);</w:t>
            </w:r>
            <w:r>
              <w:t xml:space="preserve"> </w:t>
            </w:r>
            <w:r>
              <w:rPr>
                <w:b/>
                <w:i/>
              </w:rPr>
              <w:t>przypomina, że większość sekurytyzacji stanowią papiery wartościowe zabezpieczone spłatami kredytów hipotecznych;</w:t>
            </w:r>
            <w:r>
              <w:t xml:space="preserve"> </w:t>
            </w:r>
            <w:r>
              <w:rPr>
                <w:b/>
                <w:i/>
              </w:rPr>
              <w:t>jest zatem sceptyczny, że wspieranie rozwoju rynku sekurytyzacji doprowadzi do zwiększenia udzielania kredytów MŚP;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456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25 e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25e.</w:t>
            </w:r>
            <w:r>
              <w:tab/>
            </w:r>
            <w:r>
              <w:rPr>
                <w:b/>
                <w:i/>
              </w:rPr>
              <w:t>wzywa Komisję do szybkiego zaproponowania zharmonizowanych ram prawnych dotyczących transgranicznej działalności gospodarczej, w tym cyfrowego zakładania przedsiębiorstw, prawa dotyczącego niewypłacalności, prawa pracy i prawa podatkowego w celu ustanowienia i prowadzenia działalności, zatrudniania pracowników z zagranicy i łatwiejszego zwiększania skali ponad granicami UE;</w:t>
            </w:r>
            <w:r>
              <w:t xml:space="preserve"> </w:t>
            </w:r>
            <w:r>
              <w:rPr>
                <w:b/>
                <w:i/>
              </w:rPr>
              <w:t>przypomina Komisji, że aby takie ramy były skuteczne, należy podjąć skoordynowane i ambitne wysiłki z udziałem wszystkich zainteresowanych stron, zwłaszcza przedsiębiorstw typu start-up, przedsiębiorstw scale-up i państw członkowskich, aby zwiększyć wiedzę na temat takiego „28. systemu prawnego” i jego popularność;</w:t>
            </w:r>
            <w:r>
              <w:t xml:space="preserve"> </w:t>
            </w:r>
            <w:r>
              <w:rPr>
                <w:b/>
                <w:i/>
              </w:rPr>
              <w:t>wzywa do jego szybkiego wdrożenia, aby zapewnić atrakcyjną, dobrze funkcjonującą i akceptowalną alternatywę dla obecnego rozdrobnionego otoczenia regulacyjnego;</w:t>
            </w:r>
            <w:r>
              <w:t xml:space="preserve"> </w:t>
            </w:r>
            <w:r>
              <w:rPr>
                <w:b/>
                <w:i/>
              </w:rPr>
              <w:t>zaleca, aby w 28. systemie prawnym priorytetowo potraktowano rozwiązania oparte na domyślnej cyfrowości, sprawozdawczość jednorazową i piaskownice regulacyjne na rzecz innowacji, a także by uwzględniono przepisy szczegółowe dotyczące MŚP, przedsiębiorstw scale-up i małych spółek o średniej kapitalizacji;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457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25 f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25f.</w:t>
            </w:r>
            <w:r>
              <w:tab/>
            </w:r>
            <w:r>
              <w:rPr>
                <w:b/>
                <w:i/>
              </w:rPr>
              <w:t>podkreśla, że bardziej zintegrowany ekosystem innowacji, który będzie obejmował sieć uniwersytetów, przedsiębiorstwa typu start-up, duże przedsiębiorstwa oraz inwestorów kapitału podwyższonego ryzyka i będzie oparty na dostępie do obiektów testowych i infrastruktury technologicznej, ma zasadnicze znaczenie dla wsparcia rozwoju przedsiębiorstw;</w:t>
            </w:r>
            <w:r>
              <w:t xml:space="preserve"> </w:t>
            </w:r>
            <w:r>
              <w:rPr>
                <w:b/>
                <w:i/>
              </w:rPr>
              <w:t>wzywa do harmonizacji opodatkowania opcji na akcje dla pracowników oraz do utworzenia europejskiej wizy dla przedsiębiorstw typu start-up w celu przyciągnięcia i zatrzymania innowatorów i specjalistów spoza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458</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25 g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25g.</w:t>
            </w:r>
            <w:r>
              <w:tab/>
            </w:r>
            <w:r>
              <w:rPr>
                <w:b/>
                <w:i/>
              </w:rPr>
              <w:t>uważa, że innowacyjne przedsiębiorstwa mogłyby skorzystać na jednolitym zestawie przepisów obowiązujących w całej UE, zwłaszcza w dziedzinie opodatkowania;</w:t>
            </w:r>
            <w:r>
              <w:t xml:space="preserve"> </w:t>
            </w:r>
            <w:r>
              <w:rPr>
                <w:b/>
                <w:i/>
              </w:rPr>
              <w:t>przypomina, że MŚP mierzą się z poważnymi wyzwaniami fiskalnymi ze względu na złożone przepisy podatkowe i rozdrobnione systemy opodatkowania, które nakładają wysokie obciążenia administracyjne i generują wysokie koszty przestrzegania przepisów, co utrudnia wzrost i innowacyjność tych przedsiębiorstw;</w:t>
            </w:r>
            <w:r>
              <w:t xml:space="preserve"> </w:t>
            </w:r>
            <w:r>
              <w:rPr>
                <w:b/>
                <w:i/>
              </w:rPr>
              <w:t>wzywa Komisję, by zbadała rozwiązania, które uproszczą procedury podatkowe i ograniczą koszty przestrzegania przepisów, a jednocześnie oceniła, dlaczego proponowana dyrektywa ustanawiająca system opodatkowania według siedziby głównej dla MŚP nie wywołała entuzjazmu w Radzie;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459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25 h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25h.</w:t>
            </w:r>
            <w:r>
              <w:tab/>
            </w:r>
            <w:r>
              <w:rPr>
                <w:b/>
                <w:i/>
              </w:rPr>
              <w:t>zobowiązuje swoją przewodniczącą do przekazania niniejszej rezolucji Radzie i Komisji.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774.474</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220</w:t>
    </w:r>
    <w:r>
      <w:fldChar w:fldCharType="end"/>
    </w:r>
    <w:r>
      <w:t>/</w:t>
    </w:r>
    <w:r>
      <w:fldChar w:fldCharType="begin"/>
    </w:r>
    <w:r>
      <w:instrText xml:space="preserve"> NUMPAGES </w:instrText>
    </w:r>
    <w:r>
      <w:fldChar w:fldCharType="separate"/>
    </w:r>
    <w:r>
      <w:t>220</w:t>
    </w:r>
    <w:r>
      <w:fldChar w:fldCharType="end"/>
    </w:r>
    <w:r>
      <w:tab/>
    </w:r>
    <w:r>
      <w:rPr>
        <w:rStyle w:val="HideTWBExt"/>
      </w:rPr>
      <w:t>&lt;PathFdR&gt;</w:t>
    </w:r>
    <w:r>
      <w:t>AM\1323021PL.docx</w:t>
    </w:r>
    <w:r>
      <w:rPr>
        <w:rStyle w:val="HideTWBExt"/>
      </w:rPr>
      <w:t>&lt;/PathFdR&gt;</w:t>
    </w:r>
  </w:p>
  <w:p>
    <w:pPr>
      <w:pStyle w:val="EPFooter2"/>
    </w:pPr>
    <w:r>
      <w:t>PL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AM\1323021PL.docx</w:t>
    </w:r>
    <w:r>
      <w:rPr>
        <w:rStyle w:val="HideTWBExt"/>
      </w:rPr>
      <w:t>&lt;/PathFdR&gt;</w:t>
    </w:r>
    <w:r>
      <w:tab/>
    </w:r>
    <w:r>
      <w:fldChar w:fldCharType="begin"/>
    </w:r>
    <w:r>
      <w:instrText xml:space="preserve"> PAGE </w:instrText>
    </w:r>
    <w:r>
      <w:fldChar w:fldCharType="separate"/>
    </w:r>
    <w:r>
      <w:t>219</w:t>
    </w:r>
    <w:r>
      <w:fldChar w:fldCharType="end"/>
    </w:r>
    <w:r>
      <w:t>/</w:t>
    </w:r>
    <w:r>
      <w:fldChar w:fldCharType="begin"/>
    </w:r>
    <w:r>
      <w:instrText xml:space="preserve"> NUMPAGES </w:instrText>
    </w:r>
    <w:r>
      <w:fldChar w:fldCharType="separate"/>
    </w:r>
    <w:r>
      <w:t>220</w:t>
    </w:r>
    <w:r>
      <w:fldChar w:fldCharType="end"/>
    </w:r>
    <w:r>
      <w:tab/>
    </w:r>
    <w:r>
      <w:t>PE</w:t>
    </w:r>
    <w:r>
      <w:rPr>
        <w:rStyle w:val="HideTWBExt"/>
      </w:rPr>
      <w:t>&lt;NoPE&gt;</w:t>
    </w:r>
    <w:r>
      <w:t>774.474</w:t>
    </w:r>
    <w:r>
      <w:rPr>
        <w:rStyle w:val="HideTWBExt"/>
      </w:rPr>
      <w:t>&lt;/NoPE&gt;</w:t>
    </w:r>
    <w:r>
      <w:rPr>
        <w:rStyle w:val="HideTWBExt"/>
      </w:rPr>
      <w:t>&lt;Version&gt;</w:t>
    </w:r>
    <w:r>
      <w:t>v01-00</w:t>
    </w:r>
    <w:r>
      <w:rPr>
        <w:rStyle w:val="HideTWBExt"/>
      </w:rPr>
      <w:t>&lt;/Version&gt;</w:t>
    </w:r>
  </w:p>
  <w:p>
    <w:pPr>
      <w:pStyle w:val="EPFooter2"/>
    </w:pPr>
    <w:r>
      <w:tab/>
    </w:r>
    <w:r>
      <w:tab/>
    </w:r>
    <w:r>
      <w:t>PL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AM\1323021PL.docx</w:t>
    </w:r>
    <w:r>
      <w:rPr>
        <w:rStyle w:val="HideTWBExt"/>
      </w:rPr>
      <w:t>&lt;/PathFdR&gt;</w:t>
    </w:r>
    <w:r>
      <w:tab/>
    </w:r>
    <w:r>
      <w:tab/>
    </w:r>
    <w:r>
      <w:t>PE</w:t>
    </w:r>
    <w:r>
      <w:rPr>
        <w:rStyle w:val="HideTWBExt"/>
      </w:rPr>
      <w:t>&lt;NoPE&gt;</w:t>
    </w:r>
    <w:r>
      <w:t>774.474</w:t>
    </w:r>
    <w:r>
      <w:rPr>
        <w:rStyle w:val="HideTWBExt"/>
      </w:rPr>
      <w:t>&lt;/NoPE&gt;</w:t>
    </w:r>
    <w:r>
      <w:rPr>
        <w:rStyle w:val="HideTWBExt"/>
      </w:rPr>
      <w:t>&lt;Version&gt;</w:t>
    </w:r>
    <w:r>
      <w:t>v01-00</w:t>
    </w:r>
    <w:r>
      <w:rPr>
        <w:rStyle w:val="HideTWBExt"/>
      </w:rPr>
      <w:t>&lt;/Version&gt;</w:t>
    </w:r>
  </w:p>
  <w:p>
    <w:pPr>
      <w:pStyle w:val="EPFooter2"/>
    </w:pPr>
    <w:r>
      <w:t>PL</w:t>
    </w:r>
    <w:r>
      <w:tab/>
    </w:r>
    <w:r>
      <w:rPr>
        <w:rStyle w:val="EPFooter2Motto"/>
      </w:rPr>
      <w:t>Zjednoczona w różnorodności</w:t>
    </w:r>
    <w:r>
      <w:tab/>
    </w:r>
    <w:r>
      <w:t>PL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Bold">
    <w:name w:val="NormalBold"/>
    <w:basedOn w:val="Normal"/>
    <w:pPr>
      <w:widowControl w:val="0"/>
    </w:pPr>
    <w:rPr>
      <w:b/>
    </w:rPr>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JustText">
    <w:name w:val="AmJustText"/>
    <w:basedOn w:val="Normal"/>
    <w:pPr>
      <w:widowControl w:val="0"/>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220</Pages>
  <Words>32506</Words>
  <Characters>215599</Characters>
  <Application>Microsoft Office Word</Application>
  <DocSecurity>0</DocSecurity>
  <Lines>1</Lines>
  <Paragraphs>4084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1323021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205057</vt:lpwstr>
  </property>
  <property fmtid="{D5CDD505-2E9C-101B-9397-08002B2CF9AE}" pid="7" name="dmxml.render.traceId">
    <vt:lpwstr>6863acfe1bd647ce73e197636bd798dd</vt:lpwstr>
  </property>
  <property fmtid="{D5CDD505-2E9C-101B-9397-08002B2CF9AE}" pid="8" name="FooterPath">
    <vt:lpwstr>AM\1323021PL.docx</vt:lpwstr>
  </property>
  <property fmtid="{D5CDD505-2E9C-101B-9397-08002B2CF9AE}" pid="9" name="PE Number">
    <vt:lpwstr>774.474</vt:lpwstr>
  </property>
  <property fmtid="{D5CDD505-2E9C-101B-9397-08002B2CF9AE}" pid="10" name="UID">
    <vt:lpwstr>eu.europa.europarl-DIN1-2025-0000121646_01.00-pl-01.00_text-xml</vt:lpwstr>
  </property>
</Properties>
</file>