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Evropský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{ECON}</w:t>
      </w:r>
      <w:r>
        <w:t>Hospodářský a měnový výbor</w:t>
      </w:r>
      <w:r>
        <w:rPr>
          <w:rStyle w:val="HideTWBExt"/>
        </w:rPr>
        <w:t>&lt;/Commission&gt;</w:t>
      </w:r>
    </w:p>
    <w:p>
      <w:pPr>
        <w:pStyle w:val="LineBottom"/>
      </w:pPr>
      <w:r>
        <w:t xml:space="preserve"> </w:t>
      </w:r>
    </w:p>
    <w:p>
      <w:pPr>
        <w:pStyle w:val="CoverReference"/>
      </w:pPr>
      <w:r>
        <w:rPr>
          <w:rStyle w:val="HideTWBExt"/>
        </w:rPr>
        <w:t>&lt;RefProc&gt;</w:t>
      </w:r>
      <w:r>
        <w:t>2023/0321</w:t>
      </w:r>
      <w:r>
        <w:rPr>
          <w:rStyle w:val="HideTWBExt"/>
        </w:rPr>
        <w:t>&lt;/RefProc&gt;</w:t>
      </w:r>
      <w:r>
        <w:rPr>
          <w:rStyle w:val="HideTWBExt"/>
        </w:rPr>
        <w:t>&lt;RefTypeProc&gt;</w:t>
      </w:r>
      <w:r>
        <w:t>(CNS)</w:t>
      </w:r>
      <w:r>
        <w:rPr>
          <w:rStyle w:val="HideTWBExt"/>
        </w:rPr>
        <w:t>&lt;/RefTypeProc&gt;</w:t>
      </w:r>
    </w:p>
    <w:p>
      <w:pPr>
        <w:pStyle w:val="CoverDate"/>
      </w:pPr>
      <w:r>
        <w:rPr>
          <w:rStyle w:val="HideTWBExt"/>
        </w:rPr>
        <w:t>&lt;Date&gt;</w:t>
      </w:r>
      <w:r>
        <w:rPr>
          <w:rStyle w:val="HideTWBInt"/>
        </w:rPr>
        <w:t>{17/06/2025}</w:t>
      </w:r>
      <w:r>
        <w:t>17.6.2025</w:t>
      </w:r>
      <w:r>
        <w:rPr>
          <w:rStyle w:val="HideTWBExt"/>
        </w:rPr>
        <w:t>&lt;/Date&gt;</w:t>
      </w:r>
    </w:p>
    <w:p>
      <w:pPr>
        <w:pStyle w:val="CoverDocType"/>
      </w:pPr>
      <w:r>
        <w:rPr>
          <w:rStyle w:val="HideTWBExt"/>
        </w:rPr>
        <w:t>&lt;TypeAM&gt;</w:t>
      </w:r>
      <w:r>
        <w:t>POZMĚŇOVACÍ NÁVRHY</w:t>
      </w:r>
      <w:r>
        <w:rPr>
          <w:rStyle w:val="HideTWBExt"/>
        </w:rPr>
        <w:t>&lt;/TypeAM&gt;</w:t>
      </w:r>
    </w:p>
    <w:p>
      <w:pPr>
        <w:pStyle w:val="CoverDocType24a"/>
      </w:pPr>
      <w:r>
        <w:rPr>
          <w:rStyle w:val="HideTWBExt"/>
        </w:rPr>
        <w:t>&lt;RangeAM&gt;</w:t>
      </w:r>
      <w:r>
        <w:t>89</w:t>
      </w:r>
      <w:r>
        <w:t xml:space="preserve"> - </w:t>
      </w:r>
      <w:r>
        <w:t>449</w:t>
      </w:r>
      <w:r>
        <w:rPr>
          <w:rStyle w:val="HideTWBExt"/>
        </w:rPr>
        <w:t>&lt;/RangeAM&gt;</w:t>
      </w:r>
    </w:p>
    <w:p>
      <w:pPr>
        <w:pStyle w:val="CoverBold"/>
      </w:pPr>
      <w:r>
        <w:rPr>
          <w:rStyle w:val="HideTWBExt"/>
        </w:rPr>
        <w:t>&lt;TitreType&gt;</w:t>
      </w:r>
      <w:r>
        <w:t>Návrh zprávy</w:t>
      </w:r>
      <w:r>
        <w:rPr>
          <w:rStyle w:val="HideTWBExt"/>
        </w:rPr>
        <w:t>&lt;/TitreType&gt;</w:t>
      </w:r>
    </w:p>
    <w:p>
      <w:pPr>
        <w:pStyle w:val="CoverBold"/>
      </w:pPr>
      <w:r>
        <w:rPr>
          <w:rStyle w:val="HideTWBExt"/>
        </w:rPr>
        <w:t>&lt;Rapporteur&gt;</w:t>
      </w:r>
      <w:r>
        <w:t>Evelyn Regner</w:t>
      </w:r>
      <w:r>
        <w:rPr>
          <w:rStyle w:val="HideTWBExt"/>
        </w:rPr>
        <w:t>&lt;/Rapporteur&gt;</w:t>
      </w:r>
    </w:p>
    <w:p>
      <w:pPr>
        <w:pStyle w:val="CoverNormal24a"/>
      </w:pPr>
      <w:r>
        <w:rPr>
          <w:rStyle w:val="HideTWBExt"/>
        </w:rPr>
        <w:t>&lt;DocRefPE&gt;</w:t>
      </w:r>
      <w:r>
        <w:t>(PE773.162v01-00)</w:t>
      </w:r>
      <w:r>
        <w:rPr>
          <w:rStyle w:val="HideTWBExt"/>
        </w:rPr>
        <w:t>&lt;/DocRefPE&gt;</w:t>
      </w:r>
    </w:p>
    <w:p>
      <w:pPr>
        <w:pStyle w:val="CoverNormal24a"/>
      </w:pPr>
      <w:r>
        <w:rPr>
          <w:rStyle w:val="HideTWBExt"/>
        </w:rPr>
        <w:t>&lt;Titre&gt;</w:t>
      </w:r>
      <w:r>
        <w:t>Podnikání v Evropě: rámec pro zdanění příjmů (BEFIT)</w:t>
      </w:r>
      <w:r>
        <w:rPr>
          <w:rStyle w:val="HideTWBExt"/>
        </w:rPr>
        <w:t>&lt;/Titre&gt;</w:t>
      </w:r>
    </w:p>
    <w:p>
      <w:pPr>
        <w:pStyle w:val="CoverNormal"/>
      </w:pPr>
      <w:r>
        <w:rPr>
          <w:rStyle w:val="HideTWBExt"/>
        </w:rPr>
        <w:t>&lt;DocAmend&gt;</w:t>
      </w:r>
      <w:r>
        <w:t>Návrh směrnice</w:t>
      </w:r>
      <w:r>
        <w:rPr>
          <w:rStyle w:val="HideTWBExt"/>
        </w:rPr>
        <w:t>&lt;/DocAmend&gt;</w:t>
      </w:r>
    </w:p>
    <w:p>
      <w:pPr>
        <w:pStyle w:val="CoverNormal24a"/>
      </w:pPr>
      <w:r>
        <w:rPr>
          <w:rStyle w:val="HideTWBExt"/>
        </w:rPr>
        <w:t>&lt;DocRef&gt;</w:t>
      </w:r>
      <w:r>
        <w:t>(COM(2023)0532 – C9-0341/2023 – 2023/0321(CNS))</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Pozměňovací návrh</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Christophe Gomart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Právní východisko 5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 ohledem na výroční zprávu Evropské komise za rok 2024 o zdanění v Unii, která byla zveřejněna v červnu 2024,</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Christophe Gomart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 Unii v současné době neexistuje společný přístup k výpočtu základu daně pro podniky. Podniky v Unii jsou proto povinny dodržovat různé systémy daně z příjmů právnických osob v každém členském státě, ve kterém působí.</w:t>
            </w:r>
          </w:p>
        </w:tc>
        <w:tc>
          <w:tcPr>
            <w:tcW w:w="4876" w:type="dxa"/>
            <w:tcBorders>
              <w:top w:val="nil"/>
              <w:left w:val="nil"/>
              <w:bottom w:val="nil"/>
              <w:right w:val="nil"/>
            </w:tcBorders>
          </w:tcPr>
          <w:p>
            <w:pPr>
              <w:pStyle w:val="Normal6a"/>
            </w:pPr>
            <w:r>
              <w:t>(1)</w:t>
            </w:r>
            <w:r>
              <w:tab/>
            </w:r>
            <w:r>
              <w:t xml:space="preserve">V Unii v současné době neexistuje společný přístup k výpočtu základu daně pro podniky. Podniky v Unii jsou proto povinny dodržovat různé systémy daně z příjmů právnických osob v každém členském státě, ve kterém působí. </w:t>
            </w:r>
            <w:r>
              <w:rPr>
                <w:b/>
                <w:i/>
              </w:rPr>
              <w:t>Například v roce 2023 se podle výroční zprávy o zdanění za rok 2024 zákonné sazby daně z příjmů právnických osob v jednotlivých členských státech pohybovaly od 10 % do 31,5 % (a od 9 % do 29 % s přihlédnutím k režimům daňové podpory zavedeným vládami).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 Unii v současné době neexistuje společný přístup k výpočtu základu daně pro podniky. Podniky v Unii jsou proto povinny dodržovat různé systémy daně z příjmů právnických osob v každém členském státě, ve kterém působí.</w:t>
            </w:r>
          </w:p>
        </w:tc>
        <w:tc>
          <w:tcPr>
            <w:tcW w:w="4876" w:type="dxa"/>
            <w:tcBorders>
              <w:top w:val="nil"/>
              <w:left w:val="nil"/>
              <w:bottom w:val="nil"/>
              <w:right w:val="nil"/>
            </w:tcBorders>
          </w:tcPr>
          <w:p>
            <w:pPr>
              <w:pStyle w:val="Normal6a"/>
            </w:pPr>
            <w:r>
              <w:t>(1)</w:t>
            </w:r>
            <w:r>
              <w:tab/>
            </w:r>
            <w:r>
              <w:rPr>
                <w:b/>
                <w:i/>
              </w:rPr>
              <w:t>Navzdory všem návrhům uvedeným v bodech 1a, 1b a 1c</w:t>
            </w:r>
            <w:r>
              <w:t xml:space="preserve"> v Unii v současné době neexistuje společný přístup k výpočtu základu daně pro podniky. Podniky v Unii jsou proto povinny dodržovat různé systémy daně z příjmů právnických osob v každém členském státě, ve kterém působí.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 roce 1975 předložila Evropská komise návrh na minimalizaci rozdílů mezi sazbami daně z příjmů právnických osob v jednotlivých členských státech.</w:t>
            </w:r>
            <w:r>
              <w:t xml:space="preserve"> </w:t>
            </w:r>
            <w:r>
              <w:rPr>
                <w:b/>
                <w:i/>
              </w:rPr>
              <w:t>Podle návrhu</w:t>
            </w:r>
            <w:r>
              <w:rPr>
                <w:b/>
                <w:i/>
                <w:vertAlign w:val="superscript"/>
              </w:rPr>
              <w:t>1a</w:t>
            </w:r>
            <w:r>
              <w:t xml:space="preserve"> </w:t>
            </w:r>
            <w:r>
              <w:rPr>
                <w:b/>
                <w:i/>
              </w:rPr>
              <w:t>by si členské státy stále mohly zvolit vlastní sazbu daně z příjmů právnických osob, avšak tato sazba by „nemohla být nižší než 45 % ani vyšší než 55 %“.</w:t>
            </w:r>
            <w:r>
              <w:t xml:space="preserve"> </w:t>
            </w:r>
            <w:r>
              <w:rPr>
                <w:b/>
                <w:i/>
              </w:rPr>
              <w:t>Vzhledem k nedostatečné podpoře ze strany členských států byl návrh stažen.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COM(75)0392.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V roce 2011 předložila Komise návrh</w:t>
            </w:r>
            <w:r>
              <w:rPr>
                <w:b/>
                <w:i/>
                <w:vertAlign w:val="superscript"/>
              </w:rPr>
              <w:t>1b</w:t>
            </w:r>
            <w:r>
              <w:t xml:space="preserve"> </w:t>
            </w:r>
            <w:r>
              <w:rPr>
                <w:b/>
                <w:i/>
              </w:rPr>
              <w:t>společného konsolidovaného základu daně z příjmů právnických osob, který je znám pod zkratkou CCCTB.</w:t>
            </w:r>
            <w:r>
              <w:t xml:space="preserve"> </w:t>
            </w:r>
            <w:r>
              <w:rPr>
                <w:b/>
                <w:i/>
              </w:rPr>
              <w:t>Po čtyřech letech technických jednání se jednání v Radě změnila a návrh byl stažen.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1b</w:t>
            </w:r>
            <w:r>
              <w:t xml:space="preserve"> </w:t>
            </w:r>
            <w:r>
              <w:rPr>
                <w:b/>
                <w:i/>
              </w:rPr>
              <w:t>COM(2011)0121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V roce 2016 předložila Evropská komise pozměněný „nový“ CCCTB</w:t>
            </w:r>
            <w:r>
              <w:rPr>
                <w:b/>
                <w:i/>
                <w:vertAlign w:val="superscript"/>
              </w:rPr>
              <w:t>1c</w:t>
            </w:r>
            <w:r>
              <w:rPr>
                <w:b/>
                <w:i/>
              </w:rPr>
              <w:t>.</w:t>
            </w:r>
            <w:r>
              <w:t xml:space="preserve"> </w:t>
            </w:r>
            <w:r>
              <w:rPr>
                <w:b/>
                <w:i/>
              </w:rPr>
              <w:t>Společný evropský základ daně z příjmů právnických osob by sloužil jako jednotný soubor pravidel pro výpočet celkového zisku společností v EU.</w:t>
            </w:r>
            <w:r>
              <w:t xml:space="preserve"> </w:t>
            </w:r>
            <w:r>
              <w:rPr>
                <w:b/>
                <w:i/>
              </w:rPr>
              <w:t>Po výpočtu společného základu daně by společnost působící ve více než jednom členském státě mohla sečíst všechny zisky a ztráty svých subjektů v různých členských státech, aby zjistila svůj celkový čistý zisk nebo ztrátu za celou EU (konsolidace).</w:t>
            </w:r>
            <w:r>
              <w:t xml:space="preserve"> </w:t>
            </w:r>
            <w:r>
              <w:rPr>
                <w:b/>
                <w:i/>
              </w:rPr>
              <w:t>Zdanitelné zisky společnosti by pak byly rozděleny mezi příslušné subjekty společnosti za použití vzorce pro rozdělení (vzorec pro rozdělení), přičemž zisky by byly rozděleny podle tří faktorů se stejnou váhou (práce, hmotný majetek a tržby).</w:t>
            </w:r>
            <w:r>
              <w:t xml:space="preserve"> </w:t>
            </w:r>
            <w:r>
              <w:rPr>
                <w:b/>
                <w:i/>
              </w:rPr>
              <w:t>Každý členský stát by pak zdaňoval přidělené podíly na zisku společnosti svou vlastní vnitrostátní sazbou daně z příjmů právnických osob.</w:t>
            </w:r>
            <w:r>
              <w:t xml:space="preserve"> </w:t>
            </w:r>
            <w:r>
              <w:rPr>
                <w:b/>
                <w:i/>
              </w:rPr>
              <w:t>Návrh CCCTB z roku 2016 se nakonec dočkal stejného osudu jako jeho předchůdce z roku 2011.</w:t>
            </w:r>
            <w:r>
              <w:t xml:space="preserve"> </w:t>
            </w:r>
            <w:r>
              <w:rPr>
                <w:b/>
                <w:i/>
              </w:rPr>
              <w:t>Rada nebyla schopna dosáhnout jednomyslné podpory, a zatímco Rada původně pozastavila jednání s cílem poskytnout prostor pro reformu pravidel daně z příjmů právnických osob v rámci Organizace pro hospodářskou spolupráci a rozvoj (OECD) / inkluzivního rámce (viz následující bod), návrh CCCTB z roku 2016 byl v září 2023 stažen.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1c</w:t>
            </w:r>
            <w:r>
              <w:t xml:space="preserve"> </w:t>
            </w:r>
            <w:r>
              <w:rPr>
                <w:b/>
                <w:i/>
              </w:rPr>
              <w:t>COM(2016)0683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Guillaume Peltier</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Existence</w:t>
            </w:r>
            <w:r>
              <w:t xml:space="preserve"> 27 různých systémů daně z příjmu právnických osob </w:t>
            </w:r>
            <w:r>
              <w:rPr>
                <w:b/>
                <w:i/>
              </w:rPr>
              <w:t>v Unii komplikuje dodržování daňových předpisů a vede k nekalé soutěži mezi podniky</w:t>
            </w:r>
            <w:r>
              <w:t xml:space="preserve">. </w:t>
            </w:r>
            <w:r>
              <w:rPr>
                <w:b/>
                <w:i/>
              </w:rPr>
              <w:t>Stává se to stále zřejmějším, protože</w:t>
            </w:r>
            <w:r>
              <w:t xml:space="preserve"> globalizace a digitalizace ekonomiky výrazně změnily vnímání hranic země a obchodních modelů</w:t>
            </w:r>
            <w:r>
              <w:rPr>
                <w:b/>
                <w:i/>
              </w:rPr>
              <w:t>.</w:t>
            </w:r>
            <w:r>
              <w:t xml:space="preserve"> Vlády se </w:t>
            </w:r>
            <w:r>
              <w:rPr>
                <w:b/>
                <w:i/>
              </w:rPr>
              <w:t>pokusily</w:t>
            </w:r>
            <w:r>
              <w:t xml:space="preserve"> této nové realitě přizpůsobit </w:t>
            </w:r>
            <w:r>
              <w:rPr>
                <w:b/>
                <w:i/>
              </w:rPr>
              <w:t>a nejednotná reakce členských států vedla k dalšímu narušení vnitřního trhu</w:t>
            </w:r>
            <w:r>
              <w:t xml:space="preserve">. </w:t>
            </w:r>
            <w:r>
              <w:rPr>
                <w:b/>
                <w:i/>
              </w:rPr>
              <w:t>Různé právní rámce rovněž nevyhnutelně vedou k rozdílným postupům správy daní v jednotlivých členských státech.</w:t>
            </w:r>
            <w:r>
              <w:t xml:space="preserve"> </w:t>
            </w:r>
            <w:r>
              <w:rPr>
                <w:b/>
                <w:i/>
              </w:rPr>
              <w:t>To s sebou často přináší dlouhé postupy, které se vyznačují nepředvídatelností a nedůsledností a vysokými náklady na dodržování předpisů.</w:t>
            </w:r>
          </w:p>
        </w:tc>
        <w:tc>
          <w:tcPr>
            <w:tcW w:w="4876" w:type="dxa"/>
            <w:tcBorders>
              <w:top w:val="nil"/>
              <w:left w:val="nil"/>
              <w:bottom w:val="nil"/>
              <w:right w:val="nil"/>
            </w:tcBorders>
          </w:tcPr>
          <w:p>
            <w:pPr>
              <w:pStyle w:val="Normal6a"/>
            </w:pPr>
            <w:r>
              <w:t>(2)</w:t>
            </w:r>
            <w:r>
              <w:tab/>
            </w:r>
            <w:r>
              <w:rPr>
                <w:b/>
                <w:i/>
              </w:rPr>
              <w:t>V Unii existuje</w:t>
            </w:r>
            <w:r>
              <w:t xml:space="preserve"> 27 různých systémů daně z příjmu právnických osob. Globalizace a digitalizace ekonomiky výrazně změnily vnímání hranic země a obchodních modelů </w:t>
            </w:r>
            <w:r>
              <w:rPr>
                <w:b/>
                <w:i/>
              </w:rPr>
              <w:t>a</w:t>
            </w:r>
            <w:r>
              <w:t xml:space="preserve"> vlády se </w:t>
            </w:r>
            <w:r>
              <w:rPr>
                <w:b/>
                <w:i/>
              </w:rPr>
              <w:t>snaží</w:t>
            </w:r>
            <w:r>
              <w:t xml:space="preserve"> této nové realitě přizpůsobit.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Existence 27 různých systémů daně z příjmu právnických osob v Unii komplikuje dodržování daňových předpisů </w:t>
            </w:r>
            <w:r>
              <w:rPr>
                <w:b/>
                <w:i/>
              </w:rPr>
              <w:t>a vede k nekalé soutěži mezi podniky</w:t>
            </w:r>
            <w:r>
              <w:t>. Stává se to stále zřejmějším, protože globalizace a digitalizace ekonomiky výrazně změnily vnímání hranic země a obchodních modelů. Vlády se pokusily této nové realitě přizpůsobit a nejednotná reakce členských států vedla k dalšímu narušení vnitřního trhu. Různé právní rámce rovněž nevyhnutelně vedou k rozdílným postupům správy daní v jednotlivých členských státech. To s sebou často přináší dlouhé postupy, které se vyznačují nepředvídatelností a nedůsledností a vysokými náklady na dodržování předpisů</w:t>
            </w:r>
            <w:r>
              <w:rPr>
                <w:b/>
                <w:i/>
              </w:rPr>
              <w:t>.</w:t>
            </w:r>
          </w:p>
        </w:tc>
        <w:tc>
          <w:tcPr>
            <w:tcW w:w="4876" w:type="dxa"/>
            <w:tcBorders>
              <w:top w:val="nil"/>
              <w:left w:val="nil"/>
              <w:bottom w:val="nil"/>
              <w:right w:val="nil"/>
            </w:tcBorders>
          </w:tcPr>
          <w:p>
            <w:pPr>
              <w:pStyle w:val="Normal6a"/>
            </w:pPr>
            <w:r>
              <w:t>(2)</w:t>
            </w:r>
            <w:r>
              <w:tab/>
            </w:r>
            <w:r>
              <w:t>Existence 27 různých systémů daně z příjmu právnických osob v Unii komplikuje dodržování daňových předpisů. Stává se to stále zřejmějším, protože globalizace a digitalizace ekonomiky výrazně změnily vnímání hranic země a obchodních modelů. Vlády se pokusily této nové realitě přizpůsobit a nejednotná reakce členských států vedla k dalšímu narušení vnitřního trhu. Různé právní rámce rovněž nevyhnutelně vedou k rozdílným postupům správy daní v jednotlivých členských státech. To s sebou často přináší dlouhé postupy, které se vyznačují nepředvídatelností a nedůsledností a vysokými náklady na dodržování předpisů</w:t>
            </w:r>
            <w:r>
              <w:rPr>
                <w:b/>
                <w:i/>
              </w:rPr>
              <w:t>, což odrazuje od přeshraničního investování;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Existence 27 různých systémů daně z příjmu právnických osob v Unii komplikuje dodržování daňových předpisů a vede k nekalé soutěži mezi podniky. Stává se to stále zřejmějším, protože globalizace a digitalizace ekonomiky výrazně změnily vnímání hranic země a obchodních modelů. Vlády se pokusily této nové realitě přizpůsobit a nejednotná reakce členských států vedla k dalšímu narušení vnitřního trhu. Různé právní rámce rovněž nevyhnutelně vedou k rozdílným postupům správy daní v jednotlivých členských státech. To s sebou často přináší dlouhé postupy, které se vyznačují nepředvídatelností a nedůsledností a vysokými náklady na dodržování předpisů.</w:t>
            </w:r>
          </w:p>
        </w:tc>
        <w:tc>
          <w:tcPr>
            <w:tcW w:w="4876" w:type="dxa"/>
            <w:tcBorders>
              <w:top w:val="nil"/>
              <w:left w:val="nil"/>
              <w:bottom w:val="nil"/>
              <w:right w:val="nil"/>
            </w:tcBorders>
          </w:tcPr>
          <w:p>
            <w:pPr>
              <w:pStyle w:val="Normal6a"/>
            </w:pPr>
            <w:r>
              <w:t>(2)</w:t>
            </w:r>
            <w:r>
              <w:tab/>
            </w:r>
            <w:r>
              <w:t xml:space="preserve">Existence 27 různých systémů daně z příjmu právnických osob v Unii komplikuje dodržování daňových předpisů a vede k nekalé soutěži mezi podniky </w:t>
            </w:r>
            <w:r>
              <w:rPr>
                <w:b/>
                <w:i/>
              </w:rPr>
              <w:t>a usnadňuje přeshraniční agresivní daňové plánování, jakož i případy dvojího zdanění a dvojího nezdanění</w:t>
            </w:r>
            <w:r>
              <w:t xml:space="preserve">. Stává se to stále zřejmějším, protože globalizace a digitalizace ekonomiky výrazně změnily vnímání hranic země a obchodních modelů. Vlády se pokusily této nové realitě přizpůsobit a nejednotná reakce členských států vedla k dalšímu narušení vnitřního trhu. Různé právní rámce rovněž nevyhnutelně vedou k rozdílným postupům správy daní v jednotlivých členských státech. To s sebou často přináší dlouhé postupy, které se vyznačují nepředvídatelností a nedůsledností a vysokými náklady na dodržování předpisů. </w:t>
            </w:r>
            <w:r>
              <w:rPr>
                <w:b/>
                <w:i/>
              </w:rPr>
              <w:t>Vzhledem k tomu, že tato složitost může bránit expanzi podniků na jednotném trhu, což má další negativní dopady na inovace, konkurenceschopnost a zaměstnanost, potřebují společnosti funkční jednotný daňový rámec pro rozvoj své obchodní činnosti na celém jednotném trhu.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Christophe Gomart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Existence 27 různých systémů daně z příjmu právnických osob v Unii komplikuje dodržování daňových předpisů </w:t>
            </w:r>
            <w:r>
              <w:rPr>
                <w:b/>
                <w:i/>
              </w:rPr>
              <w:t>a</w:t>
            </w:r>
            <w:r>
              <w:t xml:space="preserve"> vede k nekalé soutěži mezi podniky</w:t>
            </w:r>
            <w:r>
              <w:rPr>
                <w:b/>
                <w:i/>
              </w:rPr>
              <w:t>.</w:t>
            </w:r>
            <w:r>
              <w:t xml:space="preserve"> </w:t>
            </w:r>
            <w:r>
              <w:rPr>
                <w:b/>
                <w:i/>
              </w:rPr>
              <w:t>Stává se to stále zřejmějším, protože</w:t>
            </w:r>
            <w:r>
              <w:t xml:space="preserve"> globalizace a digitalizace ekonomiky výrazně změnily vnímání hranic země a obchodních modelů. Vlády se pokusily této nové realitě přizpůsobit a nejednotná reakce členských států vedla k dalšímu narušení vnitřního trhu. Různé právní rámce rovněž nevyhnutelně vedou k rozdílným postupům správy daní v jednotlivých členských státech. To s sebou často přináší dlouhé postupy, které se vyznačují nepředvídatelností a nedůsledností a vysokými náklady na dodržování předpisů.</w:t>
            </w:r>
          </w:p>
        </w:tc>
        <w:tc>
          <w:tcPr>
            <w:tcW w:w="4876" w:type="dxa"/>
            <w:tcBorders>
              <w:top w:val="nil"/>
              <w:left w:val="nil"/>
              <w:bottom w:val="nil"/>
              <w:right w:val="nil"/>
            </w:tcBorders>
          </w:tcPr>
          <w:p>
            <w:pPr>
              <w:pStyle w:val="Normal6a"/>
            </w:pPr>
            <w:r>
              <w:t>(2)</w:t>
            </w:r>
            <w:r>
              <w:tab/>
            </w:r>
            <w:r>
              <w:t>Existence 27 různých systémů daně z příjmu právnických osob v Unii komplikuje dodržování daňových předpisů</w:t>
            </w:r>
            <w:r>
              <w:rPr>
                <w:b/>
                <w:i/>
              </w:rPr>
              <w:t>,</w:t>
            </w:r>
            <w:r>
              <w:t xml:space="preserve"> vede k nekalé soutěži mezi podniky </w:t>
            </w:r>
            <w:r>
              <w:rPr>
                <w:b/>
                <w:i/>
              </w:rPr>
              <w:t>a podporuje přeshraniční daňové plánování.</w:t>
            </w:r>
            <w:r>
              <w:t xml:space="preserve"> </w:t>
            </w:r>
            <w:r>
              <w:rPr>
                <w:b/>
                <w:i/>
              </w:rPr>
              <w:t>Podle výroční zprávy o zdanění v EU za rok 2024 byly ztráty příjmů v důsledku přesouvání zisku podniků odhadnuty na 20 % všech příjmů z daně z příjmů právnických osob vybraných v EU v roce 2022, což by činilo přibližně 100 miliard EUR v nominální hodnotě.</w:t>
            </w:r>
            <w:r>
              <w:t xml:space="preserve"> </w:t>
            </w:r>
            <w:r>
              <w:rPr>
                <w:b/>
                <w:i/>
              </w:rPr>
              <w:t>Tento jev se projevil ještě více tím, že</w:t>
            </w:r>
            <w:r>
              <w:t xml:space="preserve"> globalizace a digitalizace ekonomiky výrazně změnily vnímání hranic země a obchodních modelů. Vlády se pokusily této nové realitě přizpůsobit a nejednotná reakce členských států vedla k dalšímu narušení vnitřního trhu. Různé právní rámce rovněž nevyhnutelně vedou k rozdílným postupům správy daní v jednotlivých členských státech. To s sebou často přináší dlouhé postupy, které se vyznačují nepředvídatelností a nedůsledností a vysokými náklady na dodržování předpisů.</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Existence 27 různých systémů daně z příjmu právnických osob v Unii komplikuje dodržování daňových předpisů a vede k nekalé soutěži mezi podniky. Stává se to stále zřejmějším, protože globalizace a digitalizace ekonomiky výrazně změnily vnímání hranic země a obchodních modelů. Vlády se pokusily této nové realitě přizpůsobit a nejednotná reakce členských států vedla k dalšímu narušení vnitřního trhu. Různé právní rámce rovněž nevyhnutelně vedou k rozdílným postupům správy daní v jednotlivých členských státech. To s sebou často přináší dlouhé postupy, které se vyznačují nepředvídatelností a nedůsledností a vysokými náklady na dodržování předpisů.</w:t>
            </w:r>
          </w:p>
        </w:tc>
        <w:tc>
          <w:tcPr>
            <w:tcW w:w="4876" w:type="dxa"/>
            <w:tcBorders>
              <w:top w:val="nil"/>
              <w:left w:val="nil"/>
              <w:bottom w:val="nil"/>
              <w:right w:val="nil"/>
            </w:tcBorders>
          </w:tcPr>
          <w:p>
            <w:pPr>
              <w:pStyle w:val="Normal6a"/>
            </w:pPr>
            <w:r>
              <w:t>(2)</w:t>
            </w:r>
            <w:r>
              <w:tab/>
            </w:r>
            <w:r>
              <w:t xml:space="preserve">Existence 27 různých systémů daně z příjmu právnických osob v Unii komplikuje dodržování daňových předpisů a vede k nekalé soutěži mezi podniky. Stává se to stále zřejmějším, protože globalizace a digitalizace ekonomiky výrazně změnily vnímání hranic země a obchodních modelů. Vlády se pokusily této nové realitě přizpůsobit a nejednotná reakce členských států vedla k dalšímu narušení vnitřního trhu. Různé právní rámce rovněž nevyhnutelně vedou k rozdílným postupům správy daní v jednotlivých členských státech. To s sebou často přináší dlouhé postupy, které se vyznačují nepředvídatelností a nedůsledností a vysokými náklady na dodržování předpisů. </w:t>
            </w:r>
            <w:r>
              <w:rPr>
                <w:b/>
                <w:i/>
              </w:rPr>
              <w:t>Nedostatečná koordinace navíc narušuje daňovou jistotu, odrazuje od přeshraničních investic a vytváří příležitosti pro agresivní daňové plánování.</w:t>
            </w:r>
            <w:r>
              <w:t xml:space="preserve"> </w:t>
            </w:r>
            <w:r>
              <w:rPr>
                <w:b/>
                <w:i/>
              </w:rPr>
              <w:t>Společný přístup je proto nezbytný nejen pro zajištění spravedlivého a účinného zdanění, ale také pro posílení integrity a konkurenceschopnosti společností působících na jednotném trhu.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Existence 27 různých systémů daně z příjmu právnických osob v Unii komplikuje dodržování daňových předpisů a vede k nekalé soutěži mezi podniky. Stává se to stále zřejmějším, protože globalizace a digitalizace ekonomiky výrazně změnily vnímání hranic země a obchodních modelů. Vlády se pokusily této nové realitě přizpůsobit a nejednotná reakce členských států vedla k dalšímu narušení vnitřního trhu. Různé právní rámce rovněž nevyhnutelně vedou k rozdílným postupům správy daní v jednotlivých členských státech. To s sebou často přináší dlouhé postupy, které se vyznačují nepředvídatelností a nedůsledností a vysokými náklady na dodržování předpisů.</w:t>
            </w:r>
          </w:p>
        </w:tc>
        <w:tc>
          <w:tcPr>
            <w:tcW w:w="4876" w:type="dxa"/>
            <w:tcBorders>
              <w:top w:val="nil"/>
              <w:left w:val="nil"/>
              <w:bottom w:val="nil"/>
              <w:right w:val="nil"/>
            </w:tcBorders>
          </w:tcPr>
          <w:p>
            <w:pPr>
              <w:pStyle w:val="Normal6a"/>
            </w:pPr>
            <w:r>
              <w:t>(2)</w:t>
            </w:r>
            <w:r>
              <w:tab/>
            </w:r>
            <w:r>
              <w:t>Existence 27 různých systémů daně z příjmu právnických osob v Unii komplikuje dodržování daňových předpisů a vede k nekalé soutěži mezi podniky</w:t>
            </w:r>
            <w:r>
              <w:rPr>
                <w:b/>
                <w:i/>
              </w:rPr>
              <w:t>.</w:t>
            </w:r>
            <w:r>
              <w:t xml:space="preserve"> </w:t>
            </w:r>
            <w:r>
              <w:rPr>
                <w:b/>
                <w:i/>
              </w:rPr>
              <w:t>Tato složitost může působit jako překážka pro expanzi podniků na vnitřním trhu, což brání inovacím, konkurenceschopnosti a zaměstnanosti</w:t>
            </w:r>
            <w:r>
              <w:t>. Stává se to stále zřejmějším, protože globalizace a digitalizace ekonomiky výrazně změnily vnímání hranic země a obchodních modelů. Vlády se pokusily této nové realitě přizpůsobit a nejednotná reakce členských států vedla k dalšímu narušení vnitřního trhu. Různé právní rámce rovněž nevyhnutelně vedou k rozdílným postupům správy daní v jednotlivých členských státech. To s sebou často přináší dlouhé postupy, které se vyznačují nepředvídatelností a nedůsledností a vysokými náklady na dodržování předpisů.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Existence 27 různých systémů daně z příjmu právnických osob v Unii komplikuje dodržování daňových předpisů a vede k nekalé soutěži mezi podniky. Stává se to stále zřejmějším, protože globalizace a digitalizace ekonomiky výrazně změnily vnímání hranic země a obchodních modelů. Vlády se pokusily této nové realitě přizpůsobit a nejednotná reakce členských států vedla k dalšímu narušení vnitřního trhu. Různé právní rámce rovněž nevyhnutelně vedou k rozdílným postupům správy daní v jednotlivých členských státech. To s sebou často přináší dlouhé postupy, které se vyznačují nepředvídatelností a nedůsledností a vysokými náklady na dodržování předpisů.</w:t>
            </w:r>
          </w:p>
        </w:tc>
        <w:tc>
          <w:tcPr>
            <w:tcW w:w="4876" w:type="dxa"/>
            <w:tcBorders>
              <w:top w:val="nil"/>
              <w:left w:val="nil"/>
              <w:bottom w:val="nil"/>
              <w:right w:val="nil"/>
            </w:tcBorders>
          </w:tcPr>
          <w:p>
            <w:pPr>
              <w:pStyle w:val="Normal6a"/>
            </w:pPr>
            <w:r>
              <w:t>(2)</w:t>
            </w:r>
            <w:r>
              <w:tab/>
            </w:r>
            <w:r>
              <w:t>Existence 27 různých systémů daně z příjmu právnických osob v Unii komplikuje dodržování daňových předpisů a vede k nekalé soutěži mezi podniky</w:t>
            </w:r>
            <w:r>
              <w:rPr>
                <w:b/>
                <w:i/>
              </w:rPr>
              <w:t>, zejména proto, že nadnárodní podniky by mohly využívat různé daňové systémy k agresivnímu daňovému plánování, což vede k tomu, že malé a střední podniky musí platit vyšší částku daní úměrně svým ziskům</w:t>
            </w:r>
            <w:r>
              <w:t xml:space="preserve">. Stává se to stále zřejmějším, protože globalizace a digitalizace ekonomiky výrazně změnily vnímání hranic země a obchodních modelů. Vlády se pokusily této nové realitě přizpůsobit a nejednotná reakce členských států vedla k dalšímu narušení vnitřního trhu. Různé právní rámce rovněž nevyhnutelně vedou k rozdílným postupům správy daní v jednotlivých členských státech. To s sebou často přináší dlouhé postupy, které se vyznačují nepředvídatelností a nedůsledností a vysokými náklady na dodržování předpisů. </w:t>
            </w:r>
            <w:r>
              <w:rPr>
                <w:b/>
                <w:i/>
              </w:rPr>
              <w:t>Nejdůležitější je, že to vede k praktikám vyhýbání se daňovým povinnostem ze strany nadnárodních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Guillaume Peltier</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Ačkoli jsou systémy daně z příjmů právnických osob koncipovány odlišně, jejich základní rysy jsou podobné, neboť stanoví pravidla směřující ke stejnému cíli, tj. k dosažení základu daně pro podniky. </w:t>
            </w:r>
            <w:r>
              <w:rPr>
                <w:b/>
                <w:i/>
              </w:rPr>
              <w:t>V tomto smyslu by bylo pro podniky, které působí na vnitřním trhu, důležité, aby členské státy zavedly společný právní rámec pro harmonizaci základních rysů systémů daně z příjmů právnických osob s cílem zjednodušit daňová pravidla a zajistit spravedlivou hospodářskou soutěž.</w:t>
            </w:r>
          </w:p>
        </w:tc>
        <w:tc>
          <w:tcPr>
            <w:tcW w:w="4876" w:type="dxa"/>
            <w:tcBorders>
              <w:top w:val="nil"/>
              <w:left w:val="nil"/>
              <w:bottom w:val="nil"/>
              <w:right w:val="nil"/>
            </w:tcBorders>
          </w:tcPr>
          <w:p>
            <w:pPr>
              <w:pStyle w:val="Normal6a"/>
            </w:pPr>
            <w:r>
              <w:t>(3)</w:t>
            </w:r>
            <w:r>
              <w:tab/>
            </w:r>
            <w:r>
              <w:t>Ačkoli jsou systémy daně z příjmů právnických osob koncipovány odlišně, jejich základní rysy jsou podobné, neboť stanoví pravidla směřující ke stejnému cíli, tj. k dosažení základu daně pro podniky.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Ačkoli jsou systémy daně z příjmů právnických osob koncipovány odlišně, jejich základní rysy jsou podobné, neboť stanoví pravidla směřující ke stejnému cíli, tj. k dosažení základu daně pro podniky. V tomto smyslu by bylo pro podniky, které působí na vnitřním trhu, důležité, aby členské státy zavedly společný právní rámec pro harmonizaci základních rysů systémů daně z příjmů právnických osob s cílem zjednodušit daňová pravidla a zajistit spravedlivou hospodářskou soutěž.</w:t>
            </w:r>
          </w:p>
        </w:tc>
        <w:tc>
          <w:tcPr>
            <w:tcW w:w="4876" w:type="dxa"/>
            <w:tcBorders>
              <w:top w:val="nil"/>
              <w:left w:val="nil"/>
              <w:bottom w:val="nil"/>
              <w:right w:val="nil"/>
            </w:tcBorders>
          </w:tcPr>
          <w:p>
            <w:pPr>
              <w:pStyle w:val="Normal6a"/>
            </w:pPr>
            <w:r>
              <w:t>(3)</w:t>
            </w:r>
            <w:r>
              <w:tab/>
            </w:r>
            <w:r>
              <w:t xml:space="preserve">Ačkoli jsou systémy daně z příjmů právnických osob koncipovány odlišně, jejich základní rysy jsou podobné, neboť stanoví pravidla směřující ke stejnému cíli, tj. k dosažení základu daně pro podniky. V tomto smyslu by bylo pro podniky, které působí na vnitřním trhu, důležité, aby členské státy zavedly společný právní rámec pro harmonizaci základních rysů systémů daně z příjmů právnických osob s cílem zjednodušit daňová pravidla a zajistit spravedlivou hospodářskou soutěž. </w:t>
            </w:r>
            <w:r>
              <w:rPr>
                <w:b/>
                <w:i/>
              </w:rPr>
              <w:t>Ustanovení týkající se sazby daně z příjmů právnických osob by však měla v rámci směrnice (EU) 2022/2523 o zajištění globální minimální úrovně zdanění nadnárodních skupin podniků a velkých vnitrostátních skupin v Unii zůstat v pravomoci členských států.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Ačkoli jsou systémy daně z příjmů právnických osob koncipovány odlišně, jejich základní rysy jsou podobné, neboť stanoví pravidla směřující ke stejnému cíli, tj. k dosažení základu daně pro podniky. V tomto smyslu by bylo pro podniky, které působí na vnitřním trhu, důležité, aby členské státy zavedly společný právní rámec pro harmonizaci základních rysů systémů daně z příjmů právnických osob s cílem zjednodušit daňová pravidla </w:t>
            </w:r>
            <w:r>
              <w:rPr>
                <w:b/>
                <w:i/>
              </w:rPr>
              <w:t>a</w:t>
            </w:r>
            <w:r>
              <w:t xml:space="preserve"> zajistit spravedlivou hospodářskou soutěž.</w:t>
            </w:r>
          </w:p>
        </w:tc>
        <w:tc>
          <w:tcPr>
            <w:tcW w:w="4876" w:type="dxa"/>
            <w:tcBorders>
              <w:top w:val="nil"/>
              <w:left w:val="nil"/>
              <w:bottom w:val="nil"/>
              <w:right w:val="nil"/>
            </w:tcBorders>
          </w:tcPr>
          <w:p>
            <w:pPr>
              <w:pStyle w:val="Normal6a"/>
            </w:pPr>
            <w:r>
              <w:t>(3)</w:t>
            </w:r>
            <w:r>
              <w:tab/>
            </w:r>
            <w:r>
              <w:t>Ačkoli jsou systémy daně z příjmů právnických osob koncipovány odlišně, jejich základní rysy jsou podobné, neboť stanoví pravidla směřující ke stejnému cíli, tj. k dosažení základu daně pro podniky. V tomto smyslu by bylo pro podniky, které působí na vnitřním trhu, důležité, aby členské státy zavedly společný právní rámec pro harmonizaci základních rysů systémů daně z příjmů právnických osob s cílem zjednodušit daňová pravidla</w:t>
            </w:r>
            <w:r>
              <w:rPr>
                <w:b/>
                <w:i/>
              </w:rPr>
              <w:t>, snížit administrativní zátěž,</w:t>
            </w:r>
            <w:r>
              <w:t xml:space="preserve"> zajistit spravedlivou hospodářskou soutěž </w:t>
            </w:r>
            <w:r>
              <w:rPr>
                <w:b/>
                <w:i/>
              </w:rPr>
              <w:t>a posílit právní jistotu pro společnosti působící přeshraničně</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Ačkoli jsou systémy daně z příjmů právnických osob koncipovány odlišně, jejich základní rysy jsou podobné, neboť stanoví pravidla směřující ke stejnému cíli, tj. k dosažení základu daně pro podniky. V tomto smyslu by bylo pro podniky, které působí na vnitřním trhu, důležité, aby členské státy zavedly společný právní rámec pro harmonizaci základních rysů systémů daně z příjmů právnických osob s cílem zjednodušit daňová pravidla a zajistit spravedlivou hospodářskou soutěž.</w:t>
            </w:r>
          </w:p>
        </w:tc>
        <w:tc>
          <w:tcPr>
            <w:tcW w:w="4876" w:type="dxa"/>
            <w:tcBorders>
              <w:top w:val="nil"/>
              <w:left w:val="nil"/>
              <w:bottom w:val="nil"/>
              <w:right w:val="nil"/>
            </w:tcBorders>
          </w:tcPr>
          <w:p>
            <w:pPr>
              <w:pStyle w:val="Normal6a"/>
            </w:pPr>
            <w:r>
              <w:t>(3)</w:t>
            </w:r>
            <w:r>
              <w:tab/>
            </w:r>
            <w:r>
              <w:t xml:space="preserve">Ačkoli jsou systémy daně z příjmů právnických osob koncipovány odlišně, jejich základní rysy jsou podobné, neboť stanoví pravidla směřující ke stejnému cíli, tj. k dosažení základu daně pro podniky. V tomto smyslu </w:t>
            </w:r>
            <w:r>
              <w:rPr>
                <w:b/>
                <w:i/>
              </w:rPr>
              <w:t>by na podporu řádného fungování vnitřního trhu měla být oblast daně z příjmu právnických osob v Unii formována v souladu se zásadou, že společnosti platí svůj spravedlivý podíl daně v jurisdikci (jurisdikcích), kde jsou generovány jejich zisky.</w:t>
            </w:r>
            <w:r>
              <w:t xml:space="preserve"> </w:t>
            </w:r>
            <w:r>
              <w:rPr>
                <w:b/>
                <w:i/>
              </w:rPr>
              <w:t>Proto</w:t>
            </w:r>
            <w:r>
              <w:t xml:space="preserve"> by bylo pro podniky, které působí na vnitřním trhu, důležité, aby členské státy zavedly společný právní rámec pro harmonizaci základních rysů systémů daně z příjmů právnických osob s cílem zjednodušit daňová pravidla a zajistit spravedlivou hospodářskou soutěž.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Ačkoli jsou systémy daně z příjmů právnických osob koncipovány odlišně, jejich základní rysy jsou podobné, neboť stanoví pravidla směřující ke stejnému cíli, tj. k dosažení základu daně pro podniky. V tomto smyslu by bylo pro podniky, které působí na vnitřním trhu, důležité, aby členské státy zavedly společný právní rámec pro harmonizaci základních rysů systémů daně z příjmů právnických osob s cílem zjednodušit daňová pravidla a </w:t>
            </w:r>
            <w:r>
              <w:rPr>
                <w:b/>
                <w:i/>
              </w:rPr>
              <w:t>zajistit spravedlivou hospodářskou soutěž</w:t>
            </w:r>
            <w:r>
              <w:t>.</w:t>
            </w:r>
          </w:p>
        </w:tc>
        <w:tc>
          <w:tcPr>
            <w:tcW w:w="4876" w:type="dxa"/>
            <w:tcBorders>
              <w:top w:val="nil"/>
              <w:left w:val="nil"/>
              <w:bottom w:val="nil"/>
              <w:right w:val="nil"/>
            </w:tcBorders>
          </w:tcPr>
          <w:p>
            <w:pPr>
              <w:pStyle w:val="Normal6a"/>
            </w:pPr>
            <w:r>
              <w:t>(3)</w:t>
            </w:r>
            <w:r>
              <w:tab/>
            </w:r>
            <w:r>
              <w:t xml:space="preserve">Ačkoli jsou systémy daně z příjmů právnických osob koncipovány odlišně, jejich základní rysy jsou podobné, neboť stanoví pravidla směřující ke stejnému cíli, tj. k dosažení základu daně pro podniky. V tomto smyslu by bylo pro podniky, které působí na vnitřním trhu, důležité, aby členské státy zavedly společný právní rámec pro harmonizaci základních rysů systémů daně z příjmů právnických osob s cílem zjednodušit daňová pravidla a </w:t>
            </w:r>
            <w:r>
              <w:rPr>
                <w:b/>
                <w:i/>
              </w:rPr>
              <w:t>zejména bojovat proti vyhýbání se daňovým povinnostem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Harmonizace by neměla být chápána jako sjednocení daňových systémů členských států, neboť všechny členské státy by si měly zachovat možnost soutěžit v oblasti daní;</w:t>
            </w:r>
            <w:r>
              <w:t xml:space="preserve"> </w:t>
            </w:r>
            <w:r>
              <w:rPr>
                <w:b/>
                <w:i/>
              </w:rPr>
              <w:t>je proto důležité zavést řadu daňových sazeb, které každému členskému státu umožní stanovit si vlastní sazby s cílem posílit konkurenceschopnost a přilákat investice;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Harmonizace základu daně z příjmů právnických osob prostřednictvím společného souboru pravidel zlepšuje transparentnost, čímž podporuje spravedlivé a zdravé prostředí daňové soutěže v Unii, které je podpořeno zejména vstupem směrnice (EU) 2022/2523 o globální minimální úrovni zdanění v platnost, a přispívá k posílení celkové konkurenceschopnosti Unie, jakož i závazku Unie dodržovat mezinárodně dohodnuté standardy.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Dne 9. června 2023 se 139 jurisdikcí, které jsou členy inkluzivního rámce OECD/G20, připojilo k prohlášení z října 2021 o dvoupilířovém řešení výzev v oblasti zdanění vyplývajících z digitalizace ekonomiky</w:t>
            </w:r>
            <w:r>
              <w:rPr>
                <w:vertAlign w:val="superscript"/>
              </w:rPr>
              <w:t>3</w:t>
            </w:r>
            <w:r>
              <w:t>. Tímto prohlášením se členské státy dohodly i) na přezkumu, který vypočítá potenciální minimální daňovou povinnost velkých nadnárodních skupin, přičemž se vychází z účetního výkaznictví, jako součásti druhého pilíře a ii) na částečném přerozdělení zdanitelných zisků na základě rozdělení podle vzorce jako součásti prvního pilíře. Návrh společného rámce pro řešení daňových výzev vyplývajících z digitalizace a globalizace by měl čerpat inspiraci z výsledků tohoto procesu. Vzhledem k tomu, že provádění druhého pilíře bylo členskými státy jednomyslně přijato prostřednictvím směrnice Rady (EU) 2022/2523</w:t>
            </w:r>
            <w:r>
              <w:rPr>
                <w:vertAlign w:val="superscript"/>
              </w:rPr>
              <w:t>4</w:t>
            </w:r>
            <w:r>
              <w:t>, měl by společný rámec daně z příjmů právnických osob v Unii vycházet z konceptů, např. oblasti působnosti a výpočtu základu daně, které jsou podnikům i členským státům již známy.</w:t>
            </w:r>
          </w:p>
        </w:tc>
        <w:tc>
          <w:tcPr>
            <w:tcW w:w="4876" w:type="dxa"/>
            <w:tcBorders>
              <w:top w:val="nil"/>
              <w:left w:val="nil"/>
              <w:bottom w:val="nil"/>
              <w:right w:val="nil"/>
            </w:tcBorders>
          </w:tcPr>
          <w:p>
            <w:pPr>
              <w:pStyle w:val="Normal6a"/>
            </w:pPr>
            <w:r>
              <w:t>(4)</w:t>
            </w:r>
            <w:r>
              <w:tab/>
            </w:r>
            <w:r>
              <w:t>Dne 9. června 2023 se 139 jurisdikcí, které jsou členy inkluzivního rámce OECD/G20, připojilo k prohlášení z října 2021 o dvoupilířovém řešení výzev v oblasti zdanění vyplývajících z digitalizace ekonomiky</w:t>
            </w:r>
            <w:r>
              <w:rPr>
                <w:vertAlign w:val="superscript"/>
              </w:rPr>
              <w:t>3</w:t>
            </w:r>
            <w:r>
              <w:t xml:space="preserve">. Tímto prohlášením se členské státy dohodly i) na přezkumu, který vypočítá potenciální minimální daňovou povinnost velkých nadnárodních skupin, přičemž se vychází z účetního výkaznictví, jako součásti druhého pilíře a ii) na částečném přerozdělení zdanitelných zisků na základě rozdělení podle vzorce jako součásti prvního pilíře. </w:t>
            </w:r>
            <w:r>
              <w:rPr>
                <w:b/>
                <w:i/>
              </w:rPr>
              <w:t>Pro toto rozdělení podle vzorce však nebylo dosaženo konečné dohody, takže je jeho provádění velmi nejisté.</w:t>
            </w:r>
            <w:r>
              <w:t xml:space="preserve"> Návrh společného rámce pro řešení daňových výzev vyplývajících z digitalizace a globalizace by měl čerpat inspiraci z výsledků tohoto procesu. Vzhledem k tomu, že provádění druhého pilíře bylo členskými státy jednomyslně přijato prostřednictvím směrnice Rady (EU) 2022/2523</w:t>
            </w:r>
            <w:r>
              <w:rPr>
                <w:vertAlign w:val="superscript"/>
              </w:rPr>
              <w:t>4</w:t>
            </w:r>
            <w:r>
              <w:t>, měl by společný rámec daně z příjmů právnických osob v Unii vycházet z konceptů, např. oblasti působnosti a výpočtu základu daně, které jsou podnikům i členským státům již známy.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Prohlášení o dvoupilířovém řešení výzev v oblasti zdanění vyplývajících z digitalizace ekonomiky – 8. října 2021, projekt OECD/G20 Eroze základu daně a přesouvání zisků.</w:t>
            </w:r>
          </w:p>
        </w:tc>
        <w:tc>
          <w:tcPr>
            <w:tcW w:w="4876" w:type="dxa"/>
            <w:tcBorders>
              <w:top w:val="nil"/>
              <w:left w:val="nil"/>
              <w:bottom w:val="nil"/>
              <w:right w:val="nil"/>
            </w:tcBorders>
          </w:tcPr>
          <w:p>
            <w:pPr>
              <w:pStyle w:val="Normal6a"/>
            </w:pPr>
            <w:r>
              <w:rPr>
                <w:vertAlign w:val="superscript"/>
              </w:rPr>
              <w:t>3</w:t>
            </w:r>
            <w:r>
              <w:t xml:space="preserve"> </w:t>
            </w:r>
            <w:r>
              <w:t>Prohlášení o dvoupilířovém řešení výzev v oblasti zdanění vyplývajících z digitalizace ekonomiky – 8. října 2021, projekt OECD/G20 Eroze základu daně a přesouvání zisků.</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Směrnice Rady (EU) 2022/2523 ze dne 14. prosince 2022 o zajištění globální minimální úrovně zdanění nadnárodních skupin podniků a velkých vnitrostátních skupin v Unii (Úř. věst. L 328, 22.12.2022, s. 1).</w:t>
            </w:r>
          </w:p>
        </w:tc>
        <w:tc>
          <w:tcPr>
            <w:tcW w:w="4876" w:type="dxa"/>
            <w:tcBorders>
              <w:top w:val="nil"/>
              <w:left w:val="nil"/>
              <w:bottom w:val="nil"/>
              <w:right w:val="nil"/>
            </w:tcBorders>
          </w:tcPr>
          <w:p>
            <w:pPr>
              <w:pStyle w:val="Normal6a"/>
            </w:pPr>
            <w:r>
              <w:rPr>
                <w:vertAlign w:val="superscript"/>
              </w:rPr>
              <w:t>4</w:t>
            </w:r>
            <w:r>
              <w:t xml:space="preserve"> </w:t>
            </w:r>
            <w:r>
              <w:t>Směrnice Rady (EU) 2022/2523 ze dne 14. prosince 2022 o zajištění globální minimální úrovně zdanění nadnárodních skupin podniků a velkých vnitrostátních skupin v Unii (Úř. věst. L 328, 22.12.2022, s.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Jakékoli řešení přijaté v oblasti mezinárodního zdanění, zejména pokud jde o dvoupilířový přístup, by mělo být založeno na mezinárodním řádu založeném na pravidlech, čímž by se posílil závazek Unie ke globální spolupráci;</w:t>
            </w:r>
            <w:r>
              <w:t xml:space="preserve"> </w:t>
            </w:r>
            <w:r>
              <w:rPr>
                <w:b/>
                <w:i/>
              </w:rPr>
              <w:t>v této souvislosti by každé pravidlo pro přidělování používané k přerozdělení zdanitelných zisků v rámci Unie mělo být založeno na celosvětově dohodnutém standardu;</w:t>
            </w:r>
            <w:r>
              <w:t xml:space="preserve"> </w:t>
            </w:r>
            <w:r>
              <w:rPr>
                <w:b/>
                <w:i/>
              </w:rPr>
              <w:t>vzhledem k tomu, že v současné době žádné taková standardy neexistují, nemělo by se uplatňovat rozdělení podle vzorce založené na faktorech, dokud nebude plně sladěno s mezinárodně přijatými standardy.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Aby byla zajištěna právní jistota a zabránilo se nadměrné administrativní zátěži nadnárodních skupin podniků, měla by tato směrnice usilovat o soudržnost s mezinárodním vývojem v oblasti daní, zejména s vývojem v inkluzivním rámci OECD/G20, včetně prvního a druhého pilíře.</w:t>
            </w:r>
            <w:r>
              <w:t xml:space="preserve"> </w:t>
            </w:r>
            <w:r>
              <w:rPr>
                <w:b/>
                <w:i/>
              </w:rPr>
              <w:t>S ohledem na vyvíjející se mezinárodní kontext a možnost, že klíčové jurisdikce nemusí provádět první pilíř, by si však Unie měla v příslušných případech zachovat flexibilitu při určování svého vlastního alokačního mechanismu.</w:t>
            </w:r>
            <w:r>
              <w:t xml:space="preserve"> </w:t>
            </w:r>
            <w:r>
              <w:rPr>
                <w:b/>
                <w:i/>
              </w:rPr>
              <w:t>Pro snížení zátěže spojené s dodržováním předpisů a zmírnění rizika dvojího nebo vícenásobného zdanění má i nadále zásadní význam zamezení protichůdným nebo překrývajícím se daňovým pravidlům na vnitrostátní, unijní a mezinárodní úrovni.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Komise a členské státy by měly zajistit soudržnost a sladit tuto směrnici s modelovými pravidly OECD/G20 a směrnicí (EU) 2022/2523, zejména pokud jde o výpočet efektivní daňové sazby podle jednotlivých zemí, což by mohly oslabit úlevy při přeshraničních ztrátách mezi členy skupiny BEFIT, jak tato směrnice předpokládá.</w:t>
            </w:r>
            <w:r>
              <w:t xml:space="preserve"> </w:t>
            </w:r>
            <w:r>
              <w:rPr>
                <w:b/>
                <w:i/>
              </w:rPr>
              <w:t>Tento faktor by bylo třeba v rámci revize této směrnice posoudit.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Prostředí pro podnikání na vnitřním trhu by se mělo stát atraktivnější a stimulovat tak v Unii růst a investice. Za tímto účelem by mělo být prioritou uzákonění společného rámce pravidel pro daň z příjmů právnických osob, aby se podnikům usnadnilo dodržování těchto pravidel při přeshraniční činnosti a rovněž aby se podpořily podniky, které si přejí dále se rozšiřovat do zahraničí. Očekává se, že jednotný soubor pravidel daně z příjmů právnických osob pro mezinárodní činnost povede k větší daňové jistotě a menšímu počtu daňových sporů, neboť by měl odstranit narušení a snížit počet případů dvojího a nadměrného zdanění. Vzhledem k </w:t>
            </w:r>
            <w:r>
              <w:rPr>
                <w:b/>
                <w:i/>
              </w:rPr>
              <w:t>tomu, že</w:t>
            </w:r>
            <w:r>
              <w:t xml:space="preserve"> pro rozpočty členských států </w:t>
            </w:r>
            <w:r>
              <w:rPr>
                <w:b/>
                <w:i/>
              </w:rPr>
              <w:t>je klíčová udržitelnost daňových příjmů, a to i z hlediska investic do infrastruktury, výzkumu a vývoje a</w:t>
            </w:r>
            <w:r>
              <w:t xml:space="preserve"> poskytování veřejných služeb, bylo </w:t>
            </w:r>
            <w:r>
              <w:rPr>
                <w:b/>
                <w:i/>
              </w:rPr>
              <w:t>by</w:t>
            </w:r>
            <w:r>
              <w:t xml:space="preserve"> do budoucna zásadní zajistit, aby se rozdělování příjmů provádělo podle nástroje založeného na spolehlivých parametrech, které nelze zneužít.</w:t>
            </w:r>
          </w:p>
        </w:tc>
        <w:tc>
          <w:tcPr>
            <w:tcW w:w="4876" w:type="dxa"/>
            <w:tcBorders>
              <w:top w:val="nil"/>
              <w:left w:val="nil"/>
              <w:bottom w:val="nil"/>
              <w:right w:val="nil"/>
            </w:tcBorders>
          </w:tcPr>
          <w:p>
            <w:pPr>
              <w:pStyle w:val="Normal6a"/>
            </w:pPr>
            <w:r>
              <w:t>(5)</w:t>
            </w:r>
            <w:r>
              <w:tab/>
            </w:r>
            <w:r>
              <w:t xml:space="preserve">Prostředí pro podnikání na vnitřním trhu by se mělo stát atraktivnější a stimulovat tak v Unii růst a investice. Za tímto účelem by mělo být prioritou uzákonění společného rámce pravidel pro daň z příjmů právnických osob, aby se podnikům usnadnilo dodržování těchto pravidel při přeshraniční činnosti a rovněž aby se podpořily podniky, které si přejí dále se rozšiřovat do zahraničí. Očekává se, že jednotný soubor pravidel daně z příjmů právnických osob pro mezinárodní činnost povede k větší daňové jistotě a menšímu počtu daňových sporů, neboť by měl odstranit narušení a snížit počet případů dvojího a nadměrného zdanění </w:t>
            </w:r>
            <w:r>
              <w:rPr>
                <w:b/>
                <w:i/>
              </w:rPr>
              <w:t>Nejdůležitější je, že harmonizace pravidel znamená méně příležitostí k vyhýbání se daňovým povinnostem.</w:t>
            </w:r>
            <w:r>
              <w:t xml:space="preserve"> </w:t>
            </w:r>
            <w:r>
              <w:rPr>
                <w:b/>
                <w:i/>
              </w:rPr>
              <w:t>Díky rozdělení základu daně, které je založeno na hmotných faktorech, jako je práce, aktiva a tržby, povede společný rámec pravidel pro daň z příjmů právnických osob k omezení agresivního daňového plánování</w:t>
            </w:r>
            <w:r>
              <w:t xml:space="preserve">. Vzhledem k </w:t>
            </w:r>
            <w:r>
              <w:rPr>
                <w:b/>
                <w:i/>
              </w:rPr>
              <w:t>zásadnímu významu udržitelných daňových příjmů</w:t>
            </w:r>
            <w:r>
              <w:t xml:space="preserve"> pro rozpočty členských států</w:t>
            </w:r>
            <w:r>
              <w:rPr>
                <w:b/>
                <w:i/>
              </w:rPr>
              <w:t>, například pro</w:t>
            </w:r>
            <w:r>
              <w:t xml:space="preserve"> poskytování veřejných služeb, </w:t>
            </w:r>
            <w:r>
              <w:rPr>
                <w:b/>
                <w:i/>
              </w:rPr>
              <w:t>zejména těch pro nejzranitelnější domácnosti, je nezbytné zajistit, aby harmonizace pravidel pro stanovení zisku v Unii vedla ke zvýšení efektivních daňových sazeb a příjmů členských států.</w:t>
            </w:r>
            <w:r>
              <w:t xml:space="preserve"> </w:t>
            </w:r>
            <w:r>
              <w:rPr>
                <w:b/>
                <w:i/>
              </w:rPr>
              <w:t>Kromě toho by</w:t>
            </w:r>
            <w:r>
              <w:t xml:space="preserve"> bylo do budoucna zásadní zajistit, aby se rozdělování příjmů provádělo podle nástroje založeného na spolehlivých parametrech, které nelze zneužít.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Prostředí pro podnikání na vnitřním trhu by se mělo stát atraktivnější a stimulovat tak v Unii růst a investice. Za tímto účelem by mělo být prioritou uzákonění společného rámce pravidel pro daň z příjmů právnických osob, aby se podnikům usnadnilo dodržování těchto pravidel při přeshraniční činnosti a rovněž aby se podpořily podniky, které si přejí dále se rozšiřovat do zahraničí. Očekává se, že jednotný soubor pravidel daně z příjmů právnických osob pro mezinárodní činnost povede k větší daňové jistotě a menšímu počtu daňových sporů, neboť by měl odstranit narušení a snížit počet případů dvojího </w:t>
            </w:r>
            <w:r>
              <w:rPr>
                <w:b/>
                <w:i/>
              </w:rPr>
              <w:t>a nadměrného</w:t>
            </w:r>
            <w:r>
              <w:t xml:space="preserve"> zdanění. Vzhledem k </w:t>
            </w:r>
            <w:r>
              <w:rPr>
                <w:b/>
                <w:i/>
              </w:rPr>
              <w:t>tomu, že</w:t>
            </w:r>
            <w:r>
              <w:t xml:space="preserve"> pro rozpočty členských států </w:t>
            </w:r>
            <w:r>
              <w:rPr>
                <w:b/>
                <w:i/>
              </w:rPr>
              <w:t>je klíčová udržitelnost daňových příjmů, a to i z hlediska</w:t>
            </w:r>
            <w:r>
              <w:t xml:space="preserve"> investic do </w:t>
            </w:r>
            <w:r>
              <w:rPr>
                <w:b/>
                <w:i/>
              </w:rPr>
              <w:t>infrastruktury</w:t>
            </w:r>
            <w:r>
              <w:t xml:space="preserve">, výzkumu a vývoje </w:t>
            </w:r>
            <w:r>
              <w:rPr>
                <w:b/>
                <w:i/>
              </w:rPr>
              <w:t>a</w:t>
            </w:r>
            <w:r>
              <w:t xml:space="preserve"> poskytování veřejných služeb, </w:t>
            </w:r>
            <w:r>
              <w:rPr>
                <w:b/>
                <w:i/>
              </w:rPr>
              <w:t>bylo by do budoucna zásadní</w:t>
            </w:r>
            <w:r>
              <w:t xml:space="preserve"> zajistit, aby </w:t>
            </w:r>
            <w:r>
              <w:rPr>
                <w:b/>
                <w:i/>
              </w:rPr>
              <w:t>se rozdělování</w:t>
            </w:r>
            <w:r>
              <w:t xml:space="preserve"> příjmů </w:t>
            </w:r>
            <w:r>
              <w:rPr>
                <w:b/>
                <w:i/>
              </w:rPr>
              <w:t>provádělo podle nástroje založeného na spolehlivých parametrech, které nelze zneužít</w:t>
            </w:r>
            <w:r>
              <w:t>.</w:t>
            </w:r>
          </w:p>
        </w:tc>
        <w:tc>
          <w:tcPr>
            <w:tcW w:w="4876" w:type="dxa"/>
            <w:tcBorders>
              <w:top w:val="nil"/>
              <w:left w:val="nil"/>
              <w:bottom w:val="nil"/>
              <w:right w:val="nil"/>
            </w:tcBorders>
          </w:tcPr>
          <w:p>
            <w:pPr>
              <w:pStyle w:val="Normal6a"/>
            </w:pPr>
            <w:r>
              <w:t>(5)</w:t>
            </w:r>
            <w:r>
              <w:tab/>
            </w:r>
            <w:r>
              <w:t xml:space="preserve">Prostředí pro podnikání na vnitřním trhu by se mělo stát atraktivnější a stimulovat tak v Unii růst a investice. Za tímto účelem by mělo být prioritou uzákonění společného rámce pravidel pro daň z příjmů právnických osob, aby se podnikům usnadnilo dodržování těchto pravidel při přeshraniční činnosti a rovněž aby se podpořily podniky, které si přejí dále se rozšiřovat do zahraničí. Očekává se, že jednotný soubor pravidel daně z příjmů právnických osob pro mezinárodní činnost povede k větší daňové jistotě a menšímu počtu daňových sporů, neboť by měl odstranit narušení a snížit počet případů dvojího zdanění </w:t>
            </w:r>
            <w:r>
              <w:rPr>
                <w:b/>
                <w:i/>
              </w:rPr>
              <w:t>a dvojího nezdanění.</w:t>
            </w:r>
            <w:r>
              <w:t xml:space="preserve"> </w:t>
            </w:r>
            <w:r>
              <w:rPr>
                <w:b/>
                <w:i/>
              </w:rPr>
              <w:t>Harmonizace pravidel také znamená méně příležitostí ke zneužití některých specifických vnitrostátních daňových ustanovení v celoevropském kontextu.</w:t>
            </w:r>
            <w:r>
              <w:t xml:space="preserve"> </w:t>
            </w:r>
            <w:r>
              <w:rPr>
                <w:b/>
                <w:i/>
              </w:rPr>
              <w:t>Díky rozdělení základu daně, které je založeno na dvou faktorech, povede společný rámec pravidel pro daň z příjmů právnických osob k omezení vyhýbání se daňovým povinnostem a agresivnímu daňovému plánování</w:t>
            </w:r>
            <w:r>
              <w:t xml:space="preserve">. Vzhledem k </w:t>
            </w:r>
            <w:r>
              <w:rPr>
                <w:b/>
                <w:i/>
              </w:rPr>
              <w:t>zásadnímu významu udržitelných daňových příjmů</w:t>
            </w:r>
            <w:r>
              <w:t xml:space="preserve"> pro rozpočty členských států</w:t>
            </w:r>
            <w:r>
              <w:rPr>
                <w:b/>
                <w:i/>
              </w:rPr>
              <w:t>, včetně</w:t>
            </w:r>
            <w:r>
              <w:t xml:space="preserve"> investic do </w:t>
            </w:r>
            <w:r>
              <w:rPr>
                <w:b/>
                <w:i/>
              </w:rPr>
              <w:t>digitální</w:t>
            </w:r>
            <w:r>
              <w:t xml:space="preserve">, </w:t>
            </w:r>
            <w:r>
              <w:rPr>
                <w:b/>
                <w:i/>
              </w:rPr>
              <w:t>ekologické a sociální transformace, do</w:t>
            </w:r>
            <w:r>
              <w:t xml:space="preserve"> výzkumu a vývoje</w:t>
            </w:r>
            <w:r>
              <w:rPr>
                <w:b/>
                <w:i/>
              </w:rPr>
              <w:t>, a pro</w:t>
            </w:r>
            <w:r>
              <w:t xml:space="preserve"> poskytování veřejných služeb, </w:t>
            </w:r>
            <w:r>
              <w:rPr>
                <w:b/>
                <w:i/>
              </w:rPr>
              <w:t>zejména těch pro nejzranitelnější domácnosti, je nezbytné</w:t>
            </w:r>
            <w:r>
              <w:t xml:space="preserve"> zajistit, aby </w:t>
            </w:r>
            <w:r>
              <w:rPr>
                <w:b/>
                <w:i/>
              </w:rPr>
              <w:t>harmonizace pravidel pro stanovení zisku v Unii nevedla ke snížení efektivních daňových sazeb a</w:t>
            </w:r>
            <w:r>
              <w:t xml:space="preserve"> příjmů </w:t>
            </w:r>
            <w:r>
              <w:rPr>
                <w:b/>
                <w:i/>
              </w:rPr>
              <w:t>členských států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Prostředí pro podnikání na vnitřním trhu by se mělo stát atraktivnější a stimulovat tak v Unii růst a investice. Za tímto účelem by mělo být prioritou uzákonění společného rámce pravidel pro daň z příjmů právnických osob, aby se podnikům usnadnilo dodržování těchto pravidel při přeshraniční činnosti a rovněž aby se podpořily podniky, které si přejí dále se rozšiřovat do zahraničí. Očekává se, že jednotný soubor pravidel daně z příjmů právnických osob pro mezinárodní činnost povede k větší daňové jistotě a menšímu počtu daňových sporů, neboť by měl odstranit narušení a snížit počet případů dvojího a nadměrného zdanění. Vzhledem k tomu, že pro rozpočty členských států je klíčová udržitelnost daňových příjmů, a to i z hlediska investic do infrastruktury, výzkumu a vývoje a poskytování veřejných služeb, bylo by do budoucna zásadní zajistit, aby se rozdělování příjmů provádělo podle nástroje založeného na spolehlivých parametrech, které nelze zneužít.</w:t>
            </w:r>
          </w:p>
        </w:tc>
        <w:tc>
          <w:tcPr>
            <w:tcW w:w="4876" w:type="dxa"/>
            <w:tcBorders>
              <w:top w:val="nil"/>
              <w:left w:val="nil"/>
              <w:bottom w:val="nil"/>
              <w:right w:val="nil"/>
            </w:tcBorders>
          </w:tcPr>
          <w:p>
            <w:pPr>
              <w:pStyle w:val="Normal6a"/>
            </w:pPr>
            <w:r>
              <w:t>(5)</w:t>
            </w:r>
            <w:r>
              <w:tab/>
            </w:r>
            <w:r>
              <w:t>Prostředí pro podnikání na vnitřním trhu by se mělo stát atraktivnější a stimulovat tak v Unii růst a investice</w:t>
            </w:r>
            <w:r>
              <w:rPr>
                <w:b/>
                <w:i/>
              </w:rPr>
              <w:t>, čímž se vytvoří ještě konkurenčnější prostředí</w:t>
            </w:r>
            <w:r>
              <w:t>. Za tímto účelem by mělo být prioritou uzákonění společného rámce pravidel pro daň z příjmů právnických osob, aby se podnikům usnadnilo dodržování těchto pravidel při přeshraniční činnosti a rovněž aby se podpořily podniky, které si přejí dále se rozšiřovat do zahraničí</w:t>
            </w:r>
            <w:r>
              <w:rPr>
                <w:b/>
                <w:i/>
              </w:rPr>
              <w:t>, a aby se podpořilo podnikání na jednotném trhu, kterému v současnosti brání administrativní překážky a daňový tlak</w:t>
            </w:r>
            <w:r>
              <w:t>. Očekává se, že jednotný soubor pravidel daně z příjmů právnických osob pro mezinárodní činnost povede k větší daňové jistotě a menšímu počtu daňových sporů, neboť by měl odstranit narušení a snížit počet případů dvojího a nadměrného zdanění. Vzhledem k tomu, že pro rozpočty členských států je klíčová udržitelnost daňových příjmů, a to i z hlediska investic do infrastruktury, výzkumu a vývoje a poskytování veřejných služeb, bylo by do budoucna zásadní zajistit, aby se rozdělování příjmů provádělo podle nástroje založeného na spolehlivých parametrech, které nelze zneužít.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Prostředí pro podnikání na vnitřním trhu by se mělo stát atraktivnější a stimulovat tak v Unii růst a investice. Za tímto účelem by mělo být prioritou uzákonění společného rámce pravidel pro daň z příjmů právnických osob, aby se podnikům usnadnilo dodržování těchto pravidel při přeshraniční činnosti a rovněž aby se podpořily podniky, které si přejí dále se rozšiřovat do zahraničí. Očekává se, že jednotný soubor pravidel daně z příjmů právnických osob pro mezinárodní činnost povede k větší daňové jistotě a menšímu počtu daňových sporů, neboť by měl odstranit narušení a snížit počet případů dvojího a nadměrného zdanění</w:t>
            </w:r>
            <w:r>
              <w:rPr>
                <w:b/>
                <w:i/>
              </w:rPr>
              <w:t>.</w:t>
            </w:r>
            <w:r>
              <w:t xml:space="preserve"> Vzhledem k tomu, že pro rozpočty členských států je klíčová udržitelnost daňových příjmů, a to i z hlediska investic do infrastruktury, výzkumu a vývoje a poskytování veřejných služeb, bylo by do budoucna zásadní zajistit, aby se rozdělování příjmů provádělo podle nástroje založeného na spolehlivých parametrech, které nelze zneužít.</w:t>
            </w:r>
          </w:p>
        </w:tc>
        <w:tc>
          <w:tcPr>
            <w:tcW w:w="4876" w:type="dxa"/>
            <w:tcBorders>
              <w:top w:val="nil"/>
              <w:left w:val="nil"/>
              <w:bottom w:val="nil"/>
              <w:right w:val="nil"/>
            </w:tcBorders>
          </w:tcPr>
          <w:p>
            <w:pPr>
              <w:pStyle w:val="Normal6a"/>
            </w:pPr>
            <w:r>
              <w:t>(5)</w:t>
            </w:r>
            <w:r>
              <w:tab/>
            </w:r>
            <w:r>
              <w:t>Prostředí pro podnikání na vnitřním trhu by se mělo stát atraktivnější a stimulovat tak v Unii růst a investice. Za tímto účelem by mělo být prioritou uzákonění společného rámce pravidel pro daň z příjmů právnických osob, aby se podnikům usnadnilo dodržování těchto pravidel při přeshraniční činnosti a rovněž aby se podpořily podniky, které si přejí dále se rozšiřovat do zahraničí. Očekává se, že jednotný soubor pravidel daně z příjmů právnických osob pro mezinárodní činnost povede k větší daňové jistotě a menšímu počtu daňových sporů, neboť by měl odstranit narušení a snížit počet případů dvojího a nadměrného zdanění Vzhledem k tomu, že pro rozpočty členských států je klíčová udržitelnost daňových příjmů, a to i z hlediska investic do infrastruktury, výzkumu a vývoje</w:t>
            </w:r>
            <w:r>
              <w:rPr>
                <w:b/>
                <w:i/>
              </w:rPr>
              <w:t>, neboť společnosti z EU vynaložily v této oblasti přibližně o 270 miliard EUR méně než jejich protějšky v USA,</w:t>
            </w:r>
            <w:r>
              <w:t xml:space="preserve"> a poskytování veřejných služeb, bylo by do budoucna zásadní zajistit, aby se rozdělování příjmů provádělo podle nástroje založeného na spolehlivých parametrech, které nelze zneužít.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Christophe Gomart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Prostředí pro podnikání na vnitřním trhu by se mělo stát atraktivnější a stimulovat tak v Unii růst a investice. Za tímto účelem by mělo být prioritou uzákonění společného rámce pravidel pro daň z příjmů právnických osob, aby se podnikům usnadnilo dodržování těchto pravidel při přeshraniční činnosti a rovněž aby se podpořily podniky, které si přejí dále se rozšiřovat do zahraničí. Očekává se, že jednotný soubor pravidel daně z příjmů právnických osob pro mezinárodní činnost povede k větší daňové jistotě a menšímu počtu daňových sporů, neboť by měl odstranit narušení a snížit počet případů dvojího a nadměrného zdanění. Vzhledem k tomu, že pro rozpočty členských států je klíčová udržitelnost daňových příjmů, a to i z hlediska investic do infrastruktury, výzkumu a vývoje a poskytování veřejných služeb, bylo by do budoucna zásadní zajistit, aby se rozdělování příjmů provádělo podle nástroje založeného na spolehlivých parametrech, které nelze zneužít.</w:t>
            </w:r>
          </w:p>
        </w:tc>
        <w:tc>
          <w:tcPr>
            <w:tcW w:w="4876" w:type="dxa"/>
            <w:tcBorders>
              <w:top w:val="nil"/>
              <w:left w:val="nil"/>
              <w:bottom w:val="nil"/>
              <w:right w:val="nil"/>
            </w:tcBorders>
          </w:tcPr>
          <w:p>
            <w:pPr>
              <w:pStyle w:val="Normal6a"/>
            </w:pPr>
            <w:r>
              <w:t>(5)</w:t>
            </w:r>
            <w:r>
              <w:tab/>
            </w:r>
            <w:r>
              <w:t xml:space="preserve">Prostředí pro podnikání na vnitřním trhu by se mělo stát atraktivnější a stimulovat tak v Unii růst a investice. Za tímto účelem by mělo být prioritou uzákonění společného rámce pravidel pro daň z příjmů právnických osob, aby se podnikům usnadnilo dodržování těchto pravidel při přeshraniční činnosti a rovněž aby se podpořily podniky, které si přejí dále se rozšiřovat do zahraničí. Očekává se, že jednotný soubor pravidel daně z příjmů právnických osob pro mezinárodní činnost povede k větší daňové jistotě a menšímu počtu daňových sporů, neboť by měl odstranit narušení a snížit počet případů dvojího a nadměrného zdanění. Vzhledem k tomu, že pro rozpočty členských států je klíčová udržitelnost daňových příjmů, a to i z hlediska investic do infrastruktury, </w:t>
            </w:r>
            <w:r>
              <w:rPr>
                <w:b/>
                <w:i/>
              </w:rPr>
              <w:t>bezpečnosti a obrany,</w:t>
            </w:r>
            <w:r>
              <w:t xml:space="preserve"> výzkumu a vývoje a poskytování veřejných služeb, bylo by do budoucna zásadní zajistit, aby se rozdělování příjmů provádělo podle nástroje založeného na spolehlivých parametrech, které nelze zneužít.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5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(5c)</w:t>
            </w:r>
            <w:r>
              <w:tab/>
            </w:r>
            <w:r>
              <w:rPr>
                <w:b/>
                <w:i/>
              </w:rPr>
              <w:t>Vzhledem k významu podpory hospodářského růstu a konkurenceschopnosti je nezbytné povzbuzovat podniky, aby investovaly do nových a lepších hmotných a nehmotných aktiv.</w:t>
            </w:r>
            <w:r>
              <w:t xml:space="preserve"> </w:t>
            </w:r>
            <w:r>
              <w:rPr>
                <w:b/>
                <w:i/>
              </w:rPr>
              <w:t>Umožnění odpočtu veškerých nákladů na určité investice do kapitálových výdajů podporujících zvýšení produktivity podporuje energetickou účinnost a usnadňuje digitální transformaci.</w:t>
            </w:r>
            <w:r>
              <w:t xml:space="preserve"> </w:t>
            </w:r>
            <w:r>
              <w:rPr>
                <w:b/>
                <w:i/>
              </w:rPr>
              <w:t>Tento přístup je v souladu s cíli Unie modernizovat její hospodářství a urychlit ekologickou a digitální transformaci, čímž se rámec BEFIT stane příznivějším pro růst a obstojí i v budoucnu.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Tato směrnice může rovněž přispět k systému vlastních zdrojů Unie, jak je uvedeno v interinstitucionální dohodě ze dne 16. prosince 2020 a ve sdělení Komise o nové generaci vlastních zdrojů z roku 2021.</w:t>
            </w:r>
            <w:r>
              <w:t xml:space="preserve"> </w:t>
            </w:r>
            <w:r>
              <w:rPr>
                <w:b/>
                <w:i/>
              </w:rPr>
              <w:t>Vlastní zdroj založený na BEFIT by vytvořil vazbu mezi rozpočtem EU a výhodami, které společnostem plynou z působení na jednotném trhu, což by mohlo zajistit stabilní a odolný tok příjmů.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Plán zavádění nových vlastních zdrojů uvedený v interinstitucionální dohodě rovněž výslovně zmiňuje jako součást souboru nových zdrojů příjmů nový vlastní zdroj související se zdaněním právnických osob.</w:t>
            </w:r>
            <w:r>
              <w:t xml:space="preserve"> </w:t>
            </w:r>
            <w:r>
              <w:rPr>
                <w:b/>
                <w:i/>
              </w:rPr>
              <w:t>V tomto smyslu bude bez zavedení rámce BEFIT složité definovat a přijmout jakýkoli proveditelný nový vlastní zdroj založený na daních.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Je skutečně důležité vytvořit systém, který by dosáhl v celé Unii určitého stupně jednotnosti, přinejmenším u daňových poplatníků, kterým je určen především. Vzhledem k úsilí, které daňové správy i podniky vynaložily na zavedení rámce globální minimální úrovně zdanění, je důležité využít tohoto výkonu a navrhnout pravidla, která se budou co nejvíce blížit modelovým pravidlům OECD/G20 a směrnici (EU) 2022/2523. Na tomto základě by měl být společný rámec pravidel závazný pro skupiny se zdanitelnou přítomností v Unii za předpokladu, že jejich roční </w:t>
            </w:r>
            <w:r>
              <w:rPr>
                <w:b/>
                <w:i/>
              </w:rPr>
              <w:t>souhrnné</w:t>
            </w:r>
            <w:r>
              <w:t xml:space="preserve"> příjmy na základě konsolidované účetní závěrky </w:t>
            </w:r>
            <w:r>
              <w:rPr>
                <w:b/>
                <w:i/>
              </w:rPr>
              <w:t>přesahují 750 000 000 EUR</w:t>
            </w:r>
            <w:r>
              <w:t>. Tímto způsobem by se oblast působnosti zaměřila na podniky, které s největší pravděpodobností vykonávají přeshraniční činnost, a mohou tak těžit ze zjednodušení, které by společný právní rámec nabídl. Tato prahová hodnota by rovněž zajistila soulad se směrnicí (EU) 2022/2523, aby byl v Unii uplatňován jednotný přístup.</w:t>
            </w:r>
          </w:p>
        </w:tc>
        <w:tc>
          <w:tcPr>
            <w:tcW w:w="4876" w:type="dxa"/>
            <w:tcBorders>
              <w:top w:val="nil"/>
              <w:left w:val="nil"/>
              <w:bottom w:val="nil"/>
              <w:right w:val="nil"/>
            </w:tcBorders>
          </w:tcPr>
          <w:p>
            <w:pPr>
              <w:pStyle w:val="Normal6a"/>
            </w:pPr>
            <w:r>
              <w:t>(6)</w:t>
            </w:r>
            <w:r>
              <w:tab/>
            </w:r>
            <w:r>
              <w:t xml:space="preserve">Je skutečně důležité vytvořit systém, který by dosáhl v celé Unii určitého stupně jednotnosti, přinejmenším u daňových poplatníků, kterým je určen především. Vzhledem k úsilí, které daňové správy i podniky vynaložily na zavedení rámce globální minimální úrovně zdanění, je důležité využít tohoto výkonu a navrhnout pravidla, která se budou co nejvíce blížit modelovým pravidlům OECD/G20 a směrnici (EU) 2022/2523. Na tomto základě by měl být společný rámec pravidel závazný pro skupiny se zdanitelnou přítomností v Unii za předpokladu, že jejich roční </w:t>
            </w:r>
            <w:r>
              <w:rPr>
                <w:b/>
                <w:i/>
              </w:rPr>
              <w:t>kombinované</w:t>
            </w:r>
            <w:r>
              <w:t xml:space="preserve"> příjmy </w:t>
            </w:r>
            <w:r>
              <w:rPr>
                <w:b/>
                <w:i/>
              </w:rPr>
              <w:t>činí 40 000 000 EUR nebo více, v souladu s definicí velkých skupin ve smyslu směrnice Evropského parlamentu a Rady 2013/34/EU</w:t>
            </w:r>
            <w:r>
              <w:rPr>
                <w:b/>
                <w:i/>
                <w:vertAlign w:val="superscript"/>
              </w:rPr>
              <w:t>6a</w:t>
            </w:r>
            <w:r>
              <w:t xml:space="preserve"> na základě konsolidované účetní závěrky. Tímto způsobem by se oblast působnosti zaměřila na podniky, které s největší pravděpodobností vykonávají přeshraniční činnost, a mohou tak těžit ze zjednodušení, které by společný právní rámec nabídl. Tato prahová hodnota by rovněž zajistila soulad se směrnicí (EU) 2022/2523, aby byl v Unii uplatňován jednotný přístup.</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6a</w:t>
            </w:r>
            <w:r>
              <w:t xml:space="preserve"> </w:t>
            </w:r>
            <w:r>
              <w:rPr>
                <w:b/>
                <w:i/>
              </w:rPr>
              <w:t>Směrnice Evropského parlamentu a Rady 2013/34/EU ze dne 26. června 2013 o ročních účetních závěrkách, konsolidovaných účetních závěrkách a souvisejících zprávách některých forem podniků, o změně směrnice Evropského parlamentu a Rady 2006/43/ES a o zrušení směrnic Rady 78/660/EHS a 83/349/EHS (Úř. věst. L 182, 29.6.2013, s. 19).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Je skutečně důležité vytvořit systém, který by dosáhl v celé Unii určitého stupně jednotnosti, přinejmenším u daňových poplatníků, kterým je určen především. Vzhledem k úsilí, které daňové správy i podniky vynaložily na zavedení rámce globální minimální úrovně zdanění, je důležité využít tohoto výkonu a navrhnout pravidla, která se budou co nejvíce blížit modelovým pravidlům OECD/G20 a směrnici (EU) 2022/2523. Na tomto základě by měl být společný rámec pravidel závazný pro skupiny se zdanitelnou přítomností v Unii za předpokladu, že jejich roční souhrnné příjmy na základě konsolidované účetní závěrky přesahují </w:t>
            </w:r>
            <w:r>
              <w:rPr>
                <w:b/>
                <w:i/>
              </w:rPr>
              <w:t>750 000 000</w:t>
            </w:r>
            <w:r>
              <w:t xml:space="preserve"> EUR. Tímto způsobem by se oblast působnosti zaměřila na podniky, které s největší pravděpodobností vykonávají přeshraniční činnost, a mohou tak těžit ze zjednodušení, které by společný právní rámec nabídl. Tato prahová hodnota by rovněž zajistila soulad se směrnicí (EU) 2022/2523, aby byl v Unii uplatňován jednotný přístup.</w:t>
            </w:r>
          </w:p>
        </w:tc>
        <w:tc>
          <w:tcPr>
            <w:tcW w:w="4876" w:type="dxa"/>
            <w:tcBorders>
              <w:top w:val="nil"/>
              <w:left w:val="nil"/>
              <w:bottom w:val="nil"/>
              <w:right w:val="nil"/>
            </w:tcBorders>
          </w:tcPr>
          <w:p>
            <w:pPr>
              <w:pStyle w:val="Normal6a"/>
            </w:pPr>
            <w:r>
              <w:t>(6)</w:t>
            </w:r>
            <w:r>
              <w:tab/>
            </w:r>
            <w:r>
              <w:t xml:space="preserve">Je skutečně důležité vytvořit systém, který by dosáhl v celé Unii určitého stupně jednotnosti, přinejmenším u daňových poplatníků, kterým je určen především. Vzhledem k úsilí, které daňové správy i podniky vynaložily na zavedení rámce globální minimální úrovně zdanění, je důležité využít tohoto výkonu a navrhnout pravidla, která se budou co nejvíce blížit modelovým pravidlům OECD/G20 a směrnici (EU) 2022/2523. Na tomto základě by měl být společný rámec pravidel závazný pro skupiny se zdanitelnou přítomností v Unii za předpokladu, že jejich roční souhrnné příjmy na základě konsolidované účetní závěrky přesahují </w:t>
            </w:r>
            <w:r>
              <w:rPr>
                <w:b/>
                <w:i/>
              </w:rPr>
              <w:t>1 miliardu</w:t>
            </w:r>
            <w:r>
              <w:t xml:space="preserve"> EUR. Tímto způsobem by se oblast působnosti zaměřila na podniky, které s největší pravděpodobností vykonávají přeshraniční činnost, a mohou tak těžit ze zjednodušení, které by společný právní rámec nabídl. Tato prahová hodnota by rovněž zajistila soulad se směrnicí (EU) 2022/2523, aby byl v Unii uplatňován jednotný přístup.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Christophe Gomart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Je skutečně důležité vytvořit systém, který by dosáhl v celé Unii určitého stupně jednotnosti, přinejmenším u daňových poplatníků, kterým je určen především. Vzhledem k úsilí, které daňové správy i podniky vynaložily na zavedení rámce globální minimální úrovně zdanění, je důležité využít tohoto výkonu a navrhnout pravidla, která se budou co nejvíce blížit modelovým pravidlům OECD/G20 a směrnici (EU) 2022/2523. Na tomto základě by měl být společný rámec pravidel závazný pro skupiny se zdanitelnou přítomností v Unii za předpokladu, že jejich roční souhrnné příjmy na základě konsolidované účetní závěrky přesahují </w:t>
            </w:r>
            <w:r>
              <w:rPr>
                <w:b/>
                <w:i/>
              </w:rPr>
              <w:t>750 000 000</w:t>
            </w:r>
            <w:r>
              <w:t xml:space="preserve"> EUR. Tímto způsobem by se oblast působnosti zaměřila na podniky, které s největší pravděpodobností vykonávají přeshraniční činnost, a mohou tak těžit ze zjednodušení, které by společný právní rámec nabídl. Tato prahová hodnota by rovněž zajistila soulad se směrnicí (EU) 2022/2523, aby byl v Unii uplatňován jednotný přístup.</w:t>
            </w:r>
          </w:p>
        </w:tc>
        <w:tc>
          <w:tcPr>
            <w:tcW w:w="4876" w:type="dxa"/>
            <w:tcBorders>
              <w:top w:val="nil"/>
              <w:left w:val="nil"/>
              <w:bottom w:val="nil"/>
              <w:right w:val="nil"/>
            </w:tcBorders>
          </w:tcPr>
          <w:p>
            <w:pPr>
              <w:pStyle w:val="Normal6a"/>
            </w:pPr>
            <w:r>
              <w:t>(6)</w:t>
            </w:r>
            <w:r>
              <w:tab/>
            </w:r>
            <w:r>
              <w:t xml:space="preserve">Je skutečně důležité vytvořit systém, který by dosáhl v celé Unii určitého stupně jednotnosti, přinejmenším u daňových poplatníků, kterým je určen především. Vzhledem k úsilí, které daňové správy i podniky vynaložily na zavedení rámce globální minimální úrovně zdanění, je důležité využít tohoto výkonu a navrhnout pravidla, která se budou co nejvíce blížit modelovým pravidlům OECD/G20 a směrnici (EU) 2022/2523. Na tomto základě by měl být společný rámec pravidel závazný pro skupiny se zdanitelnou přítomností v Unii za předpokladu, že jejich roční souhrnné příjmy na základě konsolidované účetní závěrky přesahují </w:t>
            </w:r>
            <w:r>
              <w:rPr>
                <w:b/>
                <w:i/>
              </w:rPr>
              <w:t>750 000 000</w:t>
            </w:r>
            <w:r>
              <w:t xml:space="preserve"> EUR. Tímto způsobem by se oblast působnosti zaměřila na podniky, které s největší pravděpodobností vykonávají přeshraniční činnost, a mohou tak těžit ze zjednodušení, které by společný právní rámec nabídl. Tato prahová hodnota by rovněž zajistila soulad se směrnicí (EU) 2022/2523, aby byl v Unii uplatňován jednotný přístup. </w:t>
            </w:r>
            <w:r>
              <w:rPr>
                <w:b/>
                <w:i/>
              </w:rPr>
              <w:t>Posouzení dopadů daňových příjmů členských států a administrativních nákladů na přizpůsobení dotčených podniků by mělo být provedeno pět let po vstupu této směrnice v platnost, než se zváží jakékoli rozšíření její oblasti působnosti na menší podniky.</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Je skutečně důležité vytvořit systém, který by dosáhl v celé Unii určitého stupně jednotnosti, přinejmenším u daňových poplatníků, kterým je určen především. Vzhledem k úsilí, které daňové správy i podniky vynaložily na zavedení rámce globální minimální úrovně zdanění, je důležité využít tohoto výkonu a navrhnout pravidla, která se budou co nejvíce blížit modelovým pravidlům OECD/G20 a směrnici (EU) 2022/2523. Na tomto základě by měl být společný rámec pravidel závazný pro skupiny se zdanitelnou přítomností v Unii za předpokladu, že jejich roční souhrnné příjmy na základě konsolidované účetní závěrky přesahují </w:t>
            </w:r>
            <w:r>
              <w:rPr>
                <w:b/>
                <w:i/>
              </w:rPr>
              <w:t>750 000 000</w:t>
            </w:r>
            <w:r>
              <w:t xml:space="preserve"> EUR. Tímto způsobem by se oblast působnosti zaměřila na podniky, které s největší pravděpodobností vykonávají přeshraniční činnost, a mohou tak těžit ze zjednodušení, které by společný právní rámec nabídl. Tato prahová hodnota by rovněž zajistila soulad se směrnicí (EU) 2022/2523, aby byl v Unii uplatňován jednotný přístup.</w:t>
            </w:r>
          </w:p>
        </w:tc>
        <w:tc>
          <w:tcPr>
            <w:tcW w:w="4876" w:type="dxa"/>
            <w:tcBorders>
              <w:top w:val="nil"/>
              <w:left w:val="nil"/>
              <w:bottom w:val="nil"/>
              <w:right w:val="nil"/>
            </w:tcBorders>
          </w:tcPr>
          <w:p>
            <w:pPr>
              <w:pStyle w:val="Normal6a"/>
            </w:pPr>
            <w:r>
              <w:t>(6)</w:t>
            </w:r>
            <w:r>
              <w:tab/>
            </w:r>
            <w:r>
              <w:t xml:space="preserve">Je skutečně důležité vytvořit systém, který by dosáhl v celé Unii určitého stupně jednotnosti, přinejmenším u daňových poplatníků, kterým je určen především. Vzhledem k úsilí, které daňové správy i podniky vynaložily na zavedení rámce globální minimální úrovně zdanění, je důležité využít tohoto výkonu a navrhnout pravidla, která se budou co nejvíce blížit modelovým pravidlům OECD/G20 a směrnici (EU) 2022/2523. Na tomto základě by měl být společný rámec pravidel závazný pro skupiny se zdanitelnou přítomností v Unii za předpokladu, že jejich roční souhrnné příjmy na základě konsolidované účetní závěrky přesahují </w:t>
            </w:r>
            <w:r>
              <w:rPr>
                <w:b/>
                <w:i/>
              </w:rPr>
              <w:t>750 000 000</w:t>
            </w:r>
            <w:r>
              <w:t xml:space="preserve"> EUR. Tímto způsobem by se oblast působnosti zaměřila na podniky, které s největší pravděpodobností vykonávají přeshraniční činnost, a mohou tak těžit ze zjednodušení, které by společný právní rámec nabídl. Tato prahová hodnota by rovněž zajistila soulad se směrnicí (EU) 2022/2523, aby byl v Unii uplatňován jednotný přístup. </w:t>
            </w:r>
            <w:r>
              <w:rPr>
                <w:b/>
                <w:i/>
              </w:rPr>
              <w:t>Aby byla zajištěna určitá míra předvídatelnosti, měla by být oblast působnosti zachována po delší dobu.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Guillaume Peltier</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Je skutečně důležité vytvořit systém, který by dosáhl v celé Unii určitého stupně jednotnosti, přinejmenším u daňových poplatníků, kterým je určen především. Vzhledem k úsilí, které daňové správy i podniky vynaložily na zavedení rámce globální minimální úrovně zdanění, je důležité využít tohoto výkonu a navrhnout pravidla, která se budou co nejvíce blížit modelovým pravidlům OECD/G20 a směrnici (EU) 2022/2523. Na tomto základě by měl </w:t>
            </w:r>
            <w:r>
              <w:rPr>
                <w:b/>
                <w:i/>
              </w:rPr>
              <w:t>být</w:t>
            </w:r>
            <w:r>
              <w:t xml:space="preserve"> společný rámec pravidel </w:t>
            </w:r>
            <w:r>
              <w:rPr>
                <w:b/>
                <w:i/>
              </w:rPr>
              <w:t>závazný pro</w:t>
            </w:r>
            <w:r>
              <w:t xml:space="preserve"> skupiny se zdanitelnou přítomností v Unii za předpokladu, že jejich roční souhrnné příjmy na základě konsolidované účetní závěrky přesahují </w:t>
            </w:r>
            <w:r>
              <w:rPr>
                <w:b/>
                <w:i/>
              </w:rPr>
              <w:t>750 000 000</w:t>
            </w:r>
            <w:r>
              <w:t xml:space="preserve"> EUR. Tímto způsobem by se oblast působnosti zaměřila na podniky, které s největší pravděpodobností vykonávají přeshraniční činnost, a mohou tak těžit ze zjednodušení, které by společný právní rámec nabídl. Tato prahová hodnota by rovněž zajistila soulad se směrnicí (EU) 2022/2523, aby byl v Unii uplatňován jednotný přístup.</w:t>
            </w:r>
          </w:p>
        </w:tc>
        <w:tc>
          <w:tcPr>
            <w:tcW w:w="4876" w:type="dxa"/>
            <w:tcBorders>
              <w:top w:val="nil"/>
              <w:left w:val="nil"/>
              <w:bottom w:val="nil"/>
              <w:right w:val="nil"/>
            </w:tcBorders>
          </w:tcPr>
          <w:p>
            <w:pPr>
              <w:pStyle w:val="Normal6a"/>
            </w:pPr>
            <w:r>
              <w:t>(6)</w:t>
            </w:r>
            <w:r>
              <w:tab/>
            </w:r>
            <w:r>
              <w:t xml:space="preserve">Je skutečně důležité vytvořit systém, který by dosáhl v celé Unii určitého stupně jednotnosti, přinejmenším u daňových poplatníků, kterým je určen především. Vzhledem k úsilí, které daňové správy i podniky vynaložily na zavedení rámce globální minimální úrovně zdanění, je důležité využít tohoto výkonu a navrhnout pravidla, která se budou co nejvíce blížit modelovým pravidlům OECD/G20 a směrnici (EU) 2022/2523. Na tomto základě by </w:t>
            </w:r>
            <w:r>
              <w:rPr>
                <w:b/>
                <w:i/>
              </w:rPr>
              <w:t>se</w:t>
            </w:r>
            <w:r>
              <w:t xml:space="preserve"> měl společný rámec pravidel </w:t>
            </w:r>
            <w:r>
              <w:rPr>
                <w:b/>
                <w:i/>
              </w:rPr>
              <w:t>vztahovat pouze na</w:t>
            </w:r>
            <w:r>
              <w:t xml:space="preserve"> skupiny se zdanitelnou přítomností v Unii za předpokladu, že jejich roční souhrnné příjmy na základě konsolidované účetní závěrky přesahují </w:t>
            </w:r>
            <w:r>
              <w:rPr>
                <w:b/>
                <w:i/>
              </w:rPr>
              <w:t>750 000 000</w:t>
            </w:r>
            <w:r>
              <w:t xml:space="preserve"> EUR. Tímto způsobem by se oblast působnosti zaměřila na podniky, které s největší pravděpodobností vykonávají přeshraniční činnost, a mohou tak těžit ze zjednodušení, které by společný právní rámec nabídl. Tato prahová hodnota by rovněž zajistila soulad se směrnicí (EU) 2022/2523, aby byl v Unii uplatňován jednotný přístup.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6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Opatření zavedená touto směrnicí by měla aktivně přispívat ke zjednodušení rámce Unie pro daň z příjmů právnických osob.</w:t>
            </w:r>
            <w:r>
              <w:t xml:space="preserve"> </w:t>
            </w:r>
            <w:r>
              <w:rPr>
                <w:b/>
                <w:i/>
              </w:rPr>
              <w:t>Je nezbytné, aby zavedení dodatečných úrovní výpočtu daně nezhoršovalo zátěž spojenou s dodržováním předpisů pro podniky, které již podléhají celosvětovému minimálnímu daňovému režimu stanovenému v rámci pilíře II OECD.</w:t>
            </w:r>
            <w:r>
              <w:t xml:space="preserve"> </w:t>
            </w:r>
            <w:r>
              <w:rPr>
                <w:b/>
                <w:i/>
              </w:rPr>
              <w:t>Souběžná existence rozdílných daňových základů nesmí vést k překrývání daňových povinností, právní nejistotě nebo nepřiměřené administrativní zátěži.</w:t>
            </w:r>
            <w:r>
              <w:t xml:space="preserve"> </w:t>
            </w:r>
            <w:r>
              <w:rPr>
                <w:b/>
                <w:i/>
              </w:rPr>
              <w:t>Zejména souběžné uplatňování této směrnice a dohody o pilíři II může společnosti nutit k tomu, aby ročně vypočítaly a platily daně na základě vyššího základu ze dvou odlišných základů daně v každém členském státě, čímž vzniká značná právní a finanční nejistota.</w:t>
            </w:r>
            <w:r>
              <w:t xml:space="preserve"> </w:t>
            </w:r>
            <w:r>
              <w:rPr>
                <w:b/>
                <w:i/>
              </w:rPr>
              <w:t>Takový duální daňový systém může nadnárodním podnikům způsobit nadměrnou administrativní složitost a může narušit řádné fungování vnitřního trhu tím, že bude narušovat přeshraniční hospodářskou činnost.</w:t>
            </w:r>
            <w:r>
              <w:t xml:space="preserve"> </w:t>
            </w:r>
            <w:r>
              <w:rPr>
                <w:b/>
                <w:i/>
              </w:rPr>
              <w:t>Této složitosti je třeba zabránit.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6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(6c)</w:t>
            </w:r>
            <w:r>
              <w:tab/>
            </w:r>
            <w:r>
              <w:rPr>
                <w:b/>
                <w:i/>
              </w:rPr>
              <w:t>Vzhledem ke značné nejistotě spojené s mezinárodním prováděním dohody OECD o pilíři II a k rizikům právních a správních konfliktů s celosvětovými standardy není uplatňování pravidel BEFIT dobře načasované.</w:t>
            </w:r>
            <w:r>
              <w:t xml:space="preserve"> </w:t>
            </w:r>
            <w:r>
              <w:rPr>
                <w:b/>
                <w:i/>
              </w:rPr>
              <w:t>Provádění směrnice by proto mělo být pozastaveno, dokud Komise neprovede úplné posouzení mezinárodního vývoje a jeho důsledků pro daňový rámec EU.</w:t>
            </w:r>
            <w:r>
              <w:t xml:space="preserve"> </w:t>
            </w:r>
            <w:r>
              <w:rPr>
                <w:b/>
                <w:i/>
              </w:rPr>
              <w:t>Tento mechanismus pozastavení je nezbytný, dokud nebude provedeno důkladné posouzení a dokud orgány Unie na základě celosvětového vývoje nerozhodnou, zda je vhodné ve směrnici pokračovat.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Rámec BEFIT zavedený touto směrnicí by měl zajistit maximální soudržnost a soulad s inkluzivním rámcem OECD/G20, zejména s dohodou o pilíři II, která zavádí globální minimální efektivní sazbu daně z příjmů právnických osob ve výši 15 %.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Pokud nevstoupí v platnost celosvětová dohoda, může přijetí mechanismu rozdělení podle vzorce specifického pro EU přinést podle této směrnice větší daňovou jistotu a administrativní zjednodušení v rámci vnitřního trhu.</w:t>
            </w:r>
            <w:r>
              <w:t xml:space="preserve"> </w:t>
            </w:r>
            <w:r>
              <w:rPr>
                <w:b/>
                <w:i/>
              </w:rPr>
              <w:t>Výrazné odchýlení se od mezinárodních standardů, jako jsou normy vypracované v rámci prvního pilíře inkluzivního rámce OECD/G20, by však mohlo zvýšit riziko dvojího zdanění, právní nejistoty a daňových sporů u nadnárodních skupin působících jak v Unii, tak mimo ni.</w:t>
            </w:r>
            <w:r>
              <w:t xml:space="preserve"> </w:t>
            </w:r>
            <w:r>
              <w:rPr>
                <w:b/>
                <w:i/>
              </w:rPr>
              <w:t>Zejména pokud jiné jurisdikce zachovávají tradiční přístupy k převodním cenám, společnosti se sídlem v EU by se mohly potýkat s překrývajícími se daňovými nároky, pokud nebudou k dispozici řízení vedoucí ke vzájemné dohodě nebo mechanismy úlev.</w:t>
            </w:r>
            <w:r>
              <w:t xml:space="preserve"> </w:t>
            </w:r>
            <w:r>
              <w:rPr>
                <w:b/>
                <w:i/>
              </w:rPr>
              <w:t>Koncepce jakéhokoli vzorce pro přidělování pouze na úrovni EU by proto měla pečlivě vyvažovat cíle spravedlnosti, jednoduchosti a soudržnosti s mezinárodními daňovými zásadami, aby se posílila konkurenceschopnost Unie a zabránilo se roztříštěnosti globálního daňového prostředí.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(7)</w:t>
            </w:r>
            <w:r>
              <w:tab/>
            </w:r>
            <w:r>
              <w:rPr>
                <w:b/>
                <w:i/>
              </w:rPr>
              <w:t>Ačkoli by se prahová hodnota určovala na základě sloučených příjmů skupiny na celosvětovém základě, působnost ustanovení by měla být omezena na členy skupiny působící na vnitřním trhu, neboť právo Unie se uplatňuje pouze v rámci Unie a nezavazuje státy mimo Unii.</w:t>
            </w:r>
            <w:r>
              <w:t xml:space="preserve"> </w:t>
            </w:r>
            <w:r>
              <w:rPr>
                <w:b/>
                <w:i/>
              </w:rPr>
              <w:t>Proto by měla být v oblasti působnosti pouze podmnožina takové skupiny nacházející se v Unii.</w:t>
            </w:r>
            <w:r>
              <w:t xml:space="preserve"> </w:t>
            </w:r>
            <w:r>
              <w:rPr>
                <w:b/>
                <w:i/>
              </w:rPr>
              <w:t>To by zahrnovalo společnosti, které jsou daňovými rezidenty členského státu a jejich stálé provozovny působící v členském státě, jakož i stálé provozovny společností ze třetích zemí, jež patří k téže skupině, nacházející se v Unii.</w:t>
            </w:r>
            <w:r>
              <w:t xml:space="preserve"> </w:t>
            </w:r>
            <w:r>
              <w:rPr>
                <w:b/>
                <w:i/>
              </w:rPr>
              <w:t>Vzhledem k tomu, že pojem stálé provozovny je upraven ve dvoustranných daňových smlouvách a vnitrostátních právních předpisech, a přestože definice obsahuje některé společné zásady, stále existuje celosvětově určitá míra rozdílů.</w:t>
            </w:r>
            <w:r>
              <w:t xml:space="preserve"> </w:t>
            </w:r>
            <w:r>
              <w:rPr>
                <w:b/>
                <w:i/>
              </w:rPr>
              <w:t>Proto by bylo praktické opírat se spíše o stávající smlouvy o zamezení dvojího zdanění a vnitrostátní předpisy členských států a nepokoušet se o úplnou harmonizaci prostřednictvím sekundárního práva Unie.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Ačkoli by se prahová hodnota určovala na základě sloučených příjmů skupiny na celosvětovém základě, působnost ustanovení by měla být omezena na členy skupiny působící na vnitřním trhu, neboť právo Unie se uplatňuje pouze v rámci Unie a nezavazuje státy mimo Unii. Proto by měla být v oblasti působnosti pouze podmnožina takové skupiny nacházející se v Unii. To by zahrnovalo společnosti, které jsou daňovými rezidenty členského státu a jejich stálé provozovny působící v členském státě, jakož i stálé provozovny společností ze třetích zemí, jež patří k téže skupině, nacházející se v Unii. </w:t>
            </w:r>
            <w:r>
              <w:rPr>
                <w:b/>
                <w:i/>
              </w:rPr>
              <w:t>Vzhledem k tomu, že pojem stálé provozovny je upraven ve dvoustranných daňových smlouvách a vnitrostátních právních předpisech, a přestože definice obsahuje některé společné zásady, stále existuje celosvětově určitá míra rozdílů.</w:t>
            </w:r>
            <w:r>
              <w:t xml:space="preserve"> </w:t>
            </w:r>
            <w:r>
              <w:rPr>
                <w:b/>
                <w:i/>
              </w:rPr>
              <w:t>Proto by bylo praktické opírat se spíše o stávající smlouvy o zamezení dvojího zdanění a vnitrostátní předpisy členských států a nepokoušet se o úplnou harmonizaci prostřednictvím sekundárního práva Unie.</w:t>
            </w:r>
          </w:p>
        </w:tc>
        <w:tc>
          <w:tcPr>
            <w:tcW w:w="4876" w:type="dxa"/>
            <w:tcBorders>
              <w:top w:val="nil"/>
              <w:left w:val="nil"/>
              <w:bottom w:val="nil"/>
              <w:right w:val="nil"/>
            </w:tcBorders>
          </w:tcPr>
          <w:p>
            <w:pPr>
              <w:pStyle w:val="Normal6a"/>
            </w:pPr>
            <w:r>
              <w:t>(7)</w:t>
            </w:r>
            <w:r>
              <w:tab/>
            </w:r>
            <w:r>
              <w:t>Ačkoli by se prahová hodnota určovala na základě sloučených příjmů skupiny na celosvětovém základě, působnost ustanovení by měla být omezena na členy skupiny působící na vnitřním trhu, neboť právo Unie se uplatňuje pouze v rámci Unie a nezavazuje státy mimo Unii. Proto by měla být v oblasti působnosti pouze podmnožina takové skupiny nacházející se v Unii. To by zahrnovalo společnosti, které jsou daňovými rezidenty členského státu a jejich stálé provozovny</w:t>
            </w:r>
            <w:r>
              <w:rPr>
                <w:b/>
                <w:i/>
              </w:rPr>
              <w:t>, včetně významné hospodářské přítomnosti,</w:t>
            </w:r>
            <w:r>
              <w:t xml:space="preserve"> působící v členském státě, jakož i stálé provozovny společností ze třetích zemí, jež patří k téže skupině, nacházející se v 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Unie by se měla aktivně zapojit do mezinárodních jednání s cílem podpořit celosvětovou harmonizaci pravidel a rozdělení práv zdanění na základě vzorce odrážejícího hmotné faktory, jako je práce, aktiva a prodej.</w:t>
            </w:r>
            <w:r>
              <w:t xml:space="preserve"> </w:t>
            </w:r>
            <w:r>
              <w:rPr>
                <w:b/>
                <w:i/>
              </w:rPr>
              <w:t>Probíhající jednání v rámci Organizace spojených národů o mezinárodní daňové spolupráci jsou v tomto ohledu jedinečnou a včasnou příležitostí.</w:t>
            </w:r>
            <w:r>
              <w:t xml:space="preserve"> </w:t>
            </w:r>
            <w:r>
              <w:rPr>
                <w:b/>
                <w:i/>
              </w:rPr>
              <w:t>V této souvislosti je politováníhodné, že několik členských států se zdrželo hlasování, a měly by být důrazně vybízeny, aby se těchto diskusí konstruktivně a aktivně účastnily.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Provádění této směrnice by mělo být koordinováno se stávajícími povinnostmi členských států týkajícími se daňových smluv se třetími zeměmi.</w:t>
            </w:r>
            <w:r>
              <w:t xml:space="preserve"> </w:t>
            </w:r>
            <w:r>
              <w:rPr>
                <w:b/>
                <w:i/>
              </w:rPr>
              <w:t>Aby se zabránilo dvojímu zdanění a usnadnilo řešení sporů, měly by členské státy případně poskytnout odpovídající úpravy v souladu se svými daňovými smlouvami.</w:t>
            </w:r>
            <w:r>
              <w:t xml:space="preserve"> </w:t>
            </w:r>
            <w:r>
              <w:rPr>
                <w:b/>
                <w:i/>
              </w:rPr>
              <w:t>Komise by měla podporovat administrativní koordinaci a zapojit se do dialogu s klíčovými třetími zeměmi s cílem podpořit soudržnost mezi BEFIT a mezinárodními standardy, zejména v rámci inkluzivního rámce OECD/G20.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Unie by se měla aktivně účastnit mezinárodních jednání o mezinárodním zdanění právnických osob, včetně rozdělení základu daně pro velké nadnárodní společnosti.</w:t>
            </w:r>
            <w:r>
              <w:t xml:space="preserve"> </w:t>
            </w:r>
            <w:r>
              <w:rPr>
                <w:b/>
                <w:i/>
              </w:rPr>
              <w:t>Rozhodnutí prezidenta USA ze dne 20. ledna 2025 podepsat dekret, v němž se prohlašuje, že globální dohoda OECD o dani z příjmu právnických osob „nemá v USA žádnou platnost ani účinek“, je politováníhodné.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7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Aby se zabránilo přemísťování zisků nadnárodními podniky mimo EU, měly by skupiny BEFIT rovněž vykazovat svůj celosvětový zisk na mezinárodní úrovni.</w:t>
            </w:r>
            <w:r>
              <w:t xml:space="preserve"> </w:t>
            </w:r>
            <w:r>
              <w:rPr>
                <w:b/>
                <w:i/>
              </w:rPr>
              <w:t>Poté by vzorec použitý v této směrnici byl rovněž použit ke srovnání zisků původně vykázaných v EU a zisků, které by byly vykázány, pokud by byl vzorec použit na celosvětový zisk skupiny BEFIT.</w:t>
            </w:r>
            <w:r>
              <w:t xml:space="preserve"> </w:t>
            </w:r>
            <w:r>
              <w:rPr>
                <w:b/>
                <w:i/>
              </w:rPr>
              <w:t>Pokud jsou opravené zisky vyšší než deklarovaný zisk, EU tyto opravené zisky zdaní na základě vzorce uvedeného v této směrnici.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7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V boji proti celosvětovému vyhýbání se daňovým povinnostem by členské státy rovněž mohly jednostranně vybírat daňový deficit nadnárodních společností:</w:t>
            </w:r>
            <w:r>
              <w:t xml:space="preserve"> </w:t>
            </w:r>
            <w:r>
              <w:rPr>
                <w:b/>
                <w:i/>
              </w:rPr>
              <w:t>rozdíl mezi tím, co společnost celosvětově platí na daních, a tím, co by musela zaplatit, pokud by všechny její zisky podléhaly minimální sazbě daně v každé ze zemí, v nichž působí.</w:t>
            </w:r>
            <w:r>
              <w:t xml:space="preserve"> </w:t>
            </w:r>
            <w:r>
              <w:rPr>
                <w:b/>
                <w:i/>
              </w:rPr>
              <w:t>Takové řešení by mohlo podpořit další státy v tom, aby tento krok následovaly, což by postupně mohlo vést k nalezení celosvětového řešení.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V zájmu zajištění proporcionality a řádného fungování společného rámce by členové skupiny, včetně společností se sídlem v členském státě, jejich stálých provozoven a stálých provozoven v Unii, které jsou členy skupiny se sídlem mimo Unii a s omezenou činností na vnitřním trhu, měli být z oblasti působnosti vyloučeni prostřednictvím prahu významnosti.</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Tato směrnice by měla stanovit pravidla rozšiřující pojem stálé provozovny tak, aby zahrnoval významnou hospodářskou přítomnost, jejímž prostřednictvím je zcela nebo částečně vykonávána činnost. Základním cílem je zlepšit odolnost vnitřního trhu jako celku s cílem řešit výzvy spojené se zdaněním digitální ekonomiky.</w:t>
            </w:r>
            <w:r>
              <w:t xml:space="preserve"> </w:t>
            </w:r>
            <w:r>
              <w:rPr>
                <w:b/>
                <w:i/>
              </w:rPr>
              <w:t>Zvýšený význam služeb urychlený digitalizací hospodářství vedl k nedávným návrhům, které jsou zakotveny v návrhu OECD/G20 v prvním pilíři, na vymezení významné hospodářské přítomnosti jako zdanitelného vztahu založeného na čistě kvantitativní prahové hodnotě prodeje v dané zemi s cílem zachytit všechna odvětví a zajistit jednoduchost.</w:t>
            </w:r>
            <w:r>
              <w:t xml:space="preserve"> </w:t>
            </w:r>
            <w:r>
              <w:rPr>
                <w:b/>
                <w:i/>
              </w:rPr>
              <w:t>Tohoto cíle nelze uspokojivě dosáhnout na úrovni jednotlivých členských států, neboť digitální podniky mohou působit přes hranice bez jakékoliv fyzické přítomnosti v dané jurisdikci, a proto jsou potřebná pravidla, která zajistí, aby digitální podniky platily daně v jurisdikci, ve které vytvářejí zisk, ať už tím, že poskytují služby, nebo prodávají výrobky (tedy „prodej“).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Tato směrnice rovněž stanoví pravidla rozšiřující pojem stálé provozovny tak, aby zahrnoval významnou hospodářskou přítomnost, jejímž prostřednictvím je zcela nebo částečně vykonávána činnost. Základním cílem je zlepšit odolnost vnitřního trhu jako celku s cílem řešit výzvy spojené se zdaněním digitalizované ekonomiky.</w:t>
            </w:r>
            <w:r>
              <w:t xml:space="preserve"> </w:t>
            </w:r>
            <w:r>
              <w:rPr>
                <w:b/>
                <w:i/>
              </w:rPr>
              <w:t>Zvýšený význam služeb urychlený digitalizací hospodářství vedl k nedávným návrhům, které jsou zakotveny v návrhu OECD/G20 v prvním pilíři, na vymezení „významné hospodářské přítomnosti“ jako zdanitelného vztahu založeného na čistě kvantitativní prahové hodnotě s cílem zachytit všechna odvětví a zajistit jednoduchost.</w:t>
            </w:r>
            <w:r>
              <w:t xml:space="preserve"> </w:t>
            </w:r>
            <w:r>
              <w:rPr>
                <w:b/>
                <w:i/>
              </w:rPr>
              <w:t>Tohoto cíle nelze uspokojivě dosáhnout na úrovni jednotlivých členských států, neboť digitální podniky mohou působit přes hranice bez jakékoliv fyzické přítomnosti v dané jurisdikci, a jsou proto potřebná pravidla, která zajistí, aby podniky platily daně v jurisdikci, ve které vytvářejí zisk.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8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Aby byla stanovena důkladná definice zdanitelného propojení podniku v členském státě bez ohledu na to, zda je podnik digitální, či nikoli, je nezbytné, aby tato definice vycházela z příjmů z dodávaných služeb.</w:t>
            </w:r>
            <w:r>
              <w:t xml:space="preserve"> </w:t>
            </w:r>
            <w:r>
              <w:rPr>
                <w:b/>
                <w:i/>
              </w:rPr>
              <w:t>Definice obsažená v této směrnici se shoduje s definicí dohodnutou v rámci návrhu OECD/G20 v prvním pilíři.</w:t>
            </w:r>
            <w:r>
              <w:t xml:space="preserve"> </w:t>
            </w:r>
            <w:r>
              <w:rPr>
                <w:b/>
                <w:i/>
              </w:rPr>
              <w:t>Cílem je zajistit soudržnost mezi směrnicí a mezinárodním rámcem.</w:t>
            </w:r>
            <w:r>
              <w:t xml:space="preserve"> </w:t>
            </w:r>
            <w:r>
              <w:rPr>
                <w:b/>
                <w:i/>
              </w:rPr>
              <w:t>Unie by měla jít příkladem v mezinárodní daňové reformě, aby poskytla daňovým poplatníkům jistotu.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Plánovaná iniciativa klade důraz na cíl zjednodušit stávající pravidla. Proto by pravidla pro výpočet základu daně měla být vytvořena použitím omezené řady daňových úprav na účetní závěrky jednotlivých členů skupiny. Tyto omezené úpravy by představovaly běžné úpravy, které jsou nezbytné pro převod účetních výkazů na základ daně. Vzhledem k potřebě sladění se směrnicí (EU) 2022/2523 by úpravy měly být v souladu s uvedeným rámcem, což by mělo usnadnit provádění i členským státům a podnikům, které již obecné zásady znají.</w:t>
            </w:r>
          </w:p>
        </w:tc>
        <w:tc>
          <w:tcPr>
            <w:tcW w:w="4876" w:type="dxa"/>
            <w:tcBorders>
              <w:top w:val="nil"/>
              <w:left w:val="nil"/>
              <w:bottom w:val="nil"/>
              <w:right w:val="nil"/>
            </w:tcBorders>
          </w:tcPr>
          <w:p>
            <w:pPr>
              <w:pStyle w:val="Normal6a"/>
            </w:pPr>
            <w:r>
              <w:t>(9)</w:t>
            </w:r>
            <w:r>
              <w:tab/>
            </w:r>
            <w:r>
              <w:t xml:space="preserve">Plánovaná iniciativa klade důraz na cíl zjednodušit stávající pravidla. Proto by pravidla pro výpočet základu daně měla být vytvořena použitím omezené řady daňových úprav na účetní závěrky jednotlivých členů skupiny. Tyto omezené úpravy by představovaly běžné úpravy, které jsou nezbytné pro převod účetních výkazů na základ daně. Vzhledem k potřebě sladění se směrnicí (EU) 2022/2523 by úpravy měly být v souladu s uvedeným rámcem, což by mělo usnadnit provádění i členským státům a podnikům, které již obecné zásady znají. </w:t>
            </w:r>
            <w:r>
              <w:rPr>
                <w:b/>
                <w:i/>
              </w:rPr>
              <w:t>V tomto rámci by se měla zohlednit platba dorovnávací daně splatné v souladu se směrnicí (EU) 2022/2523 nebo při uplatnění kvalifikované vnitrostátní dorovnávací daně podle této směrnice nebo jakékoli jiné alternativní minimální daně uznané na mezinárodním fóru, jako je OECD.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Plánovaná iniciativa klade důraz na cíl zjednodušit stávající pravidla. Proto by pravidla pro výpočet základu daně měla být vytvořena použitím omezené řady daňových úprav na účetní závěrky jednotlivých členů skupiny. Tyto omezené úpravy by představovaly běžné úpravy, které jsou nezbytné pro převod účetních výkazů na základ daně. Vzhledem k potřebě sladění se směrnicí (EU) 2022/2523 by úpravy měly být v souladu s uvedeným rámcem, což by mělo usnadnit provádění i členským státům a podnikům, které již obecné zásady znají.</w:t>
            </w:r>
          </w:p>
        </w:tc>
        <w:tc>
          <w:tcPr>
            <w:tcW w:w="4876" w:type="dxa"/>
            <w:tcBorders>
              <w:top w:val="nil"/>
              <w:left w:val="nil"/>
              <w:bottom w:val="nil"/>
              <w:right w:val="nil"/>
            </w:tcBorders>
          </w:tcPr>
          <w:p>
            <w:pPr>
              <w:pStyle w:val="Normal6a"/>
            </w:pPr>
            <w:r>
              <w:t>(9)</w:t>
            </w:r>
            <w:r>
              <w:tab/>
            </w:r>
            <w:r>
              <w:t xml:space="preserve">Plánovaná iniciativa klade důraz na cíl zjednodušit stávající pravidla </w:t>
            </w:r>
            <w:r>
              <w:rPr>
                <w:b/>
                <w:i/>
              </w:rPr>
              <w:t>a má dojít i ke zlepšení účinnosti a konkurenceschopnosti jednotného trhu</w:t>
            </w:r>
            <w:r>
              <w:t>. Proto by pravidla pro výpočet základu daně měla být vytvořena použitím omezené řady daňových úprav na účetní závěrky jednotlivých členů skupiny. Tyto omezené úpravy by představovaly běžné úpravy, které jsou nezbytné pro převod účetních výkazů na základ daně. Vzhledem k potřebě sladění se směrnicí (EU) 2022/2523 by úpravy měly být v souladu s uvedeným rámcem, což by mělo usnadnit provádění i členským státům a podnikům, které již obecné zásady znají.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Konečným cílem této směrnice by mělo být zjednodušit dodržování právních předpisů, aby se snížila byrokratická a daňová zátěž společností.</w:t>
            </w:r>
            <w:r>
              <w:t xml:space="preserve"> </w:t>
            </w:r>
            <w:r>
              <w:rPr>
                <w:b/>
                <w:i/>
              </w:rPr>
              <w:t>Ještě náročnější to je pro evropské malé a střední podniky, které na plnění těchto povinností vyčleňují více svých zdrojů.</w:t>
            </w:r>
            <w:r>
              <w:t xml:space="preserve"> </w:t>
            </w:r>
            <w:r>
              <w:rPr>
                <w:b/>
                <w:i/>
              </w:rPr>
              <w:t>Systém by měl být navíc dobrovolný, aby se podniky mohly rozhodnout, zda jej přijmou, či nikoli.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Vzhledem k tomu, že v zájmu zjednodušení budou jako výchozí bod pro výpočet základu daně jednotlivých členů skupiny použity účetní výkazy, je nutné navrhnout daňová pravidla tak, aby se co nejvíce přiblížila finančnímu účetnictví. V případech, kdy je to možné, by se účetní zachycení aktiva nebo závazku pro účely zdanění nezměnilo, a tudíž by nebylo nutné provádět žádné úpravy. V souladu se smyslem zdanění je rovněž nutné, aby se s dalšími prvky základu daně zacházelo pro daňové účely jinak, než jak jsou kvalifikovány v rámci finančního účetnictví.</w:t>
            </w:r>
          </w:p>
        </w:tc>
        <w:tc>
          <w:tcPr>
            <w:tcW w:w="4876" w:type="dxa"/>
            <w:tcBorders>
              <w:top w:val="nil"/>
              <w:left w:val="nil"/>
              <w:bottom w:val="nil"/>
              <w:right w:val="nil"/>
            </w:tcBorders>
          </w:tcPr>
          <w:p>
            <w:pPr>
              <w:pStyle w:val="Normal6a"/>
            </w:pPr>
            <w:r>
              <w:t>(10)</w:t>
            </w:r>
            <w:r>
              <w:tab/>
            </w:r>
            <w:r>
              <w:t xml:space="preserve">Vzhledem k tomu, že v zájmu zjednodušení budou jako výchozí bod pro výpočet základu daně jednotlivých členů skupiny použity účetní výkazy, je nutné navrhnout daňová pravidla tak, aby se co nejvíce přiblížila finančnímu účetnictví. V případech, kdy je to možné, by se účetní zachycení aktiva nebo závazku pro účely zdanění nezměnilo, a tudíž by nebylo nutné provádět žádné úpravy. V souladu se smyslem zdanění je rovněž nutné, aby se s dalšími prvky základu daně zacházelo pro daňové účely jinak, než jak jsou kvalifikovány v rámci finančního účetnictví. </w:t>
            </w:r>
            <w:r>
              <w:rPr>
                <w:b/>
                <w:i/>
              </w:rPr>
              <w:t>S cílem snížit zbytečnou administrativní zátěž a zajistit soulad s mezinárodními daňovými postupy, jako jsou postupy v rámci druhého pilíře, by nařízení mělo umožnit větší flexibilitu při výběru standardů finančního účetnictví používaných ke stanovení předběžného daňového výsledku.</w:t>
            </w:r>
            <w:r>
              <w:t xml:space="preserve"> </w:t>
            </w:r>
            <w:r>
              <w:rPr>
                <w:b/>
                <w:i/>
              </w:rPr>
              <w:t>Měly by být povoleny uznávané finanční standardy, které zajišťují spolehlivost a kontrolovatelnost, a to s výhradou záruk zajišťujících srovnatelnost.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Spravedlivé zdanění pasivních příjmů, jako jsou úroky, je nutností.</w:t>
            </w:r>
            <w:r>
              <w:t xml:space="preserve"> </w:t>
            </w:r>
            <w:r>
              <w:rPr>
                <w:b/>
                <w:i/>
              </w:rPr>
              <w:t>Je proto vhodné stanovit pravidlo pro omezení odpočitatelnosti úroků, které by se vztahovalo na členy skupiny BEFIT tak, aby se omezilo zvýhodnění dluhu oproti vlastnímu kapitálu, k němuž může dojít v důsledku přílišného spoléhání se na dluhové financování uvnitř skupiny, a aby se omezil prostor pro erozi základu daně a přesouvání zisků prostřednictvím nadměrně vysokých úrokových plateb.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Spravedlivé zdanění pasivních příjmů, jako jsou úroky, je nutností.</w:t>
            </w:r>
            <w:r>
              <w:t xml:space="preserve"> </w:t>
            </w:r>
            <w:r>
              <w:rPr>
                <w:b/>
                <w:i/>
              </w:rPr>
              <w:t>Je proto vhodné stanovit pravidlo pro omezení odpočitatelnosti úroků, které by se vztahovalo na členy skupiny BEFIT tak, aby se omezilo zvýhodnění dluhu oproti vlastnímu kapitálu, k němuž může dojít v důsledku přílišného spoléhání se na dluhové financování uvnitř skupiny, a aby se omezil prostor pro erozi základu daně a přesouvání zisků prostřednictvím nadměrně vysokých úrokových plateb.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10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Aby byla zaručena minimální úroveň zdanění licenčních poplatků, mělo by být zavedeno pravidlo pro omezení licenčních poplatků platné pro členy skupiny BEFIT v souladu s tzv. pravidlem zdanitelnosti (Subject to Tax Rule, STTR)</w:t>
            </w:r>
            <w:r>
              <w:rPr>
                <w:b/>
                <w:i/>
                <w:vertAlign w:val="superscript"/>
              </w:rPr>
              <w:t>10a</w:t>
            </w:r>
            <w:r>
              <w:rPr>
                <w:b/>
                <w:i/>
              </w:rPr>
              <w:t>, jak navrhuje inkluzivní rámec OECD/G20 ve II. pilíři.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10a</w:t>
            </w:r>
            <w:r>
              <w:t xml:space="preserve"> </w:t>
            </w:r>
            <w:r>
              <w:rPr>
                <w:b/>
                <w:i/>
              </w:rPr>
              <w:t>OECD (2023).</w:t>
            </w:r>
            <w:r>
              <w:t xml:space="preserve"> </w:t>
            </w:r>
            <w:r>
              <w:rPr>
                <w:b/>
                <w:i/>
              </w:rPr>
              <w:t>Výzvy v oblasti zdanění vyplývající z digitalizace ekonomiky – pravidlo zdanitelnosti (druhý pilíř):</w:t>
            </w:r>
            <w:r>
              <w:t xml:space="preserve"> </w:t>
            </w:r>
            <w:r>
              <w:rPr>
                <w:b/>
                <w:i/>
              </w:rPr>
              <w:t>Inkluzivní rámec pro řešení eroze základu daně a přesouvání zisků, projekt OECD/G20 Eroze základu daně a přesouvání zisků, OECD Publishing, Paříž, https://doi.org/10.1787/9afd6856-en.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10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Aby byla zaručena minimální úroveň zdanění licenčních poplatků, mělo by být zavedeno pravidlo pro omezení licenčních poplatků platné pro členy skupiny BEFIT v souladu s tzv. pravidlem zdanitelnosti (Subject to Tax Rule, STTR), jak navrhuje inkluzivní rámec OECD/G20 ve II. pilíři.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10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(10c)</w:t>
            </w:r>
            <w:r>
              <w:tab/>
            </w:r>
            <w:r>
              <w:rPr>
                <w:b/>
                <w:i/>
              </w:rPr>
              <w:t>Spravedlivější zdanění pasivních příjmů vyžaduje také přísná pravidla pro ovládané zahraniční společnosti (CFC) platná pro členy skupiny BEFIT, aby byly tyto společnosti odolnější vůči přesouvání zisku.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10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(10c)</w:t>
            </w:r>
            <w:r>
              <w:tab/>
            </w:r>
            <w:r>
              <w:rPr>
                <w:b/>
                <w:i/>
              </w:rPr>
              <w:t>Spravedlivější zdanění pasivních příjmů vyžaduje také přísná pravidla pro ovládané zahraniční společnosti (CFC) platná pro členy skupiny BEFIT, aby byly tyto společnosti odolnější vůči přesouvání zisku.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Proto je nezbytné zabývat se specifickými odvětvími činnosti, zejména mezinárodní námořní dopravou, která vyžadují určité úpravy specifické pro dané odvětví.</w:t>
            </w:r>
            <w:r>
              <w:t xml:space="preserve"> </w:t>
            </w:r>
            <w:r>
              <w:rPr>
                <w:b/>
                <w:i/>
              </w:rPr>
              <w:t>U členů skupiny v tomto odvětví by bylo nutné upravit finanční výkazy tak, aby se vyloučila částka (zisk nebo ztráta), na kterou se vztahuje režim daně z tonáže.</w:t>
            </w:r>
            <w:r>
              <w:t xml:space="preserve"> </w:t>
            </w:r>
            <w:r>
              <w:rPr>
                <w:b/>
                <w:i/>
              </w:rPr>
              <w:t>Zvláštní daňové režimy pro mezinárodní námořní dopravu, často označované jako „režimy daně z tonáže“, by obvykle umožňovaly zdanění na základě tonáže (tj. prostornosti) lodí provozovaných členem skupiny, a nikoli na základě skutečných zisků nebo ztrát, které členovi skupiny vznikly prostřednictvím činností, na něž se vztahuje daň z tonáže.</w:t>
            </w:r>
            <w:r>
              <w:t xml:space="preserve"> </w:t>
            </w:r>
            <w:r>
              <w:rPr>
                <w:b/>
                <w:i/>
              </w:rPr>
              <w:t>Vyloučení takové částky by proto navázalo na různé uznané přístupy k výpočtu základu daně a zajistilo by vhodný soulad s různými politickými cíli vnitřního trhu.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Proto je nezbytné zabývat se specifickými odvětvími činnosti, zejména mezinárodní námořní dopravou, která vyžadují určité úpravy specifické pro dané odvětví.</w:t>
            </w:r>
            <w:r>
              <w:t xml:space="preserve"> </w:t>
            </w:r>
            <w:r>
              <w:rPr>
                <w:b/>
                <w:i/>
              </w:rPr>
              <w:t>U členů skupiny v tomto odvětví by bylo nutné upravit finanční výkazy tak, aby se vyloučila částka (zisk nebo ztráta), na kterou se vztahuje režim daně z tonáže.</w:t>
            </w:r>
            <w:r>
              <w:t xml:space="preserve"> </w:t>
            </w:r>
            <w:r>
              <w:rPr>
                <w:b/>
                <w:i/>
              </w:rPr>
              <w:t>Zvláštní daňové režimy pro mezinárodní námořní dopravu, často označované jako „režimy daně z tonáže“, by obvykle umožňovaly zdanění na základě tonáže (tj. prostornosti) lodí provozovaných členem skupiny, a nikoli na základě skutečných zisků nebo ztrát, které členovi skupiny vznikly prostřednictvím činností, na něž se vztahuje daň z tonáže.</w:t>
            </w:r>
            <w:r>
              <w:t xml:space="preserve"> </w:t>
            </w:r>
            <w:r>
              <w:rPr>
                <w:b/>
                <w:i/>
              </w:rPr>
              <w:t>Vyloučení takové částky by proto navázalo na různé uznané přístupy k výpočtu základu daně a zajistilo by vhodný soulad s různými politickými cíli vnitřního trhu.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S cílem podnítit investice, dosáhnout udržitelné transformace a zajistit bezpečnost pro všechny občany EU by členské státy měly být motivovány k přijetí cílených pravidel zrychleného odpisování zaměřených na rozvoj schopností dvojího užití v oblasti obrany.</w:t>
            </w:r>
            <w:r>
              <w:t xml:space="preserve"> </w:t>
            </w:r>
            <w:r>
              <w:rPr>
                <w:b/>
                <w:i/>
              </w:rPr>
              <w:t>Tato dočasná pravidla by měla stimulovat udržitelný hospodářský růst, vytvářet pracovní místa, zajistit bezpečnost a podpořit inovace v oblasti udržitelných technologií.</w:t>
            </w:r>
            <w:r>
              <w:t xml:space="preserve"> </w:t>
            </w:r>
            <w:r>
              <w:rPr>
                <w:b/>
                <w:i/>
              </w:rPr>
              <w:t>V zájmu uvedení těchto pobídek do praxe by Komise měla být pověřena přijetím aktů v přenesené pravomoci.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 Daňové úpravy účetních závěrek by vedly k předběžným daňovým výsledkům jednotlivých členů skupiny. Tyto výsledky by pak byly sloučeny, což by umožnilo úlevu při přeshraničních ztrátách mezi členy skupiny BEFIT, a následně by byl sloučený základ daně přidělen členům skupiny na základě </w:t>
            </w:r>
            <w:r>
              <w:rPr>
                <w:b/>
                <w:i/>
              </w:rPr>
              <w:t>přechodného pravidla pro přidělování;</w:t>
            </w:r>
            <w:r>
              <w:t xml:space="preserve"> </w:t>
            </w:r>
            <w:r>
              <w:rPr>
                <w:b/>
                <w:i/>
              </w:rPr>
              <w:t>to by otevřelo cestu ke stálému mechanismu.</w:t>
            </w:r>
            <w:r>
              <w:t xml:space="preserve"> </w:t>
            </w:r>
            <w:r>
              <w:rPr>
                <w:b/>
                <w:i/>
              </w:rPr>
              <w:t>Tento stálý mechanismus by mohl být založen na rozdělení podle</w:t>
            </w:r>
            <w:r>
              <w:t xml:space="preserve"> vzorce </w:t>
            </w:r>
            <w:r>
              <w:rPr>
                <w:b/>
                <w:i/>
              </w:rPr>
              <w:t>a díky němu</w:t>
            </w:r>
            <w:r>
              <w:t xml:space="preserve"> by nebylo třeba, aby transakce uvnitř skupiny BEFIT byly v souladu se zásadou obvyklých tržních podmínek. </w:t>
            </w:r>
            <w:r>
              <w:rPr>
                <w:b/>
                <w:i/>
              </w:rPr>
              <w:t>Výhodou by bylo využití novějších údajů z podávání zpráv podle jednotlivých zemí a informací získaných během přechodného období.</w:t>
            </w:r>
            <w:r>
              <w:t xml:space="preserve"> </w:t>
            </w:r>
            <w:r>
              <w:rPr>
                <w:b/>
                <w:i/>
              </w:rPr>
              <w:t>Rovněž to umožní důkladnější posouzení dopadu, který by mělo mít zavedení dvoupilířového přístupu na vnitrostátní základy daně a základy daně skupin BEFIT.</w:t>
            </w:r>
            <w:r>
              <w:t xml:space="preserve"> </w:t>
            </w:r>
            <w:r>
              <w:rPr>
                <w:b/>
                <w:i/>
              </w:rPr>
              <w:t>Tímto způsobem by stále bylo možné uskutečnit klíčový cíl daňové neutrality na vnitřním trhu, což by omezilo případy dvojího a nadměrného zdanění a zvýšilo daňovou jistotu s cílem snížit počet daňových sporů.</w:t>
            </w:r>
          </w:p>
        </w:tc>
        <w:tc>
          <w:tcPr>
            <w:tcW w:w="4876" w:type="dxa"/>
            <w:tcBorders>
              <w:top w:val="nil"/>
              <w:left w:val="nil"/>
              <w:bottom w:val="nil"/>
              <w:right w:val="nil"/>
            </w:tcBorders>
          </w:tcPr>
          <w:p>
            <w:pPr>
              <w:pStyle w:val="Normal6a"/>
            </w:pPr>
            <w:r>
              <w:t>(12)</w:t>
            </w:r>
            <w:r>
              <w:tab/>
            </w:r>
            <w:r>
              <w:t>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 Daňové úpravy účetních závěrek by vedly k předběžným daňovým výsledkům jednotlivých členů skupiny. Tyto výsledky by pak byly sloučeny, což by umožnilo úlevu při přeshraničních ztrátách mezi členy skupiny BEFIT, a následně by byl sloučený základ daně přidělen členům skupiny na základě vzorce</w:t>
            </w:r>
            <w:r>
              <w:rPr>
                <w:b/>
                <w:i/>
              </w:rPr>
              <w:t>, který by zahrnoval tři soubory hmatatelných faktorů:</w:t>
            </w:r>
            <w:r>
              <w:t xml:space="preserve"> </w:t>
            </w:r>
            <w:r>
              <w:rPr>
                <w:b/>
                <w:i/>
              </w:rPr>
              <w:t>práci, aktiva a tržby.</w:t>
            </w:r>
            <w:r>
              <w:t xml:space="preserve"> </w:t>
            </w:r>
            <w:r>
              <w:rPr>
                <w:b/>
                <w:i/>
              </w:rPr>
              <w:t>Díky tomu</w:t>
            </w:r>
            <w:r>
              <w:t xml:space="preserve"> by nebylo třeba, aby transakce uvnitř skupiny BEFIT byly v souladu se zásadou obvyklých tržních podmínek.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 Daňové úpravy účetních závěrek by vedly k předběžným daňovým výsledkům jednotlivých členů skupiny. Tyto výsledky by pak byly sloučeny, což by umožnilo úlevu při přeshraničních ztrátách mezi členy skupiny BEFIT, a následně by byl sloučený základ daně přidělen členům skupiny na základě </w:t>
            </w:r>
            <w:r>
              <w:rPr>
                <w:b/>
                <w:i/>
              </w:rPr>
              <w:t>přechodného pravidla pro přidělování;</w:t>
            </w:r>
            <w:r>
              <w:t xml:space="preserve"> </w:t>
            </w:r>
            <w:r>
              <w:rPr>
                <w:b/>
                <w:i/>
              </w:rPr>
              <w:t>to by otevřelo cestu ke stálému mechanismu.</w:t>
            </w:r>
            <w:r>
              <w:t xml:space="preserve"> </w:t>
            </w:r>
            <w:r>
              <w:rPr>
                <w:b/>
                <w:i/>
              </w:rPr>
              <w:t>Tento stálý mechanismus by mohl být založen na rozdělení podle</w:t>
            </w:r>
            <w:r>
              <w:t xml:space="preserve"> vzorce </w:t>
            </w:r>
            <w:r>
              <w:rPr>
                <w:b/>
                <w:i/>
              </w:rPr>
              <w:t>a díky němu by nebylo třeba, aby transakce uvnitř skupiny BEFIT byly v souladu se zásadou obvyklých tržních podmínek.</w:t>
            </w:r>
            <w:r>
              <w:t xml:space="preserve"> </w:t>
            </w:r>
            <w:r>
              <w:rPr>
                <w:b/>
                <w:i/>
              </w:rPr>
              <w:t>Výhodou by bylo využití novějších údajů z podávání zpráv podle jednotlivých zemí a informací získaných během přechodného období.</w:t>
            </w:r>
            <w:r>
              <w:t xml:space="preserve"> </w:t>
            </w:r>
            <w:r>
              <w:rPr>
                <w:b/>
                <w:i/>
              </w:rPr>
              <w:t>Rovněž to umožní důkladnější posouzení dopadu, který by mělo mít zavedení dvoupilířového přístupu na vnitrostátní základy daně a základy daně skupin BEFIT.</w:t>
            </w:r>
            <w:r>
              <w:t xml:space="preserve"> </w:t>
            </w:r>
            <w:r>
              <w:rPr>
                <w:b/>
                <w:i/>
              </w:rPr>
              <w:t>Tímto způsobem by stále bylo možné uskutečnit</w:t>
            </w:r>
            <w:r>
              <w:t xml:space="preserve"> klíčový cíl daňové neutrality na vnitřním trhu, což by omezilo případy dvojího </w:t>
            </w:r>
            <w:r>
              <w:rPr>
                <w:b/>
                <w:i/>
              </w:rPr>
              <w:t>a nadměrného zdanění a zvýšilo</w:t>
            </w:r>
            <w:r>
              <w:t xml:space="preserve"> daňovou jistotu s cílem snížit počet daňových sporů.</w:t>
            </w:r>
          </w:p>
        </w:tc>
        <w:tc>
          <w:tcPr>
            <w:tcW w:w="4876" w:type="dxa"/>
            <w:tcBorders>
              <w:top w:val="nil"/>
              <w:left w:val="nil"/>
              <w:bottom w:val="nil"/>
              <w:right w:val="nil"/>
            </w:tcBorders>
          </w:tcPr>
          <w:p>
            <w:pPr>
              <w:pStyle w:val="Normal6a"/>
            </w:pPr>
            <w:r>
              <w:t>(12)</w:t>
            </w:r>
            <w:r>
              <w:tab/>
            </w:r>
            <w:r>
              <w:t xml:space="preserve">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 Daňové úpravy účetních závěrek by vedly k předběžným daňovým výsledkům jednotlivých členů skupiny. Tyto výsledky by pak byly sloučeny, což by umožnilo úlevu při přeshraničních ztrátách mezi členy skupiny BEFIT </w:t>
            </w:r>
            <w:r>
              <w:rPr>
                <w:b/>
                <w:i/>
              </w:rPr>
              <w:t>maximálně na pět let</w:t>
            </w:r>
            <w:r>
              <w:t>, a následně by byl sloučený základ daně přidělen členům skupiny na základě vzorce</w:t>
            </w:r>
            <w:r>
              <w:rPr>
                <w:b/>
                <w:i/>
              </w:rPr>
              <w:t>.</w:t>
            </w:r>
            <w:r>
              <w:t xml:space="preserve"> </w:t>
            </w:r>
            <w:r>
              <w:rPr>
                <w:b/>
                <w:i/>
              </w:rPr>
              <w:t>Tím se naplní</w:t>
            </w:r>
            <w:r>
              <w:t xml:space="preserve"> klíčový cíl daňové neutrality na vnitřním trhu </w:t>
            </w:r>
            <w:r>
              <w:rPr>
                <w:b/>
                <w:i/>
              </w:rPr>
              <w:t>a zásada obvyklých tržních podmínek se stane nadbytečnou</w:t>
            </w:r>
            <w:r>
              <w:t xml:space="preserve">, což by omezilo případy dvojího </w:t>
            </w:r>
            <w:r>
              <w:rPr>
                <w:b/>
                <w:i/>
              </w:rPr>
              <w:t>nezdanění a posílilo</w:t>
            </w:r>
            <w:r>
              <w:t xml:space="preserve"> daňovou jistotu s cílem snížit počet daňových sporů.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 Daňové úpravy účetních závěrek by vedly k předběžným daňovým výsledkům jednotlivých členů skupiny. Tyto výsledky by pak byly sloučeny, což by umožnilo úlevu při přeshraničních ztrátách mezi členy skupiny BEFIT, a následně by byl sloučený základ daně přidělen členům skupiny </w:t>
            </w:r>
            <w:r>
              <w:rPr>
                <w:b/>
                <w:i/>
              </w:rPr>
              <w:t>na základě přechodného</w:t>
            </w:r>
            <w:r>
              <w:t xml:space="preserve"> pravidla pro přidělování; </w:t>
            </w:r>
            <w:r>
              <w:rPr>
                <w:b/>
                <w:i/>
              </w:rPr>
              <w:t>to by otevřelo cestu ke stálému</w:t>
            </w:r>
            <w:r>
              <w:t xml:space="preserve"> mechanismu</w:t>
            </w:r>
            <w:r>
              <w:rPr>
                <w:b/>
                <w:i/>
              </w:rPr>
              <w:t>.</w:t>
            </w:r>
            <w:r>
              <w:t xml:space="preserve"> </w:t>
            </w:r>
            <w:r>
              <w:rPr>
                <w:b/>
                <w:i/>
              </w:rPr>
              <w:t>Tento stálý mechanismus by mohl být založen</w:t>
            </w:r>
            <w:r>
              <w:t xml:space="preserve"> na rozdělení podle vzorce </w:t>
            </w:r>
            <w:r>
              <w:rPr>
                <w:b/>
                <w:i/>
              </w:rPr>
              <w:t>a díky němu by nebylo třeba, aby transakce uvnitř skupiny</w:t>
            </w:r>
            <w:r>
              <w:t xml:space="preserve"> BEFIT </w:t>
            </w:r>
            <w:r>
              <w:rPr>
                <w:b/>
                <w:i/>
              </w:rPr>
              <w:t>byly</w:t>
            </w:r>
            <w:r>
              <w:t xml:space="preserve"> v souladu </w:t>
            </w:r>
            <w:r>
              <w:rPr>
                <w:b/>
                <w:i/>
              </w:rPr>
              <w:t>se zásadou obvyklých tržních podmínek.</w:t>
            </w:r>
            <w:r>
              <w:t xml:space="preserve"> </w:t>
            </w:r>
            <w:r>
              <w:rPr>
                <w:b/>
                <w:i/>
              </w:rPr>
              <w:t>Výhodou by bylo využití novějších údajů z podávání zpráv podle jednotlivých zemí a informací získaných během přechodného období.</w:t>
            </w:r>
            <w:r>
              <w:t xml:space="preserve"> </w:t>
            </w:r>
            <w:r>
              <w:rPr>
                <w:b/>
                <w:i/>
              </w:rPr>
              <w:t>Rovněž to umožní důkladnější posouzení dopadu, který by mělo mít zavedení dvoupilířového přístupu na vnitrostátní základy daně a základy daně skupin BEFIT</w:t>
            </w:r>
            <w:r>
              <w:t xml:space="preserve">. </w:t>
            </w:r>
            <w:r>
              <w:rPr>
                <w:b/>
                <w:i/>
              </w:rPr>
              <w:t>Tímto způsobem by stále bylo možné uskutečnit klíčový cíl daňové neutrality na vnitřním trhu, což by omezilo případy dvojího a nadměrného zdanění a zvýšilo daňovou jistotu s cílem snížit počet daňových sporů.</w:t>
            </w:r>
          </w:p>
        </w:tc>
        <w:tc>
          <w:tcPr>
            <w:tcW w:w="4876" w:type="dxa"/>
            <w:tcBorders>
              <w:top w:val="nil"/>
              <w:left w:val="nil"/>
              <w:bottom w:val="nil"/>
              <w:right w:val="nil"/>
            </w:tcBorders>
          </w:tcPr>
          <w:p>
            <w:pPr>
              <w:pStyle w:val="Normal6a"/>
            </w:pPr>
            <w:r>
              <w:t>(12)</w:t>
            </w:r>
            <w:r>
              <w:tab/>
            </w:r>
            <w:r>
              <w:t xml:space="preserve">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 Daňové úpravy účetních závěrek by vedly k předběžným daňovým výsledkům jednotlivých členů skupiny. Tyto výsledky by pak byly sloučeny, což by umožnilo úlevu při přeshraničních ztrátách mezi členy skupiny BEFIT, a následně by byl sloučený základ daně přidělen členům skupiny </w:t>
            </w:r>
            <w:r>
              <w:rPr>
                <w:b/>
                <w:i/>
              </w:rPr>
              <w:t>podle základního</w:t>
            </w:r>
            <w:r>
              <w:t xml:space="preserve"> pravidla pro přidělování; </w:t>
            </w:r>
            <w:r>
              <w:rPr>
                <w:b/>
                <w:i/>
              </w:rPr>
              <w:t>přesun směrem k</w:t>
            </w:r>
            <w:r>
              <w:t xml:space="preserve"> mechanismu </w:t>
            </w:r>
            <w:r>
              <w:rPr>
                <w:b/>
                <w:i/>
              </w:rPr>
              <w:t>založenému</w:t>
            </w:r>
            <w:r>
              <w:t xml:space="preserve"> na rozdělení podle vzorce </w:t>
            </w:r>
            <w:r>
              <w:rPr>
                <w:b/>
                <w:i/>
              </w:rPr>
              <w:t>by však vyžadoval, aby nejméně 30 jurisdikcí ratifikovalo Mnohostrannou úmluvu o provádění částky A prvního pilíře podle inkluzivního rámce OECD/G20 pro řešení BEPS za podmínek stanovených v uvedené dohodě a aby ratifikující jurisdikce představovaly nejméně 600 bodů ve smyslu přílohy I této úmluvy.</w:t>
            </w:r>
            <w:r>
              <w:t xml:space="preserve"> </w:t>
            </w:r>
            <w:r>
              <w:rPr>
                <w:b/>
                <w:i/>
              </w:rPr>
              <w:t>Každé další rozdělení podle vzorce na základě rámce</w:t>
            </w:r>
            <w:r>
              <w:t xml:space="preserve"> BEFIT </w:t>
            </w:r>
            <w:r>
              <w:rPr>
                <w:b/>
                <w:i/>
              </w:rPr>
              <w:t>by proto mělo být</w:t>
            </w:r>
            <w:r>
              <w:t xml:space="preserve"> v souladu </w:t>
            </w:r>
            <w:r>
              <w:rPr>
                <w:b/>
                <w:i/>
              </w:rPr>
              <w:t>s takovým celosvětově dohodnutým standardem, bude-li formálně přijat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 Daňové úpravy účetních závěrek by vedly k předběžným daňovým výsledkům jednotlivých členů skupiny. Tyto výsledky by pak byly sloučeny, což by umožnilo úlevu při přeshraničních ztrátách mezi členy skupiny BEFIT, a následně by byl sloučený základ daně přidělen členům skupiny na základě přechodného pravidla pro přidělování; to by otevřelo cestu ke stálému mechanismu. </w:t>
            </w:r>
            <w:r>
              <w:rPr>
                <w:b/>
                <w:i/>
              </w:rPr>
              <w:t>Tento</w:t>
            </w:r>
            <w:r>
              <w:t xml:space="preserve"> stálý mechanismus </w:t>
            </w:r>
            <w:r>
              <w:rPr>
                <w:b/>
                <w:i/>
              </w:rPr>
              <w:t>by mohl být založen</w:t>
            </w:r>
            <w:r>
              <w:t xml:space="preserve"> na rozdělení podle vzorce a díky </w:t>
            </w:r>
            <w:r>
              <w:rPr>
                <w:b/>
                <w:i/>
              </w:rPr>
              <w:t>němu</w:t>
            </w:r>
            <w:r>
              <w:t xml:space="preserve"> by nebylo </w:t>
            </w:r>
            <w:r>
              <w:rPr>
                <w:b/>
                <w:i/>
              </w:rPr>
              <w:t>třeba</w:t>
            </w:r>
            <w:r>
              <w:t>, aby transakce uvnitř skupiny BEFIT byly v souladu se zásadou obvyklých tržních podmínek. Výhodou by bylo využití novějších údajů z podávání zpráv podle jednotlivých zemí a informací získaných během přechodného období. Rovněž to umožní důkladnější posouzení dopadu, který by mělo mít zavedení dvoupilířového přístupu na vnitrostátní základy daně a základy daně skupin BEFIT. Tímto způsobem by stále bylo možné uskutečnit klíčový cíl daňové neutrality na vnitřním trhu, což by omezilo případy dvojího a nadměrného zdanění a zvýšilo daňovou jistotu s cílem snížit počet daňových sporů.</w:t>
            </w:r>
          </w:p>
        </w:tc>
        <w:tc>
          <w:tcPr>
            <w:tcW w:w="4876" w:type="dxa"/>
            <w:tcBorders>
              <w:top w:val="nil"/>
              <w:left w:val="nil"/>
              <w:bottom w:val="nil"/>
              <w:right w:val="nil"/>
            </w:tcBorders>
          </w:tcPr>
          <w:p>
            <w:pPr>
              <w:pStyle w:val="Normal6a"/>
            </w:pPr>
            <w:r>
              <w:t>(12)</w:t>
            </w:r>
            <w:r>
              <w:tab/>
            </w:r>
            <w:r>
              <w:t>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w:t>
            </w:r>
            <w:r>
              <w:rPr>
                <w:b/>
                <w:i/>
              </w:rPr>
              <w:t>.</w:t>
            </w:r>
            <w:r>
              <w:t xml:space="preserve"> </w:t>
            </w:r>
            <w:r>
              <w:rPr>
                <w:b/>
                <w:i/>
              </w:rPr>
              <w:t>Tento rámec by měl být pro podniky jednoduchý a neměl by pro ně představovat žádnou novou zátěž</w:t>
            </w:r>
            <w:r>
              <w:t xml:space="preserve">. Daňové úpravy účetních závěrek by vedly k předběžným daňovým výsledkům jednotlivých členů skupiny. Tyto výsledky by pak byly sloučeny, což by umožnilo úlevu při přeshraničních ztrátách mezi členy skupiny BEFIT, a následně by byl sloučený základ daně přidělen členům skupiny na základě přechodného pravidla pro přidělování; to by otevřelo cestu ke stálému mechanismu. </w:t>
            </w:r>
            <w:r>
              <w:rPr>
                <w:b/>
                <w:i/>
              </w:rPr>
              <w:t>Jeden rok před koncem přechodného období předloží Komise důkladný komplexní přezkum a posouzení dopadů, zejména pokud jde o interakci této směrnice se směrnicí (EU) 2022/2523 ze dne 14. prosince 2022, a pokud to bude považovat za nezbytné, navrhne nový legislativní návrh, který by mohl zavést</w:t>
            </w:r>
            <w:r>
              <w:t xml:space="preserve"> stálý mechanismus </w:t>
            </w:r>
            <w:r>
              <w:rPr>
                <w:b/>
                <w:i/>
              </w:rPr>
              <w:t>založený</w:t>
            </w:r>
            <w:r>
              <w:t xml:space="preserve"> na rozdělení podle vzorce</w:t>
            </w:r>
            <w:r>
              <w:rPr>
                <w:b/>
                <w:i/>
              </w:rPr>
              <w:t>, jenž by měl být prospěšný pro všechny členské státy</w:t>
            </w:r>
            <w:r>
              <w:t xml:space="preserve"> a díky </w:t>
            </w:r>
            <w:r>
              <w:rPr>
                <w:b/>
                <w:i/>
              </w:rPr>
              <w:t>kterému</w:t>
            </w:r>
            <w:r>
              <w:t xml:space="preserve"> by nebylo </w:t>
            </w:r>
            <w:r>
              <w:rPr>
                <w:b/>
                <w:i/>
              </w:rPr>
              <w:t>nutné</w:t>
            </w:r>
            <w:r>
              <w:t>, aby transakce uvnitř skupiny BEFIT byly v souladu se zásadou obvyklých tržních podmínek. Výhodou by bylo využití novějších údajů z podávání zpráv podle jednotlivých zemí a informací získaných během přechodného období. Rovněž to umožní důkladnější posouzení dopadu, který by mělo mít zavedení dvoupilířového přístupu na vnitrostátní základy daně a základy daně skupin BEFIT. Tímto způsobem by stále bylo možné uskutečnit klíčový cíl daňové neutrality na vnitřním trhu, což by omezilo případy dvojího a nadměrného zdanění a zvýšilo daňovou jistotu s cílem snížit počet daňových sporů.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 Daňové úpravy účetních závěrek by vedly k předběžným daňovým výsledkům jednotlivých členů skupiny. Tyto výsledky by pak byly sloučeny, což by umožnilo úlevu při přeshraničních ztrátách mezi členy skupiny BEFIT, a následně by byl sloučený základ daně přidělen členům skupiny na základě přechodného pravidla pro přidělování; to by otevřelo cestu ke stálému mechanismu. </w:t>
            </w:r>
            <w:r>
              <w:rPr>
                <w:b/>
                <w:i/>
              </w:rPr>
              <w:t>Tento stálý mechanismus by mohl být založen na rozdělení podle vzorce a díky němu by nebylo třeba, aby transakce uvnitř skupiny BEFIT byly v souladu se zásadou obvyklých tržních podmínek.</w:t>
            </w:r>
            <w:r>
              <w:t xml:space="preserve"> </w:t>
            </w:r>
            <w:r>
              <w:rPr>
                <w:b/>
                <w:i/>
              </w:rPr>
              <w:t>Výhodou by bylo využití novějších</w:t>
            </w:r>
            <w:r>
              <w:t xml:space="preserve"> údajů z podávání zpráv podle jednotlivých zemí a informací získaných během přechodného období. </w:t>
            </w:r>
            <w:r>
              <w:rPr>
                <w:b/>
                <w:i/>
              </w:rPr>
              <w:t>Rovněž to umožní důkladnější</w:t>
            </w:r>
            <w:r>
              <w:t xml:space="preserve"> posouzení </w:t>
            </w:r>
            <w:r>
              <w:rPr>
                <w:b/>
                <w:i/>
              </w:rPr>
              <w:t>dopadu</w:t>
            </w:r>
            <w:r>
              <w:t xml:space="preserve">, </w:t>
            </w:r>
            <w:r>
              <w:rPr>
                <w:b/>
                <w:i/>
              </w:rPr>
              <w:t>který by mělo mít zavedení dvoupilířového přístupu na vnitrostátní základy daně a základy daně skupin BEFIT.</w:t>
            </w:r>
            <w:r>
              <w:t xml:space="preserve"> </w:t>
            </w:r>
            <w:r>
              <w:rPr>
                <w:b/>
                <w:i/>
              </w:rPr>
              <w:t>Tímto způsobem by stále bylo možné uskutečnit klíčový cíl daňové neutrality na vnitřním trhu, což by omezilo případy dvojího a nadměrného zdanění a zvýšilo daňovou jistotu s cílem snížit počet daňových sporů</w:t>
            </w:r>
            <w:r>
              <w:t>.</w:t>
            </w:r>
          </w:p>
        </w:tc>
        <w:tc>
          <w:tcPr>
            <w:tcW w:w="4876" w:type="dxa"/>
            <w:tcBorders>
              <w:top w:val="nil"/>
              <w:left w:val="nil"/>
              <w:bottom w:val="nil"/>
              <w:right w:val="nil"/>
            </w:tcBorders>
          </w:tcPr>
          <w:p>
            <w:pPr>
              <w:pStyle w:val="Normal6a"/>
            </w:pPr>
            <w:r>
              <w:t>(12)</w:t>
            </w:r>
            <w:r>
              <w:tab/>
            </w:r>
            <w:r>
              <w:t xml:space="preserve">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 Daňové úpravy účetních závěrek by vedly k předběžným daňovým výsledkům jednotlivých členů skupiny. Tyto výsledky by pak byly sloučeny, což by umožnilo úlevu při přeshraničních ztrátách mezi členy skupiny BEFIT, a následně by byl sloučený základ daně přidělen členům skupiny na základě přechodného pravidla pro přidělování; to by otevřelo cestu ke stálému mechanismu. </w:t>
            </w:r>
            <w:r>
              <w:rPr>
                <w:b/>
                <w:i/>
              </w:rPr>
              <w:t>Koncepce stálého mechanismu by měla vycházet z</w:t>
            </w:r>
            <w:r>
              <w:t xml:space="preserve"> údajů z podávání zpráv podle jednotlivých zemí a </w:t>
            </w:r>
            <w:r>
              <w:rPr>
                <w:b/>
                <w:i/>
              </w:rPr>
              <w:t>z</w:t>
            </w:r>
            <w:r>
              <w:t xml:space="preserve"> informací získaných během přechodného období. </w:t>
            </w:r>
            <w:r>
              <w:rPr>
                <w:b/>
                <w:i/>
              </w:rPr>
              <w:t>Vzhledem k vyvíjející se mezinárodní situaci v oblasti daní a nejistému provádění prvního pilíře klíčovými jurisdikcemi je nezbytné, aby si Unie zachovala flexibilitu při vytváření autonomního, spravedlivého a ekonomicky vyváženého mechanismu přidělování.</w:t>
            </w:r>
            <w:r>
              <w:t xml:space="preserve"> </w:t>
            </w:r>
            <w:r>
              <w:rPr>
                <w:b/>
                <w:i/>
              </w:rPr>
              <w:t>Ačkoli sbližování s mezinárodními normami zůstává žádoucím cílem, podoba jakéhokoli budoucího vzorce pro přidělování BEFIT se musí řídit konkurenceschopností Unie, integritou vnitřního trhu a potřebou zajistit daňovou neutralitu.</w:t>
            </w:r>
            <w:r>
              <w:t xml:space="preserve"> </w:t>
            </w:r>
            <w:r>
              <w:rPr>
                <w:b/>
                <w:i/>
              </w:rPr>
              <w:t>Dobře nastavený přístup specifický pro EU, založený na ukazatelích skutečné hospodářské činnosti a na důkladném</w:t>
            </w:r>
            <w:r>
              <w:t xml:space="preserve"> posouzení </w:t>
            </w:r>
            <w:r>
              <w:rPr>
                <w:b/>
                <w:i/>
              </w:rPr>
              <w:t>dopadů</w:t>
            </w:r>
            <w:r>
              <w:t xml:space="preserve">, </w:t>
            </w:r>
            <w:r>
              <w:rPr>
                <w:b/>
                <w:i/>
              </w:rPr>
              <w:t>by mohl sloužit jako důvěryhodná alternativa, pokud by nebylo dosaženo celosvětového konsensu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 Daňové úpravy účetních závěrek by vedly k předběžným daňovým výsledkům jednotlivých členů skupiny. Tyto výsledky by pak byly sloučeny, což by umožnilo úlevu při přeshraničních ztrátách mezi členy skupiny BEFIT, a následně by byl sloučený základ daně přidělen členům skupiny na základě přechodného pravidla pro přidělování; to by otevřelo cestu ke stálému mechanismu. Tento stálý mechanismus by mohl být založen na rozdělení podle vzorce a díky němu by nebylo třeba, aby transakce uvnitř skupiny BEFIT byly v souladu se zásadou obvyklých tržních podmínek. Výhodou by bylo využití novějších údajů z podávání zpráv podle jednotlivých zemí a informací získaných během přechodného období. Rovněž to umožní důkladnější posouzení dopadu, který by mělo mít zavedení dvoupilířového přístupu na vnitrostátní základy daně a základy daně skupin BEFIT. Tímto způsobem by stále bylo možné uskutečnit klíčový cíl daňové neutrality na vnitřním trhu, což by omezilo případy dvojího a nadměrného zdanění a zvýšilo daňovou jistotu s cílem snížit počet daňových sporů.</w:t>
            </w:r>
          </w:p>
        </w:tc>
        <w:tc>
          <w:tcPr>
            <w:tcW w:w="4876" w:type="dxa"/>
            <w:tcBorders>
              <w:top w:val="nil"/>
              <w:left w:val="nil"/>
              <w:bottom w:val="nil"/>
              <w:right w:val="nil"/>
            </w:tcBorders>
          </w:tcPr>
          <w:p>
            <w:pPr>
              <w:pStyle w:val="Normal6a"/>
            </w:pPr>
            <w:r>
              <w:t>(12)</w:t>
            </w:r>
            <w:r>
              <w:tab/>
            </w:r>
            <w:r>
              <w:t>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w:t>
            </w:r>
            <w:r>
              <w:rPr>
                <w:b/>
                <w:i/>
              </w:rPr>
              <w:t>.</w:t>
            </w:r>
            <w:r>
              <w:t xml:space="preserve"> </w:t>
            </w:r>
            <w:r>
              <w:rPr>
                <w:b/>
                <w:i/>
              </w:rPr>
              <w:t>Tento rámec by měl být navržen tak, aby byl pro podniky jednoduchý a intuitivní a neměl by pro ně představovat novou zátěž</w:t>
            </w:r>
            <w:r>
              <w:t>. Daňové úpravy účetních závěrek by vedly k předběžným daňovým výsledkům jednotlivých členů skupiny. Tyto výsledky by pak byly sloučeny, což by umožnilo úlevu při přeshraničních ztrátách mezi členy skupiny BEFIT, a následně by byl sloučený základ daně přidělen členům skupiny na základě přechodného pravidla pro přidělování; to by otevřelo cestu ke stálému mechanismu. Tento stálý mechanismus by mohl být založen na rozdělení podle vzorce a díky němu by nebylo třeba, aby transakce uvnitř skupiny BEFIT byly v souladu se zásadou obvyklých tržních podmínek. Výhodou by bylo využití novějších údajů z podávání zpráv podle jednotlivých zemí a informací získaných během přechodného období. Rovněž to umožní důkladnější posouzení dopadu, který by mělo mít zavedení dvoupilířového přístupu na vnitrostátní základy daně a základy daně skupin BEFIT. Tímto způsobem by stále bylo možné uskutečnit klíčový cíl daňové neutrality na vnitřním trhu, což by omezilo případy dvojího a nadměrného zdanění a zvýšilo daňovou jistotu s cílem snížit počet daňových sporů.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Jaroslava Pokorná Jermanová, Ondřej Knotek, Jaroslav Bžoch, Tomáš Kubín, Jana Nagyová, Enikő Győri, Jorge Martín Frías, Pierre Pimpie, Klara Dostalova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 Daňové úpravy účetních závěrek by vedly k předběžným daňovým výsledkům jednotlivých členů skupiny. Tyto výsledky by pak byly sloučeny, což by umožnilo úlevu při přeshraničních ztrátách mezi členy skupiny BEFIT, a následně by byl sloučený základ daně přidělen členům skupiny na základě přechodného pravidla pro přidělování; to by otevřelo cestu ke stálému mechanismu. Tento stálý mechanismus by mohl být založen na rozdělení podle vzorce a díky němu by nebylo třeba, aby transakce uvnitř skupiny BEFIT byly v souladu se zásadou obvyklých tržních podmínek. Výhodou by bylo využití novějších údajů z podávání zpráv podle jednotlivých zemí a informací získaných během přechodného období. Rovněž to umožní důkladnější posouzení dopadu, který by mělo mít zavedení dvoupilířového přístupu na vnitrostátní základy daně a základy daně skupin BEFIT. Tímto způsobem by stále bylo možné uskutečnit klíčový cíl daňové neutrality na vnitřním trhu, což by omezilo případy dvojího a nadměrného zdanění a zvýšilo daňovou jistotu s cílem snížit počet daňových sporů.</w:t>
            </w:r>
          </w:p>
        </w:tc>
        <w:tc>
          <w:tcPr>
            <w:tcW w:w="4876" w:type="dxa"/>
            <w:tcBorders>
              <w:top w:val="nil"/>
              <w:left w:val="nil"/>
              <w:bottom w:val="nil"/>
              <w:right w:val="nil"/>
            </w:tcBorders>
          </w:tcPr>
          <w:p>
            <w:pPr>
              <w:pStyle w:val="Normal6a"/>
            </w:pPr>
            <w:r>
              <w:t>(12)</w:t>
            </w:r>
            <w:r>
              <w:tab/>
            </w:r>
            <w:r>
              <w:t xml:space="preserve">Aby bylo dosaženo klíčového cíle, kterým je vytvoření zjednodušeného rámce daně z příjmů právnických osob, měly by být předběžné daňové výsledky za každého člena skupiny sloučeny do jednoho společného základu daně, aby bylo možné jej následně přidělit způsobilým členům skupiny. Daňové úpravy účetních závěrek by vedly k předběžným daňovým výsledkům jednotlivých členů skupiny. Tyto výsledky by pak byly sloučeny, což by umožnilo úlevu při přeshraničních ztrátách mezi členy skupiny BEFIT, a následně by byl sloučený základ daně přidělen členům skupiny na základě přechodného pravidla pro přidělování; to by otevřelo cestu ke stálému mechanismu. Tento stálý mechanismus by mohl být založen na rozdělení podle vzorce a díky němu by nebylo třeba, aby transakce uvnitř skupiny BEFIT byly v souladu se zásadou obvyklých tržních podmínek. Výhodou by bylo využití novějších údajů z podávání zpráv podle jednotlivých zemí a informací získaných během přechodného období. Rovněž to umožní důkladnější posouzení dopadu, který by mělo mít zavedení dvoupilířového přístupu na vnitrostátní základy daně a základy daně skupin BEFIT. Tímto způsobem by stále bylo možné uskutečnit klíčový cíl daňové neutrality na vnitřním trhu, což by omezilo případy dvojího a nadměrného zdanění a zvýšilo daňovou jistotu s cílem snížit počet daňových sporů. </w:t>
            </w:r>
            <w:r>
              <w:rPr>
                <w:b/>
                <w:i/>
              </w:rPr>
              <w:t>Ani společný rámec stanovený touto směrnicí ani žádný stálý mechanismus přidělování nebude použit k přímému ani nepřímému vytváření nových vlastních zdrojů pro rozpočet Unie. Rozdělení příjmů podle této směrnice plně respektuje fiskální suverenitu členských států.</w:t>
            </w:r>
            <w:r>
              <w:t xml:space="preserve"> </w:t>
            </w:r>
            <w:r>
              <w:rPr>
                <w:b/>
                <w:i/>
              </w:rPr>
              <w:t>Směrnice nepovolí Unii stanovit, vybírat nebo přizpůsobovat příjmy z daně z příjmů právnických osob jako vlastní zdroje Unie.</w:t>
            </w:r>
            <w:r>
              <w:t xml:space="preserve"> </w:t>
            </w:r>
            <w:r>
              <w:rPr>
                <w:b/>
                <w:i/>
              </w:rPr>
              <w:t>Veškeré příjmy z daně z příjmů právnických osob vytvořené na základě tohoto rámce zůstávají v pravomoci a vlastnictví dotčených členských států.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Význam jednoduchosti rovněž naznačuje minimalizaci faktorů používaných pro rozdělení.</w:t>
            </w:r>
            <w:r>
              <w:t xml:space="preserve"> </w:t>
            </w:r>
            <w:r>
              <w:rPr>
                <w:b/>
                <w:i/>
              </w:rPr>
              <w:t>Na základě mezinárodních zkušeností, jako jsou Spojené státy a Kanada, se alokační vzorec skládá ze dvou faktorů:</w:t>
            </w:r>
            <w:r>
              <w:t xml:space="preserve"> </w:t>
            </w:r>
            <w:r>
              <w:rPr>
                <w:b/>
                <w:i/>
              </w:rPr>
              <w:t>zaměstnanosti a nesouvisejících příjmů třetích stran.</w:t>
            </w:r>
            <w:r>
              <w:t xml:space="preserve"> </w:t>
            </w:r>
            <w:r>
              <w:rPr>
                <w:b/>
                <w:i/>
              </w:rPr>
              <w:t>Hmotná a nehmotná aktiva byla vyloučena, neboť mezi podniky existují značné rozdíly, pokud jde o jejich potřebu hmotných aktiv.</w:t>
            </w:r>
            <w:r>
              <w:t xml:space="preserve"> </w:t>
            </w:r>
            <w:r>
              <w:rPr>
                <w:b/>
                <w:i/>
              </w:rPr>
              <w:t>Ekonomové tvrdili, že zahrnutí aktiv do vzorce by zejména odrazovalo od kapitálových investic do aktiv.</w:t>
            </w:r>
            <w:r>
              <w:t xml:space="preserve"> </w:t>
            </w:r>
            <w:r>
              <w:rPr>
                <w:b/>
                <w:i/>
              </w:rPr>
              <w:t>Růst služeb a větší význam kvalifikované a intelektuální práce v mnoha odvětvích prohloubily propast mezi těmito službami a podniky, které stále ve velké míře investují do hmotného majetku.</w:t>
            </w:r>
            <w:r>
              <w:t xml:space="preserve"> </w:t>
            </w:r>
            <w:r>
              <w:rPr>
                <w:b/>
                <w:i/>
              </w:rPr>
              <w:t>V některých odvětvích jsou i nákladná hmotná aktiva mobilní, například doprava a stavebnictví, v důsledku čehož by bylo složitější vázat tyto investice na konkrétní zeměpisné oblasti.</w:t>
            </w:r>
            <w:r>
              <w:t xml:space="preserve"> </w:t>
            </w:r>
            <w:r>
              <w:rPr>
                <w:b/>
                <w:i/>
              </w:rPr>
              <w:t>Značné obtíže jsou také spojeny s oceňováním dlouhodobých aktiv.</w:t>
            </w:r>
            <w:r>
              <w:t xml:space="preserve"> </w:t>
            </w:r>
            <w:r>
              <w:rPr>
                <w:b/>
                <w:i/>
              </w:rPr>
              <w:t>Tyto úvahy spolu s potřebou jednoduchosti podporují argument dvoufaktorového vzorce založeného na zaměstnancích a příjmech.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Přidělení konsolidovaného základu daně podle této směrnice by mělo odrážet fakt, kde hospodářská hodnota v rámci vnitřního trhu skutečně vzniká, a to na základě důkladného posouzení distribučních, správních a právních důsledků takového mechanismu.</w:t>
            </w:r>
            <w:r>
              <w:t xml:space="preserve"> </w:t>
            </w:r>
            <w:r>
              <w:rPr>
                <w:b/>
                <w:i/>
              </w:rPr>
              <w:t>To by podpořilo vyváženější a ekonomicky přesnější rozdělení konsolidovaného základu daně v rámci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V případě, že tato směrnice nebude přijata a obecněji, nebude-li existovat celosvětová dohoda o provádění prvního pilíře inkluzivního rámce OECD/G20 nebo o zřízení stálého přidělovacího mechanismu na úrovni Unie po uplynutí přechodného období, členské státy by si měly ponechat možnost zavádět prozatímní vnitrostátní opatření zaměřená na zajištění spravedlivého a účinného zdanění nadnárodních podniků působících na jejich území.</w:t>
            </w:r>
            <w:r>
              <w:t xml:space="preserve"> </w:t>
            </w:r>
            <w:r>
              <w:rPr>
                <w:b/>
                <w:i/>
              </w:rPr>
              <w:t>Tato opatření musí být i nadále v souladu s právem Unie a zásadami vnitřního trhu.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Během tříleté „zkušební“ fáze by Komise měla provést komplexní přezkum pravidla pro přidělování, v jehož rámci vypracuje studii o složení a váze vzorce a do konce třetího rozpočtového roku předloží Radě zprávu.</w:t>
            </w:r>
            <w:r>
              <w:t xml:space="preserve"> </w:t>
            </w:r>
            <w:r>
              <w:rPr>
                <w:b/>
                <w:i/>
              </w:rPr>
              <w:t>Bude-li to Komise považovat za vhodné a s přihlédnutím k závěrům této zprávy, mohla by přijmout legislativní návrh na změnu této směrnice zavedením jiné metody pro přidělování základu daně BEFIT.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(13)</w:t>
            </w:r>
            <w:r>
              <w:tab/>
            </w:r>
            <w:r>
              <w:rPr>
                <w:b/>
                <w:i/>
              </w:rPr>
              <w:t>Sloučení daňových výsledků členů skupiny by nebylo vhodným opatřením pro některá odvětví, jako jsou těžební činnosti a mezinárodní námořní doprava, vnitrozemská vodní doprava a letecká doprava.</w:t>
            </w:r>
            <w:r>
              <w:t xml:space="preserve"> </w:t>
            </w:r>
            <w:r>
              <w:rPr>
                <w:b/>
                <w:i/>
              </w:rPr>
              <w:t>Proto by bylo důležité tyto subjekty ze slučování vyloučit, protože jejich vlastnosti nejsou do těchto souvislostí vhodné.</w:t>
            </w:r>
            <w:r>
              <w:t xml:space="preserve"> </w:t>
            </w:r>
            <w:r>
              <w:rPr>
                <w:b/>
                <w:i/>
              </w:rPr>
              <w:t>Jakákoli částka zisku nebo ztráty společností, které působí v oblasti mezinárodní dopravy, na kterou se nevztahuje režim daně z tonáže (a je tedy vyloučena z předběžných daňových výsledků), by musela být ze slučování vyňata a vypočítávala by se podle společných pravidel pro daň z příjmů právnických osob.</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Sloučení daňových výsledků členů skupiny by nebylo vhodným opatřením pro některá odvětví, jako jsou těžební činnosti </w:t>
            </w:r>
            <w:r>
              <w:rPr>
                <w:b/>
                <w:i/>
              </w:rPr>
              <w:t>a mezinárodní námořní doprava, vnitrozemská vodní doprava a letecká doprava</w:t>
            </w:r>
            <w:r>
              <w:t xml:space="preserve">. Proto by bylo důležité tyto subjekty ze slučování vyloučit, protože jejich vlastnosti nejsou do těchto souvislostí vhodné. </w:t>
            </w:r>
            <w:r>
              <w:rPr>
                <w:b/>
                <w:i/>
              </w:rPr>
              <w:t>Jakákoli částka zisku nebo ztráty společností, které působí v oblasti mezinárodní dopravy, na kterou se nevztahuje režim daně z tonáže (a je tedy vyloučena z předběžných daňových výsledků), by musela být ze slučování vyňata a vypočítávala by se podle společných pravidel pro daň z příjmů právnických osob.</w:t>
            </w:r>
          </w:p>
        </w:tc>
        <w:tc>
          <w:tcPr>
            <w:tcW w:w="4876" w:type="dxa"/>
            <w:tcBorders>
              <w:top w:val="nil"/>
              <w:left w:val="nil"/>
              <w:bottom w:val="nil"/>
              <w:right w:val="nil"/>
            </w:tcBorders>
          </w:tcPr>
          <w:p>
            <w:pPr>
              <w:pStyle w:val="Normal6a"/>
            </w:pPr>
            <w:r>
              <w:t>(13)</w:t>
            </w:r>
            <w:r>
              <w:tab/>
            </w:r>
            <w:r>
              <w:t>Sloučení daňových výsledků členů skupiny by nebylo vhodným opatřením pro některá odvětví, jako jsou těžební činnosti. Proto by bylo důležité tyto subjekty ze slučování vyloučit, protože jejich vlastnosti nejsou do těchto souvislostí vhodné.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Sloučení daňových výsledků členů skupiny by nebylo vhodným opatřením pro některá odvětví, jako jsou těžební činnosti a mezinárodní námořní doprava, vnitrozemská vodní doprava a letecká doprava. Proto by bylo důležité tyto subjekty ze slučování vyloučit, protože jejich vlastnosti nejsou do těchto souvislostí vhodné. Jakákoli částka zisku nebo ztráty společností, které působí v oblasti mezinárodní dopravy, na kterou se nevztahuje režim daně z tonáže (a je tedy vyloučena z předběžných daňových výsledků), by musela být ze slučování vyňata a vypočítávala by se podle společných pravidel pro daň z příjmů právnických osob.</w:t>
            </w:r>
          </w:p>
        </w:tc>
        <w:tc>
          <w:tcPr>
            <w:tcW w:w="4876" w:type="dxa"/>
            <w:tcBorders>
              <w:top w:val="nil"/>
              <w:left w:val="nil"/>
              <w:bottom w:val="nil"/>
              <w:right w:val="nil"/>
            </w:tcBorders>
          </w:tcPr>
          <w:p>
            <w:pPr>
              <w:pStyle w:val="Normal6a"/>
            </w:pPr>
            <w:r>
              <w:t>(13)</w:t>
            </w:r>
            <w:r>
              <w:tab/>
            </w:r>
            <w:r>
              <w:t xml:space="preserve">Sloučení daňových výsledků členů skupiny by nebylo vhodným opatřením pro některá odvětví, jako jsou těžební činnosti a mezinárodní námořní doprava, vnitrozemská vodní doprava a letecká doprava </w:t>
            </w:r>
            <w:r>
              <w:rPr>
                <w:b/>
                <w:i/>
              </w:rPr>
              <w:t>a finanční služby</w:t>
            </w:r>
            <w:r>
              <w:t>. Proto by bylo důležité tyto subjekty ze slučování vyloučit, protože jejich vlastnosti nejsou do těchto souvislostí vhodné. Jakákoli částka zisku nebo ztráty společností, které působí v oblasti mezinárodní dopravy, na kterou se nevztahuje režim daně z tonáže (a je tedy vyloučena z předběžných daňových výsledků), by musela být ze slučování vyňata a vypočítávala by se podle společných pravidel pro daň z příjmů právnických osob.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Aby byl zajištěn prostor pro růst a investice, mohly by členské státy rovněž individuálně uplatňovat po přidělení dodatečné úpravy (např. zdanění příspěvků na důchodové pojištění) v oblastech, na které se nevztahuje společný rámec.</w:t>
            </w:r>
            <w:r>
              <w:t xml:space="preserve"> </w:t>
            </w:r>
            <w:r>
              <w:rPr>
                <w:b/>
                <w:i/>
              </w:rPr>
              <w:t>Členské státy by rovněž mohly svůj přidělený podíl dále upravovat bez stanovení stropu, aby se zajistilo, že budou moci rozhodovat o svých vnitrostátních politikách v této oblasti.</w:t>
            </w:r>
            <w:r>
              <w:t xml:space="preserve"> </w:t>
            </w:r>
            <w:r>
              <w:rPr>
                <w:b/>
                <w:i/>
              </w:rPr>
              <w:t>Nejdůležitější je, že směrnice (EU) 2022/2523 by fakticky stanovila strop, který by účinně zajistil, aby efektivní daňová sazba činila alespoň 15 %.</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rPr>
                <w:b/>
                <w:i/>
              </w:rPr>
              <w:t>Aby byl zajištěn prostor pro růst a investice, mohly by</w:t>
            </w:r>
            <w:r>
              <w:t xml:space="preserve"> členské státy rovněž individuálně uplatňovat po přidělení dodatečné úpravy (např. zdanění příspěvků na důchodové pojištění) v oblastech, na které se nevztahuje společný rámec. Členské státy by rovněž mohly svůj přidělený podíl dále upravovat bez stanovení stropu, aby se zajistilo, že budou moci rozhodovat o svých vnitrostátních politikách v této oblasti. Nejdůležitější je, že směrnice (EU) 2022/2523 by fakticky stanovila strop, který by účinně zajistil, aby efektivní daňová sazba činila alespoň 15 %.</w:t>
            </w:r>
          </w:p>
        </w:tc>
        <w:tc>
          <w:tcPr>
            <w:tcW w:w="4876" w:type="dxa"/>
            <w:tcBorders>
              <w:top w:val="nil"/>
              <w:left w:val="nil"/>
              <w:bottom w:val="nil"/>
              <w:right w:val="nil"/>
            </w:tcBorders>
          </w:tcPr>
          <w:p>
            <w:pPr>
              <w:pStyle w:val="Normal6a"/>
            </w:pPr>
            <w:r>
              <w:t>(14)</w:t>
            </w:r>
            <w:r>
              <w:tab/>
            </w:r>
            <w:r>
              <w:t xml:space="preserve">Členské státy </w:t>
            </w:r>
            <w:r>
              <w:rPr>
                <w:b/>
                <w:i/>
              </w:rPr>
              <w:t>by</w:t>
            </w:r>
            <w:r>
              <w:t xml:space="preserve"> rovněž </w:t>
            </w:r>
            <w:r>
              <w:rPr>
                <w:b/>
                <w:i/>
              </w:rPr>
              <w:t>mohly</w:t>
            </w:r>
            <w:r>
              <w:t xml:space="preserve"> individuálně uplatňovat po přidělení dodatečné úpravy (např. zdanění příspěvků na důchodové pojištění) v oblastech, na které se nevztahuje společný rámec. Členské státy by rovněž mohly svůj přidělený podíl dále upravovat bez stanovení stropu, aby se zajistilo, že budou moci rozhodovat o svých vnitrostátních politikách v této oblasti. Nejdůležitější je, že směrnice (EU) 2022/2523 by fakticky stanovila strop, který by účinně zajistil, aby efektivní daňová sazba činila alespoň 15 %. </w:t>
            </w:r>
            <w:r>
              <w:rPr>
                <w:b/>
                <w:i/>
              </w:rPr>
              <w:t>Úprava po přidělení by se měla zaměřit na pobídky s uplatněním daně na vstupu.</w:t>
            </w:r>
            <w:r>
              <w:t xml:space="preserve"> </w:t>
            </w:r>
            <w:r>
              <w:rPr>
                <w:b/>
                <w:i/>
              </w:rPr>
              <w:t>Členské státy by se měly zdržet poskytování daňových pobídek s uplatněním daně na výstupu, jako v případě daňových režimů pro příjmy z patentů a jiných režimů duševního vlastnictví.</w:t>
            </w:r>
            <w:r>
              <w:t xml:space="preserve"> </w:t>
            </w:r>
            <w:r>
              <w:rPr>
                <w:b/>
                <w:i/>
              </w:rPr>
              <w:t>Kromě toho by měl každý členský stát zveřejnit podrobné informace o dopadu daňových výdajů na příjmy, které jsou povinné podle článku 14 směrnice (EU) 2011/84.</w:t>
            </w:r>
            <w:r>
              <w:t xml:space="preserve"> </w:t>
            </w:r>
            <w:r>
              <w:rPr>
                <w:b/>
                <w:i/>
              </w:rPr>
              <w:t>Každý daňový výdaj by měl být přinejmenším spojen s jedním nebo několika cíli politiky, měl by uvádět cílové příjemce a odhadnout, o kolik příjmů se přišlo.</w:t>
            </w:r>
            <w:r>
              <w:t xml:space="preserve"> </w:t>
            </w:r>
            <w:r>
              <w:rPr>
                <w:b/>
                <w:i/>
              </w:rPr>
              <w:t>Dále se členským státům doporučuje, aby v souvislosti s ekologickou transformací zavedly kvalitativní složku s cílem zajistit minimální soudržnost s cíli udržitelného rozvoje.</w:t>
            </w:r>
            <w:r>
              <w:t xml:space="preserve"> </w:t>
            </w:r>
            <w:r>
              <w:rPr>
                <w:b/>
                <w:i/>
              </w:rPr>
              <w:t>Členské státy by například mohly provádět hodnocení udržitelnosti týkající se úprav, které se vztahují na jejich přidělený podíl.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Aby byl zajištěn prostor pro růst a investice, mohly by členské státy rovněž individuálně uplatňovat po přidělení dodatečné úpravy (např. zdanění příspěvků na důchodové pojištění) v oblastech, na které se nevztahuje společný rámec. Členské státy by rovněž mohly svůj přidělený podíl dále upravovat bez stanovení stropu, aby se zajistilo, že budou moci rozhodovat o svých vnitrostátních politikách v této oblasti. Nejdůležitější je, že směrnice (EU) 2022/2523 by fakticky stanovila strop, který by účinně zajistil, aby efektivní daňová sazba činila alespoň 15 %.</w:t>
            </w:r>
          </w:p>
        </w:tc>
        <w:tc>
          <w:tcPr>
            <w:tcW w:w="4876" w:type="dxa"/>
            <w:tcBorders>
              <w:top w:val="nil"/>
              <w:left w:val="nil"/>
              <w:bottom w:val="nil"/>
              <w:right w:val="nil"/>
            </w:tcBorders>
          </w:tcPr>
          <w:p>
            <w:pPr>
              <w:pStyle w:val="Normal6a"/>
            </w:pPr>
            <w:r>
              <w:t>(14)</w:t>
            </w:r>
            <w:r>
              <w:tab/>
            </w:r>
            <w:r>
              <w:t>Aby byl zajištěn prostor pro růst a investice, mohly by členské státy rovněž individuálně uplatňovat po přidělení dodatečné úpravy (např. zdanění příspěvků na důchodové pojištění) v oblastech, na které se nevztahuje společný rámec. Členské státy by rovněž mohly svůj přidělený podíl dále upravovat bez stanovení stropu, aby se zajistilo, že budou moci rozhodovat o svých vnitrostátních politikách v této oblasti. Nejdůležitější je, že směrnice (EU) 2022/2523 by fakticky stanovila strop, který by účinně zajistil, aby efektivní daňová sazba činila alespoň 15 %</w:t>
            </w:r>
            <w:r>
              <w:rPr>
                <w:b/>
                <w:i/>
              </w:rPr>
              <w:t>, jak je stanoveno v rámci OECD</w:t>
            </w:r>
            <w:r>
              <w:t xml:space="preserve">. </w:t>
            </w:r>
            <w:r>
              <w:rPr>
                <w:b/>
                <w:i/>
              </w:rPr>
              <w:t>Členské státy by měly mít možnost stanovit určité právní rozsahy tak, aby si navzájem konkurovaly v oblasti daní, a tím směřovaly k účinnému využívání zdrojů, stimulovaly investice a vytvářely pracovní místa.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S cílem podnítit investice k dosažení cílů OSN v oblasti udržitelného rozvoje a reagovat na klimatickou krizi jsou členské státy motivovány k přijetí pravidel pro zrychlené odpisování na vnitrostátní úrovni.</w:t>
            </w:r>
            <w:r>
              <w:t xml:space="preserve"> </w:t>
            </w:r>
            <w:r>
              <w:rPr>
                <w:b/>
                <w:i/>
              </w:rPr>
              <w:t>Tato pravidla mají zásadní význam pro rychlou ekologickou transformaci, sladění hospodářských pobídek s environmentálními cíli a zároveň řešení sociálních nerovností a zmírnění chudoby.</w:t>
            </w:r>
            <w:r>
              <w:t xml:space="preserve"> </w:t>
            </w:r>
            <w:r>
              <w:rPr>
                <w:b/>
                <w:i/>
              </w:rPr>
              <w:t>Stimulují hospodářský růst, vytvářejí pracovní místa a podporují inovace v oblasti udržitelných technologií.</w:t>
            </w:r>
            <w:r>
              <w:t xml:space="preserve"> </w:t>
            </w:r>
            <w:r>
              <w:rPr>
                <w:b/>
                <w:i/>
              </w:rPr>
              <w:t>Podporou zelených investic urychlují pokrok v oblasti čisté energie, obnovy biologické rozmanitosti a dodávek vody a odolnou infrastrukturu.</w:t>
            </w:r>
            <w:r>
              <w:t xml:space="preserve"> </w:t>
            </w:r>
            <w:r>
              <w:rPr>
                <w:b/>
                <w:i/>
              </w:rPr>
              <w:t>Členské státy by měly hrát vedoucí úlohu v oblasti udržitelnosti, která v konečném důsledku zvýší odolnost a konkurenceschopnost vnitřního trhu.</w:t>
            </w:r>
            <w:r>
              <w:t xml:space="preserve"> </w:t>
            </w:r>
            <w:r>
              <w:rPr>
                <w:b/>
                <w:i/>
              </w:rPr>
              <w:t>Cílem této směrnice je zároveň odrazovat od dalších investic do dlouhodobých aktiv v rámci činností souvisejících s fosilními palivy a do dlouhodobých aktiv s vysokým obsahem uhlíku, a to jak při jejich výrobě, tak při používání.</w:t>
            </w:r>
            <w:r>
              <w:t xml:space="preserve"> </w:t>
            </w:r>
            <w:r>
              <w:rPr>
                <w:b/>
                <w:i/>
              </w:rPr>
              <w:t>V zájmu uvedení těchto pobídek a odrazujících opatření do praxe je Komise pověřena přijímáním prováděcích aktů.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Ačkoli tato směrnice stanoví společný rámec pro určování a přidělování daňového základu skupin společností, nemá dopad na svrchované právo členských států určovat své vnitrostátní sazby daně z příjmu právnických osob a daňové pobídky.</w:t>
            </w:r>
            <w:r>
              <w:t xml:space="preserve"> </w:t>
            </w:r>
            <w:r>
              <w:rPr>
                <w:b/>
                <w:i/>
              </w:rPr>
              <w:t>Členské státy by měly mít i nadále plnou pravomoc uplatňovat daňové úlevy, jako jsou pobídky pro činnosti v oblasti výzkumu a vývoje, z části přiděleného základu daně.</w:t>
            </w:r>
            <w:r>
              <w:t xml:space="preserve"> </w:t>
            </w:r>
            <w:r>
              <w:rPr>
                <w:b/>
                <w:i/>
              </w:rPr>
              <w:t>Propojení společných pravidel a vnitrostátních pobídek by mělo být zachováno, aby byl zachován politický prostor pro podporu inovací a dalších vnitrostátních priorit.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V některých členských státech fungují systémy daně z příjmů právnických osob, které jsou postaveny na zásadách odlišných od nejběžnějšího přístupu, jako jsou systémy daně založené na distribuci. Je proto velmi důležité provést nezbytné úpravy, aby byla zajištěna funkční interakce s těmito systémy. Řešení lze hledat v určitých úpravách po přidělení. To by znamenalo, že část, která by byla přidělena členovi skupiny v rámci systému založeného na distribuci, by musela být upravena v poměru k distribucím provedeným během účetního roku. Podstata daňového systému založeného na distribuci by byla plně zachována, protože distribuce představuje časový bod pro zdanění přidělené části a podle toho by se určilo, kolik z ní bude třeba zdanit. V tomto ohledu by se mělo počítat s mechanismem převádění, aby se zajistilo, že přidělená část, která není zdaněna v běžném roce, bude zdaněna v následujících letech.</w:t>
            </w:r>
          </w:p>
        </w:tc>
        <w:tc>
          <w:tcPr>
            <w:tcW w:w="4876" w:type="dxa"/>
            <w:tcBorders>
              <w:top w:val="nil"/>
              <w:left w:val="nil"/>
              <w:bottom w:val="nil"/>
              <w:right w:val="nil"/>
            </w:tcBorders>
          </w:tcPr>
          <w:p>
            <w:pPr>
              <w:pStyle w:val="Normal6a"/>
            </w:pPr>
            <w:r>
              <w:t>(15)</w:t>
            </w:r>
            <w:r>
              <w:tab/>
            </w:r>
            <w:r>
              <w:t>V některých členských státech fungují systémy daně z příjmů právnických osob, které jsou postaveny na zásadách odlišných od nejběžnějšího přístupu, jako jsou systémy daně založené na distribuci. Je proto velmi důležité provést nezbytné úpravy, aby byla zajištěna funkční interakce s těmito systémy</w:t>
            </w:r>
            <w:r>
              <w:rPr>
                <w:b/>
                <w:i/>
              </w:rPr>
              <w:t>, a nikoli vytvářet rozpor mezi oběma systémy, který by odrazoval od zakládání podniků v důsledku byrokratické zátěže, kterou vytváří</w:t>
            </w:r>
            <w:r>
              <w:t>. Řešení lze hledat v určitých úpravách po přidělení. To by znamenalo, že část, která by byla přidělena členovi skupiny v rámci systému založeného na distribuci, by musela být upravena v poměru k distribucím provedeným během účetního roku. Podstata daňového systému založeného na distribuci by byla plně zachována, protože distribuce představuje časový bod pro zdanění přidělené části a podle toho by se určilo, kolik z ní bude třeba zdanit. V tomto ohledu by se mělo počítat s mechanismem převádění, aby se zajistilo, že přidělená část, která není zdaněna v běžném roce, bude zdaněna v následujících letech.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(16)</w:t>
            </w:r>
            <w:r>
              <w:tab/>
            </w:r>
            <w:r>
              <w:rPr>
                <w:b/>
                <w:i/>
              </w:rPr>
              <w:t>Vzhledem k tomu, že vztahy uvnitř skupiny představují pouze část obchodní činnosti skupiny společností, představují transakce mezi členy skupiny a přidruženými podniky mimo skupinu další podstatný aspekt, na který je třeba se zaměřit.</w:t>
            </w:r>
            <w:r>
              <w:t xml:space="preserve"> </w:t>
            </w:r>
            <w:r>
              <w:rPr>
                <w:b/>
                <w:i/>
              </w:rPr>
              <w:t>Pro řešení tohoto vnějšího aspektu a vzhledem k tomu, že v poslední době značně vzrostl počet sporů týkajících se převodních cen, zejména pokud jde o cenové úvahy u běžných činností, by bylo velmi užitečné stanovit zjednodušený přístup k dodržování pravidel pro stanovování převodních cen, který by snížil náklady podniků na dodržování předpisů a zvýšil efektivitu daňových správ při využívání lidského kapitálu.</w:t>
            </w:r>
            <w:r>
              <w:t xml:space="preserve"> </w:t>
            </w:r>
            <w:r>
              <w:rPr>
                <w:b/>
                <w:i/>
              </w:rPr>
              <w:t>Za tímto účelem by bylo důležité zavést společný rámec pro posuzování rizik v oblasti stanovování převodních cen na základě obecně přijímané srovnávací analýzy.</w:t>
            </w:r>
            <w:r>
              <w:t xml:space="preserve"> </w:t>
            </w:r>
            <w:r>
              <w:rPr>
                <w:b/>
                <w:i/>
              </w:rPr>
              <w:t>Toto posouzení by zkoumalo rozpětí zisku před započtením úroků a daní u subjektů, které působí nezávisle v rámci vnitřního trhu.</w:t>
            </w:r>
            <w:r>
              <w:t xml:space="preserve"> </w:t>
            </w:r>
            <w:r>
              <w:rPr>
                <w:b/>
                <w:i/>
              </w:rPr>
              <w:t>Takto získané ukazatele zisku by pak měly být zveřejněny, aby mohly být použity jako nástroj pro vlastní posouzení rizik a umožnily skupinám působícím na vnitřním trhu předem se seznámit s obvyklými (tržními) podmínkami, kterých by měly dosáhnout při transakcích se sdruženými podniky.</w:t>
            </w:r>
            <w:r>
              <w:t xml:space="preserve"> </w:t>
            </w:r>
            <w:r>
              <w:rPr>
                <w:b/>
                <w:i/>
              </w:rPr>
              <w:t>Každá transakce v oblasti působnosti systému by měla být vyhodnocena jako transakce s nízkým, středním nebo vysokým rizikem na základě srovnání s ukazateli zisku, které budou stanoveny prováděcím aktem a zveřejněny na internetových stránkách Komise.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Guillaume Peltier</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(16)</w:t>
            </w:r>
            <w:r>
              <w:tab/>
            </w:r>
            <w:r>
              <w:rPr>
                <w:b/>
                <w:i/>
              </w:rPr>
              <w:t>Vzhledem k tomu, že vztahy uvnitř skupiny představují pouze část obchodní činnosti skupiny společností, představují transakce mezi členy skupiny a přidruženými podniky mimo skupinu další podstatný aspekt, na který je třeba se zaměřit.</w:t>
            </w:r>
            <w:r>
              <w:t xml:space="preserve"> </w:t>
            </w:r>
            <w:r>
              <w:rPr>
                <w:b/>
                <w:i/>
              </w:rPr>
              <w:t>Pro řešení tohoto vnějšího aspektu a vzhledem k tomu, že v poslední době značně vzrostl počet sporů týkajících se převodních cen, zejména pokud jde o cenové úvahy u běžných činností, by bylo velmi užitečné stanovit zjednodušený přístup k dodržování pravidel pro stanovování převodních cen, který by snížil náklady podniků na dodržování předpisů a zvýšil efektivitu daňových správ při využívání lidského kapitálu.</w:t>
            </w:r>
            <w:r>
              <w:t xml:space="preserve"> </w:t>
            </w:r>
            <w:r>
              <w:rPr>
                <w:b/>
                <w:i/>
              </w:rPr>
              <w:t>Za tímto účelem by bylo důležité zavést společný rámec pro posuzování rizik v oblasti stanovování převodních cen na základě obecně přijímané srovnávací analýzy.</w:t>
            </w:r>
            <w:r>
              <w:t xml:space="preserve"> </w:t>
            </w:r>
            <w:r>
              <w:rPr>
                <w:b/>
                <w:i/>
              </w:rPr>
              <w:t>Toto posouzení by zkoumalo rozpětí zisku před započtením úroků a daní u subjektů, které působí nezávisle v rámci vnitřního trhu.</w:t>
            </w:r>
            <w:r>
              <w:t xml:space="preserve"> </w:t>
            </w:r>
            <w:r>
              <w:rPr>
                <w:b/>
                <w:i/>
              </w:rPr>
              <w:t>Takto získané ukazatele zisku by pak měly být zveřejněny, aby mohly být použity jako nástroj pro vlastní posouzení rizik a umožnily skupinám působícím na vnitřním trhu předem se seznámit s obvyklými (tržními) podmínkami, kterých by měly dosáhnout při transakcích se sdruženými podniky.</w:t>
            </w:r>
            <w:r>
              <w:t xml:space="preserve"> </w:t>
            </w:r>
            <w:r>
              <w:rPr>
                <w:b/>
                <w:i/>
              </w:rPr>
              <w:t>Každá transakce v oblasti působnosti systému by měla být vyhodnocena jako transakce s nízkým, středním nebo vysokým rizikem na základě srovnání s ukazateli zisku, které budou stanoveny prováděcím aktem a zveřejněny na internetových stránkách Komise.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Jaroslava Pokorná Jermanová, Ondřej Knotek, Jaroslav Bžoch, Tomáš Kubín, Jana Nagyová, Enikő Győri, Jorge Martín Frías, Pierre Pimpie, Klara Dostalova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Společný rámec pro zdanění právnických osob by nutně zahrnoval správní systém, který by měl v ideálním případě zajistit určitou míru daňové jistoty a zjednodušení. Aby byla podpořena jednotnost, musel by správní systém vycházet z významu fungování centralizovaného styčného místa pro řešení řady společných otázek, jako je informační přehled za celou skupinu, a zajistit odpovídající míru koordinace a spolupráce mezi vnitrostátními daňovými správami. </w:t>
            </w:r>
            <w:r>
              <w:rPr>
                <w:b/>
                <w:i/>
              </w:rPr>
              <w:t>Současně by měl systém správy plně respektovat národní daňovou suverenitu, neboť</w:t>
            </w:r>
            <w:r>
              <w:t xml:space="preserve"> místní daňová přiznání, audity </w:t>
            </w:r>
            <w:r>
              <w:rPr>
                <w:b/>
                <w:i/>
              </w:rPr>
              <w:t>a</w:t>
            </w:r>
            <w:r>
              <w:t xml:space="preserve"> řešení sporů </w:t>
            </w:r>
            <w:r>
              <w:rPr>
                <w:b/>
                <w:i/>
              </w:rPr>
              <w:t>by musely</w:t>
            </w:r>
            <w:r>
              <w:t xml:space="preserve"> zůstat </w:t>
            </w:r>
            <w:r>
              <w:rPr>
                <w:b/>
                <w:i/>
              </w:rPr>
              <w:t>především na úrovni</w:t>
            </w:r>
            <w:r>
              <w:t xml:space="preserve"> členských států.</w:t>
            </w:r>
          </w:p>
        </w:tc>
        <w:tc>
          <w:tcPr>
            <w:tcW w:w="4876" w:type="dxa"/>
            <w:tcBorders>
              <w:top w:val="nil"/>
              <w:left w:val="nil"/>
              <w:bottom w:val="nil"/>
              <w:right w:val="nil"/>
            </w:tcBorders>
          </w:tcPr>
          <w:p>
            <w:pPr>
              <w:pStyle w:val="Normal6a"/>
            </w:pPr>
            <w:r>
              <w:t>(17)</w:t>
            </w:r>
            <w:r>
              <w:tab/>
            </w:r>
            <w:r>
              <w:t>Společný rámec pro zdanění právnických osob by nutně zahrnoval správní systém, který by měl v ideálním případě zajistit určitou míru daňové jistoty a zjednodušení. Aby byla podpořena jednotnost, musel by správní systém vycházet z významu fungování centralizovaného styčného místa pro řešení řady společných otázek, jako je informační přehled za celou skupinu, a zajistit odpovídající míru koordinace a spolupráce mezi vnitrostátními daňovými správami. Místní daňová přiznání, audity</w:t>
            </w:r>
            <w:r>
              <w:rPr>
                <w:b/>
                <w:i/>
              </w:rPr>
              <w:t>,</w:t>
            </w:r>
            <w:r>
              <w:t xml:space="preserve"> řešení sporů</w:t>
            </w:r>
            <w:r>
              <w:rPr>
                <w:b/>
                <w:i/>
              </w:rPr>
              <w:t>, vymáhání daní a veškerá rozhodnutí s právními účinky na daňové poplatníky by měla</w:t>
            </w:r>
            <w:r>
              <w:t xml:space="preserve"> zůstat </w:t>
            </w:r>
            <w:r>
              <w:rPr>
                <w:b/>
                <w:i/>
              </w:rPr>
              <w:t>výhradně v pravomoci</w:t>
            </w:r>
            <w:r>
              <w:t xml:space="preserve"> členských států. </w:t>
            </w:r>
            <w:r>
              <w:rPr>
                <w:b/>
                <w:i/>
              </w:rPr>
              <w:t>Týmům BEFIT by neměly být uděleny žádné nadnárodní kompetence, rozhodovací pravomoci ani závazné úlohy ve vztahu k daňovým správám členských států.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Společný rámec pro zdanění právnických osob by nutně zahrnoval správní systém, který by měl v ideálním případě zajistit určitou míru daňové jistoty a zjednodušení. Aby byla podpořena jednotnost, musel by správní systém vycházet z významu fungování centralizovaného styčného místa pro řešení řady společných otázek, jako je informační přehled za celou skupinu, a zajistit odpovídající míru koordinace a spolupráce mezi vnitrostátními daňovými správami. </w:t>
            </w:r>
            <w:r>
              <w:rPr>
                <w:b/>
                <w:i/>
              </w:rPr>
              <w:t>Současně by měl systém správy plně respektovat národní daňovou suverenitu, neboť místní daňová přiznání, audity a řešení sporů by musely zůstat především na úrovni členských států.</w:t>
            </w:r>
          </w:p>
        </w:tc>
        <w:tc>
          <w:tcPr>
            <w:tcW w:w="4876" w:type="dxa"/>
            <w:tcBorders>
              <w:top w:val="nil"/>
              <w:left w:val="nil"/>
              <w:bottom w:val="nil"/>
              <w:right w:val="nil"/>
            </w:tcBorders>
          </w:tcPr>
          <w:p>
            <w:pPr>
              <w:pStyle w:val="Normal6a"/>
            </w:pPr>
            <w:r>
              <w:t>(17)</w:t>
            </w:r>
            <w:r>
              <w:tab/>
            </w:r>
            <w:r>
              <w:t>Společný rámec pro zdanění právnických osob by nutně zahrnoval správní systém, který by měl v ideálním případě zajistit určitou míru daňové jistoty a zjednodušení. Aby byla podpořena jednotnost, musel by správní systém vycházet z významu fungování centralizovaného styčného místa pro řešení řady společných otázek, jako je informační přehled za celou skupinu, a zajistit odpovídající míru koordinace a spolupráce mezi vnitrostátními daňovými správami.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Společný rámec pro zdanění právnických osob by nutně zahrnoval správní systém, který by měl v ideálním případě zajistit určitou míru daňové jistoty a zjednodušení. Aby byla podpořena jednotnost, musel by správní systém vycházet z významu fungování centralizovaného styčného místa pro řešení řady společných otázek, jako je informační přehled za celou skupinu, a zajistit odpovídající míru koordinace a spolupráce mezi vnitrostátními daňovými správami. Současně by měl systém správy plně respektovat národní daňovou suverenitu, neboť místní daňová přiznání, audity a řešení sporů by musely zůstat především na úrovni členských států.</w:t>
            </w:r>
          </w:p>
        </w:tc>
        <w:tc>
          <w:tcPr>
            <w:tcW w:w="4876" w:type="dxa"/>
            <w:tcBorders>
              <w:top w:val="nil"/>
              <w:left w:val="nil"/>
              <w:bottom w:val="nil"/>
              <w:right w:val="nil"/>
            </w:tcBorders>
          </w:tcPr>
          <w:p>
            <w:pPr>
              <w:pStyle w:val="Normal6a"/>
            </w:pPr>
            <w:r>
              <w:t>(17)</w:t>
            </w:r>
            <w:r>
              <w:tab/>
            </w:r>
            <w:r>
              <w:t xml:space="preserve">Společný rámec pro zdanění právnických osob by nutně zahrnoval správní systém, který by měl v ideálním případě zajistit určitou míru daňové jistoty a zjednodušení. Aby byla podpořena jednotnost, musel by správní systém vycházet z významu fungování centralizovaného styčného místa pro řešení řady společných otázek, jako je informační přehled za celou skupinu, a zajistit odpovídající míru koordinace a spolupráce mezi vnitrostátními daňovými správami. Současně by měl systém správy plně respektovat národní daňovou suverenitu, neboť místní daňová přiznání, </w:t>
            </w:r>
            <w:r>
              <w:rPr>
                <w:b/>
                <w:i/>
              </w:rPr>
              <w:t>možnost soutěžit v oblasti daňových systémů,</w:t>
            </w:r>
            <w:r>
              <w:t xml:space="preserve"> audity a řešení sporů by musely zůstat především na úrovni členských států.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Společný rámec pro zdanění právnických osob by nutně zahrnoval správní systém, který by měl v ideálním případě zajistit určitou míru daňové jistoty a zjednodušení. Aby byla podpořena jednotnost, musel by správní systém vycházet z významu fungování centralizovaného styčného místa pro řešení řady společných otázek, jako je informační přehled za celou skupinu, a zajistit odpovídající míru koordinace a spolupráce mezi vnitrostátními daňovými správami. Současně by měl systém správy plně respektovat národní daňovou suverenitu, neboť místní daňová přiznání, audity a řešení sporů </w:t>
            </w:r>
            <w:r>
              <w:rPr>
                <w:b/>
                <w:i/>
              </w:rPr>
              <w:t>by musely zůstat</w:t>
            </w:r>
            <w:r>
              <w:t xml:space="preserve"> především na úrovni členských států.</w:t>
            </w:r>
          </w:p>
        </w:tc>
        <w:tc>
          <w:tcPr>
            <w:tcW w:w="4876" w:type="dxa"/>
            <w:tcBorders>
              <w:top w:val="nil"/>
              <w:left w:val="nil"/>
              <w:bottom w:val="nil"/>
              <w:right w:val="nil"/>
            </w:tcBorders>
          </w:tcPr>
          <w:p>
            <w:pPr>
              <w:pStyle w:val="Normal6a"/>
            </w:pPr>
            <w:r>
              <w:t>(17)</w:t>
            </w:r>
            <w:r>
              <w:tab/>
            </w:r>
            <w:r>
              <w:t xml:space="preserve">Společný rámec pro zdanění právnických osob by nutně zahrnoval správní systém, který by měl v ideálním případě zajistit určitou míru daňové jistoty a zjednodušení. Aby byla podpořena jednotnost, musel by správní systém vycházet z významu fungování centralizovaného styčného místa pro řešení řady společných otázek, jako je informační přehled za celou skupinu, a zajistit odpovídající míru koordinace a spolupráce mezi vnitrostátními daňovými správami. Současně by měl systém správy plně respektovat národní daňovou suverenitu, neboť místní daňová přiznání, audity a řešení sporů </w:t>
            </w:r>
            <w:r>
              <w:rPr>
                <w:b/>
                <w:i/>
              </w:rPr>
              <w:t>zůstanou</w:t>
            </w:r>
            <w:r>
              <w:t xml:space="preserve"> především na úrovni členských států.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Tato směrnice stanoví společný rámec pro určování a přidělování základu daně skupin podniků v Unii.</w:t>
            </w:r>
            <w:r>
              <w:t xml:space="preserve"> </w:t>
            </w:r>
            <w:r>
              <w:rPr>
                <w:b/>
                <w:i/>
              </w:rPr>
              <w:t>Neharmonizuje však správní ani procesní pravidla členských států týkající se daně z příjmu právnických osob.</w:t>
            </w:r>
            <w:r>
              <w:t xml:space="preserve"> </w:t>
            </w:r>
            <w:r>
              <w:rPr>
                <w:b/>
                <w:i/>
              </w:rPr>
              <w:t>Členské státy si proto zachovávají plnou autonomii při organizaci svých vnitrostátních postupů pro vyměřování a výběr daní, pro audit, vymáhání a řešení sporů za předpokladu, že tyto postupy budou stále v souladu s výsledky, které vyplynou ze společného rámce stanoveného v této směrnici.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Aby bylo zajištěno správné provádění a vymáhání pravidel společného rámce, měly by členské státy stanovit pravidla pro sankce za porušení vnitrostátních předpisů přijatých podle této směrnice. Tyto sankce by měly být účinné, přiměřené a odrazující.</w:t>
            </w:r>
          </w:p>
        </w:tc>
        <w:tc>
          <w:tcPr>
            <w:tcW w:w="4876" w:type="dxa"/>
            <w:tcBorders>
              <w:top w:val="nil"/>
              <w:left w:val="nil"/>
              <w:bottom w:val="nil"/>
              <w:right w:val="nil"/>
            </w:tcBorders>
          </w:tcPr>
          <w:p>
            <w:pPr>
              <w:pStyle w:val="Normal6a"/>
            </w:pPr>
            <w:r>
              <w:t>(18)</w:t>
            </w:r>
            <w:r>
              <w:tab/>
            </w:r>
            <w:r>
              <w:t xml:space="preserve">Aby bylo zajištěno správné provádění a vymáhání pravidel společného rámce, měly by členské státy stanovit pravidla pro sankce za porušení vnitrostátních předpisů přijatých podle této směrnice. Tyto sankce by měly být účinné, přiměřené a odrazující. </w:t>
            </w:r>
            <w:r>
              <w:rPr>
                <w:b/>
                <w:i/>
              </w:rPr>
              <w:t>Pro případ náležitého nepodání informačního přehledu BEFIT by měly být tyto sankce stanoveny v minimální výši 0,5 % obratu skupiny BEFIT.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Aby bylo zajištěno správné provádění a vymáhání pravidel společného rámce, měly by členské státy stanovit pravidla pro sankce za porušení vnitrostátních předpisů přijatých podle této směrnice. Tyto sankce by měly být účinné, přiměřené a odrazující.</w:t>
            </w:r>
          </w:p>
        </w:tc>
        <w:tc>
          <w:tcPr>
            <w:tcW w:w="4876" w:type="dxa"/>
            <w:tcBorders>
              <w:top w:val="nil"/>
              <w:left w:val="nil"/>
              <w:bottom w:val="nil"/>
              <w:right w:val="nil"/>
            </w:tcBorders>
          </w:tcPr>
          <w:p>
            <w:pPr>
              <w:pStyle w:val="Normal6a"/>
            </w:pPr>
            <w:r>
              <w:t>(18)</w:t>
            </w:r>
            <w:r>
              <w:tab/>
            </w:r>
            <w:r>
              <w:t xml:space="preserve">Aby bylo zajištěno správné provádění a vymáhání pravidel společného rámce, měly by členské státy stanovit pravidla pro sankce za porušení vnitrostátních předpisů přijatých podle této směrnice. Tyto sankce by měly být účinné, přiměřené a odrazující. </w:t>
            </w:r>
            <w:r>
              <w:rPr>
                <w:b/>
                <w:i/>
              </w:rPr>
              <w:t>Pro případ náležitého nepodání informačního přehledu BEFIT a pro případ potvrzeného úmyslně nesprávného vyplnění informačního přehledu by tyto sankce měly být stanoveny v minimální výši 0,1 % obratu skupiny BEFIT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Aby bylo zajištěno správné provádění a vymáhání pravidel společného rámce, měly by členské státy stanovit pravidla pro sankce za porušení vnitrostátních předpisů přijatých podle této směrnice. Tyto sankce by měly být účinné, přiměřené a odrazující.</w:t>
            </w:r>
          </w:p>
        </w:tc>
        <w:tc>
          <w:tcPr>
            <w:tcW w:w="4876" w:type="dxa"/>
            <w:tcBorders>
              <w:top w:val="nil"/>
              <w:left w:val="nil"/>
              <w:bottom w:val="nil"/>
              <w:right w:val="nil"/>
            </w:tcBorders>
          </w:tcPr>
          <w:p>
            <w:pPr>
              <w:pStyle w:val="Normal6a"/>
            </w:pPr>
            <w:r>
              <w:t>(18)</w:t>
            </w:r>
            <w:r>
              <w:tab/>
            </w:r>
            <w:r>
              <w:t xml:space="preserve">Aby bylo zajištěno správné provádění a vymáhání pravidel společného rámce, měly by členské státy stanovit pravidla pro sankce za porušení vnitrostátních předpisů přijatých podle této směrnice. Tyto sankce by měly být účinné, přiměřené a odrazující. </w:t>
            </w:r>
            <w:r>
              <w:rPr>
                <w:b/>
                <w:i/>
              </w:rPr>
              <w:t>Veškeré změny sankcí by měly být včas a vhodným způsobem oznámeny skupinám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Klíčovým pilířem pro zlepšení dodržování daňových předpisů v oblasti daní z příjmů právnických osob je zřízení komplexního systému jediného kontaktního místa, který podnikům umožní plnit jejich daňové povinnosti ve všech členských státech prostřednictvím jednotného a zjednodušeného rozhraní, čímž se sníží administrativní zátěž, zajistí jednotné prosazování a posílí právní jistota na vnitřním trhu.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Guillaume Peltier</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(19)</w:t>
            </w:r>
            <w:r>
              <w:tab/>
            </w:r>
            <w:r>
              <w:rPr>
                <w:b/>
                <w:i/>
              </w:rPr>
              <w:t>Aby se optimalizovaly výhody společného právního rámce pro výpočet základu daně z příjmů právnických osob na vnitřním trhu, mělo by být uplatňování pravidel volitelné pro skupiny, včetně skupin malých a středních podniků, jejichž roční souhrnné příjmy jsou nižší než 750 000 000 EUR, pokud sestavují konsolidovanou účetní závěrku a mají v Unii zdanitelnou přítomnost.</w:t>
            </w:r>
            <w:r>
              <w:t xml:space="preserve"> </w:t>
            </w:r>
            <w:r>
              <w:rPr>
                <w:b/>
                <w:i/>
              </w:rPr>
              <w:t>Tím, že se pravidla budou moci uplatňovat i na skupiny menší velikosti, může mít ze zjednodušení, které společný rámec nabízí, prospěch více skupin s přeshraničními strukturami a činnostmi.</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Aby se optimalizovaly výhody společného právního rámce pro výpočet základu daně z příjmů právnických osob na vnitřním trhu, mělo by být uplatňování pravidel volitelné pro skupiny, včetně skupin malých a středních podniků, jejichž roční souhrnné příjmy jsou nižší než </w:t>
            </w:r>
            <w:r>
              <w:rPr>
                <w:b/>
                <w:i/>
              </w:rPr>
              <w:t>750 000 000</w:t>
            </w:r>
            <w:r>
              <w:t xml:space="preserve"> EUR, pokud sestavují konsolidovanou účetní závěrku a mají v Unii zdanitelnou přítomnost. Tím, že se pravidla budou moci uplatňovat i na skupiny menší velikosti, může mít ze zjednodušení, které společný rámec nabízí, prospěch více skupin s přeshraničními strukturami a činnostmi.</w:t>
            </w:r>
          </w:p>
        </w:tc>
        <w:tc>
          <w:tcPr>
            <w:tcW w:w="4876" w:type="dxa"/>
            <w:tcBorders>
              <w:top w:val="nil"/>
              <w:left w:val="nil"/>
              <w:bottom w:val="nil"/>
              <w:right w:val="nil"/>
            </w:tcBorders>
          </w:tcPr>
          <w:p>
            <w:pPr>
              <w:pStyle w:val="Normal6a"/>
            </w:pPr>
            <w:r>
              <w:t>(19)</w:t>
            </w:r>
            <w:r>
              <w:tab/>
            </w:r>
            <w:r>
              <w:t xml:space="preserve">Aby se optimalizovaly výhody společného právního rámce pro výpočet základu daně z příjmů právnických osob na vnitřním trhu, mělo by být uplatňování pravidel volitelné pro skupiny, včetně skupin malých a středních podniků, jejichž roční souhrnné příjmy jsou nižší než </w:t>
            </w:r>
            <w:r>
              <w:rPr>
                <w:b/>
                <w:i/>
              </w:rPr>
              <w:t>40 000 000</w:t>
            </w:r>
            <w:r>
              <w:t xml:space="preserve"> EUR, pokud sestavují konsolidovanou účetní závěrku a mají v Unii zdanitelnou přítomnost. Tím, že se pravidla budou moci uplatňovat i na skupiny menší velikosti, může mít ze zjednodušení, které společný rámec nabízí, prospěch více skupin s přeshraničními strukturami a činnostmi.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Aby se optimalizovaly výhody společného právního rámce pro výpočet základu daně z příjmů právnických osob na vnitřním trhu, mělo by být uplatňování pravidel volitelné pro skupiny, včetně skupin malých a středních podniků, jejichž roční souhrnné příjmy jsou nižší než </w:t>
            </w:r>
            <w:r>
              <w:rPr>
                <w:b/>
                <w:i/>
              </w:rPr>
              <w:t>750 000 000</w:t>
            </w:r>
            <w:r>
              <w:t xml:space="preserve"> EUR, pokud sestavují konsolidovanou účetní závěrku a mají v Unii zdanitelnou přítomnost. Tím, že se pravidla budou moci uplatňovat i na skupiny menší velikosti, může mít ze zjednodušení, které společný rámec nabízí, prospěch více skupin s přeshraničními strukturami a činnostmi.</w:t>
            </w:r>
          </w:p>
        </w:tc>
        <w:tc>
          <w:tcPr>
            <w:tcW w:w="4876" w:type="dxa"/>
            <w:tcBorders>
              <w:top w:val="nil"/>
              <w:left w:val="nil"/>
              <w:bottom w:val="nil"/>
              <w:right w:val="nil"/>
            </w:tcBorders>
          </w:tcPr>
          <w:p>
            <w:pPr>
              <w:pStyle w:val="Normal6a"/>
            </w:pPr>
            <w:r>
              <w:t>(19)</w:t>
            </w:r>
            <w:r>
              <w:tab/>
            </w:r>
            <w:r>
              <w:t xml:space="preserve">Aby se optimalizovaly výhody společného právního rámce pro výpočet základu daně z příjmů právnických osob na vnitřním trhu, mělo by být uplatňování pravidel volitelné pro skupiny, včetně skupin malých a středních podniků, jejichž roční souhrnné příjmy jsou nižší než </w:t>
            </w:r>
            <w:r>
              <w:rPr>
                <w:b/>
                <w:i/>
              </w:rPr>
              <w:t>750 000 000</w:t>
            </w:r>
            <w:r>
              <w:t xml:space="preserve"> EUR, pokud sestavují konsolidovanou účetní závěrku a mají v Unii zdanitelnou přítomnost. Tím, že se pravidla budou moci uplatňovat i na skupiny menší velikosti, může mít ze zjednodušení, které společný rámec nabízí, prospěch více skupin s přeshraničními strukturami a činnostmi. </w:t>
            </w:r>
            <w:r>
              <w:rPr>
                <w:b/>
                <w:i/>
              </w:rPr>
              <w:t>Tři roky od data použitelnosti této směrnice by Komise měla předložit legislativní návrh na takovou změnu této směrnice, aby byl tento systém povinný pro společnosti s kombinovanými ročními příjmy ve výši 40 000 000 EUR nebo více v nejméně dvou z posledních čtyř účetních období.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Aby se optimalizovaly výhody společného právního rámce pro výpočet základu daně z příjmů právnických osob na vnitřním trhu, mělo by být uplatňování pravidel volitelné pro skupiny, včetně skupin malých a středních podniků, jejichž roční souhrnné příjmy jsou nižší než </w:t>
            </w:r>
            <w:r>
              <w:rPr>
                <w:b/>
                <w:i/>
              </w:rPr>
              <w:t>750 000 000</w:t>
            </w:r>
            <w:r>
              <w:t xml:space="preserve"> EUR, pokud sestavují konsolidovanou účetní závěrku a mají v Unii zdanitelnou přítomnost. Tím, že se pravidla budou moci uplatňovat i na skupiny menší velikosti, může mít ze zjednodušení, které společný rámec nabízí, prospěch více skupin s přeshraničními strukturami a činnostmi.</w:t>
            </w:r>
          </w:p>
        </w:tc>
        <w:tc>
          <w:tcPr>
            <w:tcW w:w="4876" w:type="dxa"/>
            <w:tcBorders>
              <w:top w:val="nil"/>
              <w:left w:val="nil"/>
              <w:bottom w:val="nil"/>
              <w:right w:val="nil"/>
            </w:tcBorders>
          </w:tcPr>
          <w:p>
            <w:pPr>
              <w:pStyle w:val="Normal6a"/>
            </w:pPr>
            <w:r>
              <w:t>(19)</w:t>
            </w:r>
            <w:r>
              <w:tab/>
            </w:r>
            <w:r>
              <w:t xml:space="preserve">Aby se optimalizovaly výhody společného právního rámce pro výpočet základu daně z příjmů právnických osob na vnitřním trhu, mělo by být uplatňování pravidel volitelné pro skupiny, včetně skupin malých a středních podniků, jejichž roční souhrnné příjmy jsou nižší než </w:t>
            </w:r>
            <w:r>
              <w:rPr>
                <w:b/>
                <w:i/>
              </w:rPr>
              <w:t>1 miliarda</w:t>
            </w:r>
            <w:r>
              <w:t xml:space="preserve"> EUR, pokud sestavují konsolidovanou účetní závěrku a mají v Unii zdanitelnou přítomnost. Tím, že se pravidla budou moci uplatňovat i na skupiny menší velikosti, může mít ze zjednodušení, které společný rámec nabízí, prospěch více skupin s přeshraničními strukturami a činnostmi.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Aby se optimalizovaly výhody společného právního rámce pro výpočet základu daně z příjmů právnických osob na vnitřním trhu, mělo by být uplatňování pravidel volitelné pro skupiny, včetně skupin malých a středních podniků, jejichž roční souhrnné příjmy jsou nižší než </w:t>
            </w:r>
            <w:r>
              <w:rPr>
                <w:b/>
                <w:i/>
              </w:rPr>
              <w:t>750 000 000</w:t>
            </w:r>
            <w:r>
              <w:t xml:space="preserve"> EUR, pokud sestavují konsolidovanou účetní závěrku a mají v Unii zdanitelnou přítomnost. Tím, že se pravidla budou moci uplatňovat i na skupiny menší velikosti, může mít ze zjednodušení, které společný rámec nabízí, prospěch více skupin s přeshraničními strukturami a činnostmi.</w:t>
            </w:r>
          </w:p>
        </w:tc>
        <w:tc>
          <w:tcPr>
            <w:tcW w:w="4876" w:type="dxa"/>
            <w:tcBorders>
              <w:top w:val="nil"/>
              <w:left w:val="nil"/>
              <w:bottom w:val="nil"/>
              <w:right w:val="nil"/>
            </w:tcBorders>
          </w:tcPr>
          <w:p>
            <w:pPr>
              <w:pStyle w:val="Normal6a"/>
            </w:pPr>
            <w:r>
              <w:t>(19)</w:t>
            </w:r>
            <w:r>
              <w:tab/>
            </w:r>
            <w:r>
              <w:t xml:space="preserve">Aby se optimalizovaly výhody společného právního rámce pro výpočet základu daně z příjmů právnických osob na vnitřním trhu, mělo by být uplatňování pravidel volitelné pro skupiny, včetně skupin malých a středních podniků, jejichž roční souhrnné příjmy jsou nižší než </w:t>
            </w:r>
            <w:r>
              <w:rPr>
                <w:b/>
                <w:i/>
              </w:rPr>
              <w:t>750 000 000</w:t>
            </w:r>
            <w:r>
              <w:t xml:space="preserve"> EUR, pokud sestavují konsolidovanou účetní závěrku a mají v Unii zdanitelnou přítomnost. Tím, že se pravidla budou moci uplatňovat i na skupiny menší velikosti, může mít ze zjednodušení, které společný rámec nabízí, prospěch více skupin s přeshraničními strukturami a činnostmi. </w:t>
            </w:r>
            <w:r>
              <w:rPr>
                <w:b/>
                <w:i/>
              </w:rPr>
              <w:t>Společnosti, které se rozhodnou, že se na ně tato směrnice bude vztahovat, by měly mít možnost využít technickou pomoc členských států a Komise, aby mohly dodržovat nová pravidla, a podpořit tak svou přeshraniční činnost.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Aby se optimalizovaly výhody společného právního rámce pro výpočet základu daně z příjmů právnických osob na vnitřním trhu, mělo by být uplatňování pravidel volitelné pro skupiny, včetně skupin malých a středních podniků, jejichž roční souhrnné příjmy jsou nižší než </w:t>
            </w:r>
            <w:r>
              <w:rPr>
                <w:b/>
                <w:i/>
              </w:rPr>
              <w:t>750 000 000</w:t>
            </w:r>
            <w:r>
              <w:t xml:space="preserve"> EUR, pokud sestavují konsolidovanou účetní závěrku a mají v Unii zdanitelnou přítomnost. Tím, že se pravidla budou moci uplatňovat i na skupiny menší velikosti, může mít ze zjednodušení, které společný rámec nabízí, prospěch více skupin s přeshraničními strukturami a činnostmi.</w:t>
            </w:r>
          </w:p>
        </w:tc>
        <w:tc>
          <w:tcPr>
            <w:tcW w:w="4876" w:type="dxa"/>
            <w:tcBorders>
              <w:top w:val="nil"/>
              <w:left w:val="nil"/>
              <w:bottom w:val="nil"/>
              <w:right w:val="nil"/>
            </w:tcBorders>
          </w:tcPr>
          <w:p>
            <w:pPr>
              <w:pStyle w:val="Normal6a"/>
            </w:pPr>
            <w:r>
              <w:t>(19)</w:t>
            </w:r>
            <w:r>
              <w:tab/>
            </w:r>
            <w:r>
              <w:t xml:space="preserve">Aby se optimalizovaly výhody společného právního rámce pro výpočet základu daně z příjmů právnických osob na vnitřním trhu, mělo by být uplatňování pravidel volitelné pro skupiny, včetně skupin malých a středních podniků, jejichž roční souhrnné příjmy jsou nižší než </w:t>
            </w:r>
            <w:r>
              <w:rPr>
                <w:b/>
                <w:i/>
              </w:rPr>
              <w:t>750 000 000</w:t>
            </w:r>
            <w:r>
              <w:t xml:space="preserve"> EUR, pokud sestavují konsolidovanou účetní závěrku a mají v Unii zdanitelnou přítomnost. Tím, že se pravidla budou moci uplatňovat i na skupiny menší velikosti, může mít ze zjednodušení, které společný rámec nabízí, prospěch více skupin s přeshraničními strukturami a činnostmi. </w:t>
            </w:r>
            <w:r>
              <w:rPr>
                <w:b/>
                <w:i/>
              </w:rPr>
              <w:t>Společnosti, které se rozhodnou, že se na ně tato směrnice bude vztahovat, by měly mít snadný přístup k technické pomoci členských států a Evropské komise, aby mohly dodržovat nová pravidla, a podpořit tak svou přeshraniční činnost.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Jaroslava Pokorná Jermanová, Ondřej Knotek, Jaroslav Bžoch, Tomáš Kubín, Jana Nagyová, Enikő Győri, Jorge Martín Frías, Pierre Pimpie, Klara Dostalova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Za účelem případného doplnění nebo změny některých jiných než podstatných prvků této směrnice by měla být na Komisi přenesena pravomoc přijímat akty v souladu s článkem 290 Smlouvy o fungování Evropské unie, pokud jde o i) případnou změnu příloh I a II a ii) doplnění stanovením dalších pravidel pro pojišťovny, zejména s ohledem na nový mezinárodní standard účetního výkaznictví (IFRS) 17 Pojistné smlouvy. Je obzvláště důležité, aby Komise </w:t>
            </w:r>
            <w:r>
              <w:rPr>
                <w:b/>
                <w:i/>
              </w:rPr>
              <w:t>během svých přípravných prací</w:t>
            </w:r>
            <w:r>
              <w:t xml:space="preserve"> vedla </w:t>
            </w:r>
            <w:r>
              <w:rPr>
                <w:b/>
                <w:i/>
              </w:rPr>
              <w:t>náležité</w:t>
            </w:r>
            <w:r>
              <w:t xml:space="preserve"> konzultace, a to i na odborné úrovni, a aby tyto konzultace probíhaly v souladu se zásadami stanovenými v interinstitucionální dohodě ze dne 13. dubna 2016 o zdokonalení tvorby právních předpisů</w:t>
            </w:r>
            <w:r>
              <w:rPr>
                <w:vertAlign w:val="superscript"/>
              </w:rPr>
              <w:t>5</w:t>
            </w:r>
            <w:r>
              <w:t>. Pro zajištění rovné účasti na vypracovávání aktů v přenesené pravomoci obdrží Evropský parlament a Rada veškeré dokumenty současně s odborníky z členských států a jejich odborníci mají automaticky přístup na zasedání skupin odborníků Komise, jež se věnují přípravě aktů v přenesené pravomoci.</w:t>
            </w:r>
          </w:p>
        </w:tc>
        <w:tc>
          <w:tcPr>
            <w:tcW w:w="4876" w:type="dxa"/>
            <w:tcBorders>
              <w:top w:val="nil"/>
              <w:left w:val="nil"/>
              <w:bottom w:val="nil"/>
              <w:right w:val="nil"/>
            </w:tcBorders>
          </w:tcPr>
          <w:p>
            <w:pPr>
              <w:pStyle w:val="Normal6a"/>
            </w:pPr>
            <w:r>
              <w:t>(20)</w:t>
            </w:r>
            <w:r>
              <w:tab/>
            </w:r>
            <w:r>
              <w:t>Za účelem případného doplnění nebo změny některých jiných než podstatných prvků této směrnice by měla být na Komisi přenesena pravomoc přijímat akty v souladu s článkem 290 Smlouvy o fungování Evropské unie, pokud jde o i) případnou změnu příloh I a II</w:t>
            </w:r>
            <w:r>
              <w:rPr>
                <w:b/>
                <w:i/>
              </w:rPr>
              <w:t> </w:t>
            </w:r>
            <w:r>
              <w:t xml:space="preserve"> a ii) doplnění stanovením dalších pravidel pro pojišťovny, zejména s ohledem na nový mezinárodní standard účetního výkaznictví (IFRS) 17 Pojistné smlouvy. Je obzvláště důležité, aby Komise vedla </w:t>
            </w:r>
            <w:r>
              <w:rPr>
                <w:b/>
                <w:i/>
              </w:rPr>
              <w:t>v rámci přípravné činnosti odpovídající</w:t>
            </w:r>
            <w:r>
              <w:t xml:space="preserve"> konzultace, a to i na odborné úrovni, a aby tyto konzultace probíhaly v souladu se zásadami stanovenými v interinstitucionální dohodě ze dne 13. dubna 2016 o zdokonalení tvorby právních předpisů</w:t>
            </w:r>
            <w:r>
              <w:rPr>
                <w:vertAlign w:val="superscript"/>
              </w:rPr>
              <w:t>5</w:t>
            </w:r>
            <w:r>
              <w:t xml:space="preserve">. Pro zajištění rovné účasti na vypracovávání aktů v přenesené pravomoci obdrží Evropský parlament a Rada veškeré dokumenty současně s odborníky z členských států a jejich odborníci mají automaticky přístup na zasedání skupin odborníků Komise, jež se věnují přípravě aktů v přenesené pravomoci. </w:t>
            </w:r>
            <w:r>
              <w:rPr>
                <w:b/>
                <w:i/>
              </w:rPr>
              <w:t>Tyto akty v přenesené pravomoci by měly být přísně omezeny na technickou aktualizaci této směrnice a neměly by měnit oblast působnosti, účel nebo povahu této směrnice.</w:t>
            </w:r>
            <w:r>
              <w:t xml:space="preserve"> </w:t>
            </w:r>
            <w:r>
              <w:rPr>
                <w:b/>
                <w:i/>
              </w:rPr>
              <w:t>Zejména by neměly být využívány k rozšiřování společného rámce pro základ daně z příjmů právnických osob, harmonizaci daňových sazeb, zavádění nových povinností pro členské státy ani k umožnění vytváření vlastních zdrojů Unie.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5</w:t>
            </w:r>
            <w:r>
              <w:t xml:space="preserve"> </w:t>
            </w:r>
            <w:r>
              <w:t>Interinstitucionální dohoda mezi Evropským parlamentem, Radou Evropské unie a Evropskou komisí o zdokonalení tvorby právních předpisů (Úř. věst. L 123, 12.5.2016, s. 1).</w:t>
            </w:r>
          </w:p>
        </w:tc>
        <w:tc>
          <w:tcPr>
            <w:tcW w:w="4876" w:type="dxa"/>
            <w:tcBorders>
              <w:top w:val="nil"/>
              <w:left w:val="nil"/>
              <w:bottom w:val="nil"/>
              <w:right w:val="nil"/>
            </w:tcBorders>
          </w:tcPr>
          <w:p>
            <w:pPr>
              <w:pStyle w:val="Normal6a"/>
            </w:pPr>
            <w:r>
              <w:rPr>
                <w:vertAlign w:val="superscript"/>
              </w:rPr>
              <w:t>5</w:t>
            </w:r>
            <w:r>
              <w:t xml:space="preserve"> </w:t>
            </w:r>
            <w:r>
              <w:t>Interinstitucionální dohoda mezi Evropským parlamentem, Radou Evropské unie a Evropskou komisí o zdokonalení tvorby právních předpisů (Úř. věst. L 123, 12.5.2016, s.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Každá skupina BEFIT by měla mít podávající subjekt, který by měl určit zemi orgánu daňového přiznání a příslušného správce daně, který povede tým BEFIT.</w:t>
            </w:r>
            <w:r>
              <w:t xml:space="preserve"> </w:t>
            </w:r>
            <w:r>
              <w:rPr>
                <w:b/>
                <w:i/>
              </w:rPr>
              <w:t>Orgán daňového přiznání by měl ze zásady sídlit v členském státě, v němž je mateřská společnost skupiny BEFIT daňovým rezidentem.</w:t>
            </w:r>
            <w:r>
              <w:t xml:space="preserve"> </w:t>
            </w:r>
            <w:r>
              <w:rPr>
                <w:b/>
                <w:i/>
              </w:rPr>
              <w:t>Pokud skupinu BEFIT vlastní firma se sídlem ve třetí zemi, měl by být podávajícím subjektem evropský zprostředkující mateřský podnik, pokud existuje.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Do 31. prosince 2026 by Komise měla případně předložit legislativní návrh ohledně harmonizovaného společného evropského daňového identifikačního čísla.</w:t>
            </w:r>
            <w:r>
              <w:t xml:space="preserve"> </w:t>
            </w:r>
            <w:r>
              <w:rPr>
                <w:b/>
                <w:i/>
              </w:rPr>
              <w:t>Tím se nejen usnadní komunikace mezi zástupci členských států a týmem BEFIT, ale zvýší se také účinnost výměny daňových informací v rámci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Před vstupem této směrnice v platnost by Komise měla případně předložit legislativní návrh ohledně harmonizovaného společného evropského daňového identifikačního čísla.</w:t>
            </w:r>
            <w:r>
              <w:t xml:space="preserve"> </w:t>
            </w:r>
            <w:r>
              <w:rPr>
                <w:b/>
                <w:i/>
              </w:rPr>
              <w:t>Tím by se nejen usnadnila komunikace mezi zástupci členských států a týmem BEFIT, ale také by se zvýšila účinnost a automatizace výměny daňových informací v rámci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Komise by měla případně prozkoumat možnosti předložení legislativního návrhu ohledně harmonizovaného společného evropského daňového identifikačního čísla.</w:t>
            </w:r>
            <w:r>
              <w:t xml:space="preserve"> </w:t>
            </w:r>
            <w:r>
              <w:rPr>
                <w:b/>
                <w:i/>
              </w:rPr>
              <w:t>Tím by se nejen usnadnila komunikace mezi zástupci členských států a týmem BEFIT, ale také by se zvýšila účinnost výměny daňových informací v rámci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Aby byla zaručena účinná spolupráce mezi týmy BEFIT, měly by členské státy týmu BEFIT zajistit odpovídající lidské zdroje, mimo jiné zajištěním obsahového a jazykového školení pro zástupce týmů BEFIT a využíváním programu FISCALIS.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Aby podniky mohly přímo využívat výhod vnitřního trhu bez zbytečné další administrativní zátěže, měly by být informace o daňových ustanoveních stanovených v této směrnici zpřístupněny prostřednictvím jednotné digitální brány v souladu s nařízením (EU) </w:t>
            </w:r>
            <w:r>
              <w:rPr>
                <w:b/>
                <w:i/>
              </w:rPr>
              <w:t>2018/1724</w:t>
            </w:r>
            <w:r>
              <w:rPr>
                <w:vertAlign w:val="superscript"/>
              </w:rPr>
              <w:t>8</w:t>
            </w:r>
            <w:r>
              <w:t>. Jednotná digitální brána poskytuje přeshraničním uživatelům jednotné kontaktní místo pro online poskytování informací, postupů a asistenčních služeb důležitých pro fungování vnitřního trhu.</w:t>
            </w:r>
          </w:p>
        </w:tc>
        <w:tc>
          <w:tcPr>
            <w:tcW w:w="4876" w:type="dxa"/>
            <w:tcBorders>
              <w:top w:val="nil"/>
              <w:left w:val="nil"/>
              <w:bottom w:val="nil"/>
              <w:right w:val="nil"/>
            </w:tcBorders>
          </w:tcPr>
          <w:p>
            <w:pPr>
              <w:pStyle w:val="Normal6a"/>
            </w:pPr>
            <w:r>
              <w:t>(24)</w:t>
            </w:r>
            <w:r>
              <w:tab/>
            </w:r>
            <w:r>
              <w:t xml:space="preserve">Aby podniky mohly přímo využívat výhod vnitřního trhu bez zbytečné další administrativní zátěže, měly by být informace o daňových ustanoveních stanovených v této směrnici zpřístupněny prostřednictvím jednotné digitální brány v souladu s nařízením (EU) </w:t>
            </w:r>
            <w:r>
              <w:rPr>
                <w:b/>
                <w:i/>
              </w:rPr>
              <w:t>2018/17248</w:t>
            </w:r>
            <w:r>
              <w:rPr>
                <w:vertAlign w:val="superscript"/>
              </w:rPr>
              <w:t>8</w:t>
            </w:r>
            <w:r>
              <w:t xml:space="preserve">. Jednotná digitální brána poskytuje přeshraničním uživatelům jednotné kontaktní místo pro online poskytování informací, postupů a asistenčních služeb důležitých pro fungování vnitřního trhu. </w:t>
            </w:r>
            <w:r>
              <w:rPr>
                <w:b/>
                <w:i/>
              </w:rPr>
              <w:t>Toto jednotné kontaktní místo by mělo být navrženo tak, aby snížilo zatížení podniků, a to na základě základu daně, aby bylo možné provádět konsolidované výpočty, aniž by bylo nutné podávat zprávy podle jednotlivých zemí a v konsolidované podobě.</w:t>
            </w:r>
            <w:r>
              <w:t xml:space="preserve"> </w:t>
            </w:r>
            <w:r>
              <w:rPr>
                <w:b/>
                <w:i/>
              </w:rPr>
              <w:t>Dobré zkušenosti s jednotným kontaktním místem pro DPH ukazují, jak by toto jednotné kontaktní místo mělo být rozvíjeno, aby mohlo řádně fungovat.</w:t>
            </w:r>
            <w:r>
              <w:t xml:space="preserve"> </w:t>
            </w:r>
            <w:r>
              <w:rPr>
                <w:b/>
                <w:i/>
              </w:rPr>
              <w:t>Podniky by měly mít možnost vypočítat evropský základ daně a poté by měly podat výkaz rozčleněný podle jednotlivých zemí.</w:t>
            </w:r>
            <w:r>
              <w:t xml:space="preserve"> </w:t>
            </w:r>
            <w:r>
              <w:rPr>
                <w:b/>
                <w:i/>
              </w:rPr>
              <w:t>Každý podnik podá členění podle jednotlivých zemí pouze v jednom členském státě podle svého výběru, čímž se zabrání tomu, aby bylo nutné podat jedno přiznání za každou zemi a poté ještě konsolidované přiznání.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Nařízení Evropského parlamentu a Rady (EU) 2018/1724 ze dne 2. října 2018, kterým se zřizuje jednotná digitální brána pro poskytování přístupu k informacím, postupům a k asistenčním službám a službám pro řešení problémů a kterým se mění nařízení (EU) č. 1024/2012 (Úř. věst. L 295, 21.11.2018, s. 1).</w:t>
            </w:r>
          </w:p>
        </w:tc>
        <w:tc>
          <w:tcPr>
            <w:tcW w:w="4876" w:type="dxa"/>
            <w:tcBorders>
              <w:top w:val="nil"/>
              <w:left w:val="nil"/>
              <w:bottom w:val="nil"/>
              <w:right w:val="nil"/>
            </w:tcBorders>
          </w:tcPr>
          <w:p>
            <w:pPr>
              <w:pStyle w:val="Normal6a"/>
            </w:pPr>
            <w:r>
              <w:rPr>
                <w:vertAlign w:val="superscript"/>
              </w:rPr>
              <w:t>8</w:t>
            </w:r>
            <w:r>
              <w:t xml:space="preserve"> </w:t>
            </w:r>
            <w:r>
              <w:t>Nařízení Evropského parlamentu a Rady (EU) 2018/1724 ze dne 2. října 2018, kterým se zřizuje jednotná digitální brána pro poskytování přístupu k informacím, postupům a k asistenčním službám a službám pro řešení problémů a kterým se mění nařízení (EU) č. 1024/2012 (Úř. věst. L 295, 21.11.2018, s.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Bod odůvodnění 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Komise a členské státy by měly pracovat na přezkumu stávajícího daňového rámce EU s cílem řešit nedostatky zjištěné v globálních daňových pravidlech.</w:t>
            </w:r>
            <w:r>
              <w:t xml:space="preserve"> </w:t>
            </w:r>
            <w:r>
              <w:rPr>
                <w:b/>
                <w:i/>
              </w:rPr>
              <w:t>Tento proces by se měl rovněž zaměřit na vytvoření konkurenceschopnějšího daňového prostředí EU prostřednictvím posouzení účinnosti různých stávajících daňových pravidel.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Jaroslava Pokorná Jermanová, Ondřej Knotek, Jaroslav Bžoch, Tomáš Kubín, Jana Nagyová, Enikő Győri, Jorge Martín Frías, Pierre Pimpie, Klara Dostalova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Tato směrnice nepovolí Unii stanovit, vybírat nebo přizpůsobovat příjmy z daně z příjmů právnických osob jako vlastní zdroje Unie.</w:t>
            </w:r>
            <w:r>
              <w:t xml:space="preserve"> </w:t>
            </w:r>
            <w:r>
              <w:rPr>
                <w:b/>
                <w:i/>
              </w:rPr>
              <w:t>Veškeré příjmy z daně z příjmů právnických osob vytvořené na základě tohoto rámce zůstávají v pravomoci a vlastnictví dotčených členských států.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 – odst. 2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pro přidělení základu daně BEFIT způsobilým členům skupiny BEFIT;</w:t>
            </w:r>
          </w:p>
        </w:tc>
        <w:tc>
          <w:tcPr>
            <w:tcW w:w="4876" w:type="dxa"/>
            <w:tcBorders>
              <w:top w:val="nil"/>
              <w:left w:val="nil"/>
              <w:bottom w:val="nil"/>
              <w:right w:val="nil"/>
            </w:tcBorders>
          </w:tcPr>
          <w:p>
            <w:pPr>
              <w:pStyle w:val="Normal6a"/>
            </w:pPr>
            <w:r>
              <w:t>c)</w:t>
            </w:r>
            <w:r>
              <w:tab/>
            </w:r>
            <w:r>
              <w:t xml:space="preserve">pro přidělení základu daně BEFIT způsobilým členům skupiny BEFIT </w:t>
            </w:r>
            <w:r>
              <w:rPr>
                <w:b/>
                <w:i/>
              </w:rPr>
              <w:t>na základě rozdělení podle vzorce popsaného v článku 45a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Guillaume Peltier</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 – odst. 2 – písm.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zjednodušení posuzování rizika převodních cen u transakcí s přidruženými podniky mimo skupinu;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 – odst. 2 – písm. e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rozšíření pojmu stálé provozovny.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Tato směrnice rovněž stanoví pravidla rozšíření pojmu stálé provozovny, jak je uplatňován pro účely daně z příjmu právnických osob v každém členském státě, tak, aby zahrnoval významnou hospodářskou přítomnost, jejímž prostřednictvím je zcela nebo částečně vykonávána hospodářská činnost.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Guillaume Peltier</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Společnost nebo stálá provozovna, na kterou se vztahuje tato směrnice, přestává podléhat vnitrostátním právním předpisům o dani z příjmů právnických osob ve všech členských státech, v nichž je usazena, pokud jde o všechny záležitosti upravené touto směrnicí, není-li v této směrnici stanoveno jinak.</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Jaroslava Pokorná Jermanová, Ondřej Knotek, Jaroslav Bžoch, Tomáš Kubín, Jana Nagyová, Enikő Győri, Klara Dostalova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1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Tato směrnice se </w:t>
            </w:r>
            <w:r>
              <w:rPr>
                <w:b/>
                <w:i/>
              </w:rPr>
              <w:t>vztahuje</w:t>
            </w:r>
            <w:r>
              <w:t xml:space="preserve"> na společnosti, které jsou daňovými rezidenty členského státu, včetně jejich stálých provozoven umístěných v jiných členských státech, a na stálé provozovny subjektů, které jsou daňovými rezidenty třetí země („subjekty ze třetích zemí“), umístěné v členských státech, které splňují následující kritéria:</w:t>
            </w:r>
          </w:p>
        </w:tc>
        <w:tc>
          <w:tcPr>
            <w:tcW w:w="4876" w:type="dxa"/>
            <w:tcBorders>
              <w:top w:val="nil"/>
              <w:left w:val="nil"/>
              <w:bottom w:val="nil"/>
              <w:right w:val="nil"/>
            </w:tcBorders>
          </w:tcPr>
          <w:p>
            <w:pPr>
              <w:pStyle w:val="Normal6a"/>
            </w:pPr>
            <w:r>
              <w:t>1.</w:t>
            </w:r>
            <w:r>
              <w:tab/>
            </w:r>
            <w:r>
              <w:t xml:space="preserve">Tato směrnice se </w:t>
            </w:r>
            <w:r>
              <w:rPr>
                <w:b/>
                <w:i/>
              </w:rPr>
              <w:t>může vztahovat</w:t>
            </w:r>
            <w:r>
              <w:t xml:space="preserve"> na společnosti, které jsou daňovými rezidenty členského státu, včetně jejich stálých provozoven umístěných v jiných členských státech, a na stálé provozovny subjektů, které jsou daňovými rezidenty třetí země („subjekty ze třetích zemí“), umístěné v členských státech, které splňují následující kritéria: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patří do vnitrostátní skupiny nebo do nadnárodní skupiny podniků, která sestavuje konsolidovanou účetní závěrku a jejíž roční souhrnné příjmy činily nejméně ve dvou z posledních čtyř účetních let </w:t>
            </w:r>
            <w:r>
              <w:rPr>
                <w:b/>
                <w:i/>
              </w:rPr>
              <w:t>750 000 000</w:t>
            </w:r>
            <w:r>
              <w:t xml:space="preserve"> EUR nebo více;</w:t>
            </w:r>
          </w:p>
        </w:tc>
        <w:tc>
          <w:tcPr>
            <w:tcW w:w="4876" w:type="dxa"/>
            <w:tcBorders>
              <w:top w:val="nil"/>
              <w:left w:val="nil"/>
              <w:bottom w:val="nil"/>
              <w:right w:val="nil"/>
            </w:tcBorders>
          </w:tcPr>
          <w:p>
            <w:pPr>
              <w:pStyle w:val="Normal6a"/>
            </w:pPr>
            <w:r>
              <w:t>a)</w:t>
            </w:r>
            <w:r>
              <w:tab/>
            </w:r>
            <w:r>
              <w:t xml:space="preserve">patří do vnitrostátní skupiny nebo do nadnárodní skupiny podniků, která sestavuje konsolidovanou účetní závěrku a jejíž roční souhrnné příjmy činily nejméně ve dvou z posledních čtyř účetních let </w:t>
            </w:r>
            <w:r>
              <w:rPr>
                <w:b/>
                <w:i/>
              </w:rPr>
              <w:t>40 000 000</w:t>
            </w:r>
            <w:r>
              <w:t xml:space="preserve"> EUR nebo více;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patří do vnitrostátní skupiny nebo do nadnárodní skupiny podniků, která sestavuje konsolidovanou účetní závěrku a jejíž roční souhrnné příjmy činily nejméně ve dvou z posledních čtyř účetních let </w:t>
            </w:r>
            <w:r>
              <w:rPr>
                <w:b/>
                <w:i/>
              </w:rPr>
              <w:t>750 000 000</w:t>
            </w:r>
            <w:r>
              <w:t xml:space="preserve"> EUR nebo více;</w:t>
            </w:r>
          </w:p>
        </w:tc>
        <w:tc>
          <w:tcPr>
            <w:tcW w:w="4876" w:type="dxa"/>
            <w:tcBorders>
              <w:top w:val="nil"/>
              <w:left w:val="nil"/>
              <w:bottom w:val="nil"/>
              <w:right w:val="nil"/>
            </w:tcBorders>
          </w:tcPr>
          <w:p>
            <w:pPr>
              <w:pStyle w:val="Normal6a"/>
            </w:pPr>
            <w:r>
              <w:t>a)</w:t>
            </w:r>
            <w:r>
              <w:tab/>
            </w:r>
            <w:r>
              <w:t xml:space="preserve">patří do vnitrostátní skupiny nebo do nadnárodní skupiny podniků, která sestavuje konsolidovanou účetní závěrku a jejíž roční souhrnné příjmy činily nejméně ve dvou z posledních čtyř účetních let </w:t>
            </w:r>
            <w:r>
              <w:rPr>
                <w:b/>
                <w:i/>
              </w:rPr>
              <w:t>1 miliardu</w:t>
            </w:r>
            <w:r>
              <w:t xml:space="preserve"> EUR nebo více;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patří do vnitrostátní skupiny nebo do nadnárodní skupiny podniků, která sestavuje konsolidovanou účetní závěrku a jejíž roční souhrnné příjmy činily nejméně ve dvou z posledních čtyř účetních let </w:t>
            </w:r>
            <w:r>
              <w:rPr>
                <w:b/>
                <w:i/>
              </w:rPr>
              <w:t>750 000 000 EUR nebo</w:t>
            </w:r>
            <w:r>
              <w:t xml:space="preserve"> více;</w:t>
            </w:r>
          </w:p>
        </w:tc>
        <w:tc>
          <w:tcPr>
            <w:tcW w:w="4876" w:type="dxa"/>
            <w:tcBorders>
              <w:top w:val="nil"/>
              <w:left w:val="nil"/>
              <w:bottom w:val="nil"/>
              <w:right w:val="nil"/>
            </w:tcBorders>
          </w:tcPr>
          <w:p>
            <w:pPr>
              <w:pStyle w:val="Normal6a"/>
            </w:pPr>
            <w:r>
              <w:t>a)</w:t>
            </w:r>
            <w:r>
              <w:tab/>
            </w:r>
            <w:r>
              <w:t xml:space="preserve">patří do vnitrostátní skupiny nebo do nadnárodní skupiny podniků, která sestavuje konsolidovanou účetní závěrku a jejíž roční souhrnné příjmy činily nejméně ve dvou z posledních čtyř účetních let více </w:t>
            </w:r>
            <w:r>
              <w:rPr>
                <w:b/>
                <w:i/>
              </w:rPr>
              <w:t>než 750 000 000 EUR</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Oblast působnosti navrhovaná Komisí by měla být zachována.</w:t>
      </w:r>
    </w:p>
    <w:p>
      <w:r>
        <w:rPr>
          <w:rStyle w:val="HideTWBExt"/>
        </w:rPr>
        <w:t>&lt;/Amend&gt;</w:t>
      </w:r>
    </w:p>
    <w:p>
      <w:pPr>
        <w:pStyle w:val="AmNumberTabs"/>
      </w:pPr>
      <w:r>
        <w:rPr>
          <w:rStyle w:val="HideTWBExt"/>
        </w:rPr>
        <w:t>&lt;Amend&gt;</w:t>
      </w:r>
      <w:r>
        <w:t>Pozměňovací návrh</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patří do vnitrostátní skupiny nebo do nadnárodní skupiny podniků, která sestavuje konsolidovanou účetní závěrku a jejíž roční souhrnné příjmy činily nejméně ve dvou z posledních čtyř účetních let </w:t>
            </w:r>
            <w:r>
              <w:rPr>
                <w:b/>
                <w:i/>
              </w:rPr>
              <w:t>750 000 000</w:t>
            </w:r>
            <w:r>
              <w:t xml:space="preserve"> EUR nebo více;</w:t>
            </w:r>
          </w:p>
        </w:tc>
        <w:tc>
          <w:tcPr>
            <w:tcW w:w="4876" w:type="dxa"/>
            <w:tcBorders>
              <w:top w:val="nil"/>
              <w:left w:val="nil"/>
              <w:bottom w:val="nil"/>
              <w:right w:val="nil"/>
            </w:tcBorders>
          </w:tcPr>
          <w:p>
            <w:pPr>
              <w:pStyle w:val="Normal6a"/>
            </w:pPr>
            <w:r>
              <w:t>a)</w:t>
            </w:r>
            <w:r>
              <w:tab/>
            </w:r>
            <w:r>
              <w:t xml:space="preserve">patří do vnitrostátní skupiny nebo do nadnárodní skupiny podniků, která sestavuje konsolidovanou účetní závěrku a jejíž roční souhrnné příjmy činily nejméně ve dvou z posledních čtyř účetních let </w:t>
            </w:r>
            <w:r>
              <w:rPr>
                <w:b/>
                <w:i/>
              </w:rPr>
              <w:t>750 000 000</w:t>
            </w:r>
            <w:r>
              <w:t xml:space="preserve"> EUR nebo více</w:t>
            </w:r>
            <w:r>
              <w:rPr>
                <w:b/>
                <w:i/>
              </w:rPr>
              <w:t>, podle oblasti působnosti směrnice (EU) 2022/2523 ze dne 14. prosince 2022</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1 – písm. a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Společnosti mají možnost systém BEFIT opustit a učinit jej dobrovolným.</w:t>
            </w:r>
            <w:r>
              <w:t xml:space="preserve"> </w:t>
            </w:r>
            <w:r>
              <w:rPr>
                <w:b/>
                <w:i/>
              </w:rPr>
              <w:t>Systém musí být dostatečně přitažlivý pro podniky, aby z něj mohly čerpat výhody, které nabízí, nikoli proto, že jsou k tomu nuceny.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1 – písm. b – bod 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ii)</w:t>
            </w:r>
            <w:r>
              <w:tab/>
            </w:r>
            <w:r>
              <w:t xml:space="preserve">podléhají jedné z daní z příjmů právnických osob uvedených v příloze II </w:t>
            </w:r>
            <w:r>
              <w:rPr>
                <w:b/>
                <w:i/>
              </w:rPr>
              <w:t>nebo následně zavedené podobné dani;</w:t>
            </w:r>
          </w:p>
        </w:tc>
        <w:tc>
          <w:tcPr>
            <w:tcW w:w="4876" w:type="dxa"/>
            <w:tcBorders>
              <w:top w:val="nil"/>
              <w:left w:val="nil"/>
              <w:bottom w:val="nil"/>
              <w:right w:val="nil"/>
            </w:tcBorders>
          </w:tcPr>
          <w:p>
            <w:pPr>
              <w:pStyle w:val="Normal6a"/>
            </w:pPr>
            <w:r>
              <w:t>ii)</w:t>
            </w:r>
            <w:r>
              <w:tab/>
            </w:r>
            <w:r>
              <w:t>podléhají jedné z daní z příjmů právnických osob uvedených v příloze II</w:t>
            </w:r>
            <w:r>
              <w:rPr>
                <w:b/>
                <w:i/>
              </w:rPr>
              <w:t>.</w:t>
            </w:r>
            <w:r>
              <w:t xml:space="preserve"> </w:t>
            </w:r>
            <w:r>
              <w:rPr>
                <w:b/>
                <w:i/>
              </w:rPr>
              <w:t>Pro účely této směrnice se žádná jiná daň nepovažuje za rovnocennou nebo podobnou, ledaže by ji legislativní změna této směrnice výslovně doplnila do přílohy II řádným legislativním postupem.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1 – písm. c – bod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podléhají jedné z daní z příjmů právnických osob uvedených v příloze II </w:t>
            </w:r>
            <w:r>
              <w:rPr>
                <w:b/>
                <w:i/>
              </w:rPr>
              <w:t>nebo následně zavedené podobné dani;</w:t>
            </w:r>
          </w:p>
        </w:tc>
        <w:tc>
          <w:tcPr>
            <w:tcW w:w="4876" w:type="dxa"/>
            <w:tcBorders>
              <w:top w:val="nil"/>
              <w:left w:val="nil"/>
              <w:bottom w:val="nil"/>
              <w:right w:val="nil"/>
            </w:tcBorders>
          </w:tcPr>
          <w:p>
            <w:pPr>
              <w:pStyle w:val="Normal6a"/>
            </w:pPr>
            <w:r>
              <w:t>i)</w:t>
            </w:r>
            <w:r>
              <w:tab/>
            </w:r>
            <w:r>
              <w:t>podléhají jedné z daní z příjmů právnických osob uvedených v příloze II</w:t>
            </w:r>
            <w:r>
              <w:rPr>
                <w:b/>
                <w:i/>
              </w:rPr>
              <w:t>.</w:t>
            </w:r>
            <w:r>
              <w:t xml:space="preserve"> </w:t>
            </w:r>
            <w:r>
              <w:rPr>
                <w:b/>
                <w:i/>
              </w:rPr>
              <w:t>Pro účely této směrnice se žádná jiná daň nepovažuje za rovnocennou nebo podobnou, ledaže by ji legislativní změna této směrnice výslovně doplnila do přílohy II řádným legislativním postupem.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1 – písm. c – bod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podléhají jedné z daní z příjmů právnických osob uvedených v příloze II nebo následně zavedené podobné dani</w:t>
            </w:r>
            <w:r>
              <w:rPr>
                <w:b/>
                <w:i/>
              </w:rPr>
              <w:t>;</w:t>
            </w:r>
          </w:p>
        </w:tc>
        <w:tc>
          <w:tcPr>
            <w:tcW w:w="4876" w:type="dxa"/>
            <w:tcBorders>
              <w:top w:val="nil"/>
              <w:left w:val="nil"/>
              <w:bottom w:val="nil"/>
              <w:right w:val="nil"/>
            </w:tcBorders>
          </w:tcPr>
          <w:p>
            <w:pPr>
              <w:pStyle w:val="Normal6a"/>
            </w:pPr>
            <w:r>
              <w:t>i)</w:t>
            </w:r>
            <w:r>
              <w:tab/>
            </w:r>
            <w:r>
              <w:t>podléhají jedné z daní z příjmů právnických osob uvedených v příloze II nebo následně zavedené podobné dani</w:t>
            </w:r>
            <w:r>
              <w:rPr>
                <w:b/>
                <w:i/>
              </w:rPr>
              <w:t>, která byla zavedena bez možnosti volby nebo osvobození od daně.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Systém BEFIT je v přechodném období dobrovolný.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Odchylně od odstavce 1 se tato směrnice nevztahuje na společnosti nebo stálé provozovny s nejvyšším mateřským subjektem mimo Unii, pokud souhrnné příjmy skupiny v Unii nepřesahují buď </w:t>
            </w:r>
            <w:r>
              <w:rPr>
                <w:b/>
                <w:i/>
              </w:rPr>
              <w:t>5</w:t>
            </w:r>
            <w:r>
              <w:t xml:space="preserve"> % celkových příjmů skupiny na základě její konsolidované účetní závěrky, nebo částku </w:t>
            </w:r>
            <w:r>
              <w:rPr>
                <w:b/>
                <w:i/>
              </w:rPr>
              <w:t>50</w:t>
            </w:r>
            <w:r>
              <w:t xml:space="preserve"> milionů EUR alespoň ve dvou z posledních čtyř účetních let. Tím není dotčeno právo volby podle odstavce 7.</w:t>
            </w:r>
          </w:p>
        </w:tc>
        <w:tc>
          <w:tcPr>
            <w:tcW w:w="4876" w:type="dxa"/>
            <w:tcBorders>
              <w:top w:val="nil"/>
              <w:left w:val="nil"/>
              <w:bottom w:val="nil"/>
              <w:right w:val="nil"/>
            </w:tcBorders>
          </w:tcPr>
          <w:p>
            <w:pPr>
              <w:pStyle w:val="Normal6a"/>
            </w:pPr>
            <w:r>
              <w:t>2.</w:t>
            </w:r>
            <w:r>
              <w:tab/>
            </w:r>
            <w:r>
              <w:t xml:space="preserve">Odchylně od odstavce 1 se tato směrnice nevztahuje na společnosti nebo stálé provozovny s nejvyšším mateřským subjektem mimo Unii, pokud souhrnné příjmy skupiny v Unii nepřesahují buď </w:t>
            </w:r>
            <w:r>
              <w:rPr>
                <w:b/>
                <w:i/>
              </w:rPr>
              <w:t>2</w:t>
            </w:r>
            <w:r>
              <w:t xml:space="preserve"> % celkových příjmů skupiny na základě její konsolidované účetní závěrky, nebo částku </w:t>
            </w:r>
            <w:r>
              <w:rPr>
                <w:b/>
                <w:i/>
              </w:rPr>
              <w:t>20</w:t>
            </w:r>
            <w:r>
              <w:t xml:space="preserve"> milionů EUR alespoň ve dvou z posledních čtyř účetních let. Tím není dotčeno právo volby podle odstavce 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Odchylně od odstavce 1 se tato směrnice nevztahuje na společnosti nebo stálé provozovny s nejvyšším mateřským subjektem mimo Unii, pokud souhrnné příjmy skupiny v Unii nepřesahují buď </w:t>
            </w:r>
            <w:r>
              <w:rPr>
                <w:b/>
                <w:i/>
              </w:rPr>
              <w:t>5</w:t>
            </w:r>
            <w:r>
              <w:t xml:space="preserve"> % celkových příjmů skupiny na základě její konsolidované účetní závěrky, nebo částku </w:t>
            </w:r>
            <w:r>
              <w:rPr>
                <w:b/>
                <w:i/>
              </w:rPr>
              <w:t>50</w:t>
            </w:r>
            <w:r>
              <w:t xml:space="preserve"> milionů EUR alespoň ve dvou z posledních čtyř účetních let. Tím není dotčeno právo volby podle odstavce 7.</w:t>
            </w:r>
          </w:p>
        </w:tc>
        <w:tc>
          <w:tcPr>
            <w:tcW w:w="4876" w:type="dxa"/>
            <w:tcBorders>
              <w:top w:val="nil"/>
              <w:left w:val="nil"/>
              <w:bottom w:val="nil"/>
              <w:right w:val="nil"/>
            </w:tcBorders>
          </w:tcPr>
          <w:p>
            <w:pPr>
              <w:pStyle w:val="Normal6a"/>
            </w:pPr>
            <w:r>
              <w:t>2.</w:t>
            </w:r>
            <w:r>
              <w:tab/>
            </w:r>
            <w:r>
              <w:t xml:space="preserve">Odchylně od odstavce 1 se tato směrnice nevztahuje na společnosti nebo stálé provozovny s nejvyšším mateřským subjektem mimo Unii, pokud souhrnné příjmy skupiny v Unii nepřesahují buď </w:t>
            </w:r>
            <w:r>
              <w:rPr>
                <w:b/>
                <w:i/>
              </w:rPr>
              <w:t>7</w:t>
            </w:r>
            <w:r>
              <w:t xml:space="preserve"> % celkových příjmů skupiny na základě její konsolidované účetní závěrky, nebo částku </w:t>
            </w:r>
            <w:r>
              <w:rPr>
                <w:b/>
                <w:i/>
              </w:rPr>
              <w:t>60</w:t>
            </w:r>
            <w:r>
              <w:t xml:space="preserve"> milionů EUR alespoň ve dvou z posledních čtyř účetních let. Tím není dotčeno právo volby podle odstavce 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Odchylně od odstavce 1 se tato směrnice nevztahuje na společnosti nebo stálé provozovny s nejvyšším mateřským subjektem mimo Unii, pokud souhrnné příjmy skupiny v Unii nepřesahují buď 5 % celkových příjmů skupiny na základě její konsolidované účetní závěrky, nebo částku </w:t>
            </w:r>
            <w:r>
              <w:rPr>
                <w:b/>
                <w:i/>
              </w:rPr>
              <w:t>50</w:t>
            </w:r>
            <w:r>
              <w:t xml:space="preserve"> milionů EUR alespoň ve dvou z posledních čtyř účetních let. Tím není dotčeno právo volby podle odstavce 7.</w:t>
            </w:r>
          </w:p>
        </w:tc>
        <w:tc>
          <w:tcPr>
            <w:tcW w:w="4876" w:type="dxa"/>
            <w:tcBorders>
              <w:top w:val="nil"/>
              <w:left w:val="nil"/>
              <w:bottom w:val="nil"/>
              <w:right w:val="nil"/>
            </w:tcBorders>
          </w:tcPr>
          <w:p>
            <w:pPr>
              <w:pStyle w:val="Normal6a"/>
            </w:pPr>
            <w:r>
              <w:t>2.</w:t>
            </w:r>
            <w:r>
              <w:tab/>
            </w:r>
            <w:r>
              <w:t xml:space="preserve">Odchylně od odstavce 1 se tato směrnice nevztahuje na společnosti nebo stálé provozovny s nejvyšším mateřským subjektem mimo Unii, pokud souhrnné příjmy skupiny v Unii nepřesahují buď 5 % celkových příjmů skupiny na základě její konsolidované účetní závěrky, nebo částku </w:t>
            </w:r>
            <w:r>
              <w:rPr>
                <w:b/>
                <w:i/>
              </w:rPr>
              <w:t>60</w:t>
            </w:r>
            <w:r>
              <w:t xml:space="preserve"> milionů EUR alespoň ve dvou z posledních čtyř účetních let. Tím není dotčeno právo volby podle odstavce 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Odchylně od odstavce 1 se tato směrnice nevztahuje na společnosti nebo stálé provozovny s nejvyšším mateřským subjektem mimo Unii, pokud souhrnné příjmy skupiny v Unii nepřesahují buď 5 % celkových příjmů skupiny na základě její konsolidované účetní závěrky, nebo částku 50 milionů EUR alespoň ve dvou z posledních čtyř účetních let. Tím není dotčeno právo volby podle odstavce 7.</w:t>
            </w:r>
          </w:p>
        </w:tc>
        <w:tc>
          <w:tcPr>
            <w:tcW w:w="4876" w:type="dxa"/>
            <w:tcBorders>
              <w:top w:val="nil"/>
              <w:left w:val="nil"/>
              <w:bottom w:val="nil"/>
              <w:right w:val="nil"/>
            </w:tcBorders>
          </w:tcPr>
          <w:p>
            <w:pPr>
              <w:pStyle w:val="Normal6a"/>
            </w:pPr>
            <w:r>
              <w:t>2.</w:t>
            </w:r>
            <w:r>
              <w:tab/>
            </w:r>
            <w:r>
              <w:t xml:space="preserve">Odchylně od odstavce 1 se tato směrnice nevztahuje na společnosti nebo stálé provozovny s nejvyšším mateřským subjektem mimo Unii, pokud souhrnné příjmy skupiny v Unii nepřesahují buď 5 % celkových příjmů skupiny na základě její konsolidované účetní závěrky, nebo částku 50 milionů EUR alespoň ve dvou z posledních čtyř účetních let. Tím není dotčeno právo volby podle odstavce 7. </w:t>
            </w:r>
            <w:r>
              <w:rPr>
                <w:b/>
                <w:i/>
              </w:rPr>
              <w:t>Komise ve svém přezkumu a zprávě podle článku 77 zohlední zejména dvoustranné předvstupní daňové smlouvy a posoudí jejich vzájemné působení s touto odchylkou.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Pokud se dvě nebo více skupin sloučí do jedné skupiny, považuje se hranice </w:t>
            </w:r>
            <w:r>
              <w:rPr>
                <w:b/>
                <w:i/>
              </w:rPr>
              <w:t>750 000 000</w:t>
            </w:r>
            <w:r>
              <w:t xml:space="preserve"> EUR uvedená v odstavci 1 za dosaženou pro kterýkoli účetní rok před fúzí, pokud součet souhrnných příjmů skupin provádějících fúzi za daný účetní rok, zahrnutých ve všech jejich konsolidovaných účetních závěrkách, činí </w:t>
            </w:r>
            <w:r>
              <w:rPr>
                <w:b/>
                <w:i/>
              </w:rPr>
              <w:t>750 000 000</w:t>
            </w:r>
            <w:r>
              <w:t xml:space="preserve"> EUR nebo více. Tato směrnice se vztahuje na společnosti a stálé provozovny, které jsou členy této nově vytvořené skupiny, pokud byla tato prahová hodnota splněna alespoň ve dvou z posledních čtyř účetních let.</w:t>
            </w:r>
          </w:p>
        </w:tc>
        <w:tc>
          <w:tcPr>
            <w:tcW w:w="4876" w:type="dxa"/>
            <w:tcBorders>
              <w:top w:val="nil"/>
              <w:left w:val="nil"/>
              <w:bottom w:val="nil"/>
              <w:right w:val="nil"/>
            </w:tcBorders>
          </w:tcPr>
          <w:p>
            <w:pPr>
              <w:pStyle w:val="Normal6a"/>
            </w:pPr>
            <w:r>
              <w:t>3.</w:t>
            </w:r>
            <w:r>
              <w:tab/>
            </w:r>
            <w:r>
              <w:t xml:space="preserve">Pokud se dvě nebo více skupin sloučí do jedné skupiny, považuje se hranice </w:t>
            </w:r>
            <w:r>
              <w:rPr>
                <w:b/>
                <w:i/>
              </w:rPr>
              <w:t>40 000 000</w:t>
            </w:r>
            <w:r>
              <w:t xml:space="preserve"> EUR uvedená v odstavci 1 za dosaženou pro kterýkoli účetní rok před fúzí, pokud součet souhrnných příjmů skupin provádějících fúzi za daný účetní rok, zahrnutých ve všech jejich konsolidovaných účetních závěrkách, činí </w:t>
            </w:r>
            <w:r>
              <w:rPr>
                <w:b/>
                <w:i/>
              </w:rPr>
              <w:t>40 000 000</w:t>
            </w:r>
            <w:r>
              <w:t xml:space="preserve"> EUR nebo více. Tato směrnice se vztahuje na společnosti a stálé provozovny, které jsou členy této nově vytvořené skupiny, pokud byla tato prahová hodnota splněna alespoň ve dvou z posledních čtyř účetních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Pokud se dvě nebo více skupin sloučí do jedné skupiny, považuje se hranice </w:t>
            </w:r>
            <w:r>
              <w:rPr>
                <w:b/>
                <w:i/>
              </w:rPr>
              <w:t>750 000 000 EUR</w:t>
            </w:r>
            <w:r>
              <w:t xml:space="preserve"> uvedená v odstavci 1 za dosaženou pro kterýkoli účetní rok před fúzí, pokud součet souhrnných příjmů skupin provádějících fúzi za daný účetní rok, zahrnutých ve všech jejich konsolidovaných účetních závěrkách, činí </w:t>
            </w:r>
            <w:r>
              <w:rPr>
                <w:b/>
                <w:i/>
              </w:rPr>
              <w:t>750 000 000 EUR</w:t>
            </w:r>
            <w:r>
              <w:t xml:space="preserve"> nebo více. Tato směrnice se vztahuje na společnosti a stálé provozovny, které jsou členy této nově vytvořené skupiny, pokud byla tato prahová hodnota splněna alespoň ve dvou z posledních čtyř účetních let.</w:t>
            </w:r>
          </w:p>
        </w:tc>
        <w:tc>
          <w:tcPr>
            <w:tcW w:w="4876" w:type="dxa"/>
            <w:tcBorders>
              <w:top w:val="nil"/>
              <w:left w:val="nil"/>
              <w:bottom w:val="nil"/>
              <w:right w:val="nil"/>
            </w:tcBorders>
          </w:tcPr>
          <w:p>
            <w:pPr>
              <w:pStyle w:val="Normal6a"/>
            </w:pPr>
            <w:r>
              <w:t>3.</w:t>
            </w:r>
            <w:r>
              <w:tab/>
            </w:r>
            <w:r>
              <w:t xml:space="preserve">Pokud se dvě nebo více skupin sloučí do jedné skupiny, považuje se hranice </w:t>
            </w:r>
            <w:r>
              <w:rPr>
                <w:b/>
                <w:i/>
              </w:rPr>
              <w:t>jedné miliardy eur</w:t>
            </w:r>
            <w:r>
              <w:t xml:space="preserve"> uvedená v odstavci 1 za dosaženou pro kterýkoli účetní rok před fúzí, pokud součet souhrnných příjmů skupin provádějících fúzi za daný účetní rok, zahrnutých ve všech jejich konsolidovaných účetních závěrkách, činí </w:t>
            </w:r>
            <w:r>
              <w:rPr>
                <w:b/>
                <w:i/>
              </w:rPr>
              <w:t>jednu miliardu eur</w:t>
            </w:r>
            <w:r>
              <w:t xml:space="preserve"> nebo více. Tato směrnice se vztahuje na společnosti a stálé provozovny, které jsou členy této nově vytvořené skupiny, pokud byla tato prahová hodnota splněna alespoň ve dvou z posledních čtyř účetních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Pokud se dvě nebo více skupin sloučí do jedné skupiny, považuje se hranice </w:t>
            </w:r>
            <w:r>
              <w:rPr>
                <w:b/>
                <w:i/>
              </w:rPr>
              <w:t>750 000 000</w:t>
            </w:r>
            <w:r>
              <w:t xml:space="preserve"> EUR uvedená v odstavci 1 za dosaženou pro kterýkoli účetní rok před fúzí, pokud součet souhrnných příjmů skupin provádějících fúzi za daný účetní rok, zahrnutých ve všech jejich konsolidovaných účetních závěrkách, činí </w:t>
            </w:r>
            <w:r>
              <w:rPr>
                <w:b/>
                <w:i/>
              </w:rPr>
              <w:t>750 000 000</w:t>
            </w:r>
            <w:r>
              <w:t xml:space="preserve"> EUR nebo více. Tato směrnice se vztahuje na společnosti a stálé provozovny, které jsou členy této nově vytvořené skupiny, pokud byla tato prahová hodnota splněna alespoň ve dvou z posledních čtyř účetních let.</w:t>
            </w:r>
          </w:p>
        </w:tc>
        <w:tc>
          <w:tcPr>
            <w:tcW w:w="4876" w:type="dxa"/>
            <w:tcBorders>
              <w:top w:val="nil"/>
              <w:left w:val="nil"/>
              <w:bottom w:val="nil"/>
              <w:right w:val="nil"/>
            </w:tcBorders>
          </w:tcPr>
          <w:p>
            <w:pPr>
              <w:pStyle w:val="Normal6a"/>
            </w:pPr>
            <w:r>
              <w:t>3.</w:t>
            </w:r>
            <w:r>
              <w:tab/>
            </w:r>
            <w:r>
              <w:t xml:space="preserve">Pokud se dvě nebo více skupin sloučí do jedné skupiny, považuje se hranice </w:t>
            </w:r>
            <w:r>
              <w:rPr>
                <w:b/>
                <w:i/>
              </w:rPr>
              <w:t>750 000 000</w:t>
            </w:r>
            <w:r>
              <w:t xml:space="preserve"> EUR uvedená v odstavci 1 za dosaženou pro kterýkoli účetní rok před fúzí, pokud součet souhrnných příjmů skupin provádějících fúzi za daný účetní rok, zahrnutých ve všech jejich konsolidovaných účetních závěrkách, činí </w:t>
            </w:r>
            <w:r>
              <w:rPr>
                <w:b/>
                <w:i/>
              </w:rPr>
              <w:t>750 000 000</w:t>
            </w:r>
            <w:r>
              <w:t xml:space="preserve"> EUR nebo více. Tato směrnice se vztahuje na společnosti a stálé provozovny, které jsou členy této nově vytvořené skupiny, pokud byla tato prahová hodnota</w:t>
            </w:r>
            <w:r>
              <w:rPr>
                <w:b/>
                <w:i/>
              </w:rPr>
              <w:t>, jak je vymezena ve směrnici (EU) 2022/2523 ze dne 14. prosince 2022,</w:t>
            </w:r>
            <w:r>
              <w:t xml:space="preserve"> splněna alespoň ve dvou z posledních čtyř účetních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Pokud je společnost, která není členem skupiny („cílový subjekt“), nabývána jinou společností nebo skupinou („nabývající subjekt“) a cílový nebo nabývající subjekt nesestavily v žádném ze čtyř účetních let bezprostředně předcházejících účetnímu roku, v němž došlo k nabytí, konsolidovanou účetní závěrku, považuje se prahová hodnota ročních souhrnných příjmů ve výši </w:t>
            </w:r>
            <w:r>
              <w:rPr>
                <w:b/>
                <w:i/>
              </w:rPr>
              <w:t>750 000 000</w:t>
            </w:r>
            <w:r>
              <w:t xml:space="preserve"> EUR uvedená v odstavci 1 pro daný rok za dosaženou, pokud součet příjmů zahrnutých v účetních závěrkách nebo konsolidovaných účetních závěrkách cílového a nabývajícího subjektu za daný účetní rok činí </w:t>
            </w:r>
            <w:r>
              <w:rPr>
                <w:b/>
                <w:i/>
              </w:rPr>
              <w:t>750 000 000</w:t>
            </w:r>
            <w:r>
              <w:t xml:space="preserve"> EUR nebo více. Tato směrnice se na nabývající subjekt vztahuje, pokud byla tato prahová hodnota dosažena alespoň ve dvou ze čtyř účetních let bezprostředně předcházejících účetním rokům, v nichž se na nabývající subjekt začala tato směrnice vztahovat.</w:t>
            </w:r>
          </w:p>
        </w:tc>
        <w:tc>
          <w:tcPr>
            <w:tcW w:w="4876" w:type="dxa"/>
            <w:tcBorders>
              <w:top w:val="nil"/>
              <w:left w:val="nil"/>
              <w:bottom w:val="nil"/>
              <w:right w:val="nil"/>
            </w:tcBorders>
          </w:tcPr>
          <w:p>
            <w:pPr>
              <w:pStyle w:val="Normal6a"/>
            </w:pPr>
            <w:r>
              <w:t>4.</w:t>
            </w:r>
            <w:r>
              <w:tab/>
            </w:r>
            <w:r>
              <w:t xml:space="preserve">Pokud je společnost, která není členem skupiny („cílový subjekt“), nabývána jinou společností nebo skupinou („nabývající subjekt“) a cílový nebo nabývající subjekt nesestavily v žádném ze čtyř účetních let bezprostředně předcházejících účetnímu roku, v němž došlo k nabytí, konsolidovanou účetní závěrku, považuje se prahová hodnota ročních souhrnných příjmů ve výši </w:t>
            </w:r>
            <w:r>
              <w:rPr>
                <w:b/>
                <w:i/>
              </w:rPr>
              <w:t>40 000 000</w:t>
            </w:r>
            <w:r>
              <w:t xml:space="preserve"> EUR uvedená v odstavci 1 pro daný rok za dosaženou, pokud součet příjmů zahrnutých v účetních závěrkách nebo konsolidovaných účetních závěrkách cílového a nabývajícího subjektu za daný účetní rok činí </w:t>
            </w:r>
            <w:r>
              <w:rPr>
                <w:b/>
                <w:i/>
              </w:rPr>
              <w:t>40 000 000</w:t>
            </w:r>
            <w:r>
              <w:t xml:space="preserve"> EUR nebo více. Tato směrnice se na nabývající subjekt vztahuje, pokud byla tato prahová hodnota dosažena alespoň ve dvou ze čtyř účetních let bezprostředně předcházejících účetním rokům, v nichž se na nabývající subjekt začala tato směrnice vztahovat.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Pokud je společnost, která není členem skupiny („cílový subjekt“), nabývána jinou společností nebo skupinou („nabývající subjekt“) a cílový nebo nabývající subjekt nesestavily v žádném ze čtyř účetních let bezprostředně předcházejících účetnímu roku, v němž došlo k nabytí, konsolidovanou účetní závěrku, považuje se prahová hodnota ročních souhrnných příjmů ve výši </w:t>
            </w:r>
            <w:r>
              <w:rPr>
                <w:b/>
                <w:i/>
              </w:rPr>
              <w:t>750 000 000 EUR</w:t>
            </w:r>
            <w:r>
              <w:t xml:space="preserve"> uvedená v odstavci 1 pro daný rok za dosaženou, pokud součet příjmů zahrnutých v účetních závěrkách nebo konsolidovaných účetních závěrkách cílového a nabývajícího subjektu za daný účetní rok činí </w:t>
            </w:r>
            <w:r>
              <w:rPr>
                <w:b/>
                <w:i/>
              </w:rPr>
              <w:t>750 000 000 EUR</w:t>
            </w:r>
            <w:r>
              <w:t xml:space="preserve"> nebo více. Tato směrnice se na nabývající subjekt vztahuje, pokud byla tato prahová hodnota dosažena alespoň ve dvou ze čtyř účetních let bezprostředně předcházejících účetním rokům, v nichž se na nabývající subjekt začala tato směrnice vztahovat.</w:t>
            </w:r>
          </w:p>
        </w:tc>
        <w:tc>
          <w:tcPr>
            <w:tcW w:w="4876" w:type="dxa"/>
            <w:tcBorders>
              <w:top w:val="nil"/>
              <w:left w:val="nil"/>
              <w:bottom w:val="nil"/>
              <w:right w:val="nil"/>
            </w:tcBorders>
          </w:tcPr>
          <w:p>
            <w:pPr>
              <w:pStyle w:val="Normal6a"/>
            </w:pPr>
            <w:r>
              <w:t>4.</w:t>
            </w:r>
            <w:r>
              <w:tab/>
            </w:r>
            <w:r>
              <w:t xml:space="preserve">Pokud je společnost, která není členem skupiny („cílový subjekt“), nabývána jinou společností nebo skupinou („nabývající subjekt“) a cílový nebo nabývající subjekt nesestavily v žádném ze čtyř účetních let bezprostředně předcházejících účetnímu roku, v němž došlo k nabytí, konsolidovanou účetní závěrku, považuje se prahová hodnota ročních souhrnných příjmů ve výši </w:t>
            </w:r>
            <w:r>
              <w:rPr>
                <w:b/>
                <w:i/>
              </w:rPr>
              <w:t>jedné miliardy eur</w:t>
            </w:r>
            <w:r>
              <w:t xml:space="preserve"> uvedená v odstavci 1 pro daný rok za dosaženou, pokud součet příjmů zahrnutých v účetních závěrkách nebo konsolidovaných účetních závěrkách cílového a nabývajícího subjektu za daný účetní rok činí </w:t>
            </w:r>
            <w:r>
              <w:rPr>
                <w:b/>
                <w:i/>
              </w:rPr>
              <w:t>jednu miliardu eur</w:t>
            </w:r>
            <w:r>
              <w:t xml:space="preserve"> nebo více. Tato směrnice se na nabývající subjekt vztahuje, pokud byla tato prahová hodnota dosažena alespoň ve dvou ze čtyř účetních let bezprostředně předcházejících účetním rokům, v nichž se na nabývající subjekt začala tato směrnice vztahovat.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Pokud je společnost, která není členem skupiny („cílový subjekt“), nabývána jinou společností nebo skupinou („nabývající subjekt“) a cílový nebo nabývající subjekt nesestavily v žádném ze čtyř účetních let bezprostředně předcházejících účetnímu roku, v němž došlo k nabytí, konsolidovanou účetní závěrku, považuje se prahová hodnota ročních souhrnných příjmů ve výši </w:t>
            </w:r>
            <w:r>
              <w:rPr>
                <w:b/>
                <w:i/>
              </w:rPr>
              <w:t>750 000 000</w:t>
            </w:r>
            <w:r>
              <w:t xml:space="preserve"> EUR uvedená v odstavci 1 pro daný rok za dosaženou, pokud součet příjmů zahrnutých v účetních závěrkách nebo konsolidovaných účetních závěrkách cílového a nabývajícího subjektu za daný účetní rok činí </w:t>
            </w:r>
            <w:r>
              <w:rPr>
                <w:b/>
                <w:i/>
              </w:rPr>
              <w:t>750 000 000</w:t>
            </w:r>
            <w:r>
              <w:t xml:space="preserve"> EUR nebo více. Tato směrnice se na nabývající subjekt vztahuje, pokud byla tato prahová hodnota dosažena alespoň ve dvou ze čtyř účetních let bezprostředně předcházejících účetním rokům, v nichž se na nabývající subjekt začala tato směrnice vztahovat.</w:t>
            </w:r>
          </w:p>
        </w:tc>
        <w:tc>
          <w:tcPr>
            <w:tcW w:w="4876" w:type="dxa"/>
            <w:tcBorders>
              <w:top w:val="nil"/>
              <w:left w:val="nil"/>
              <w:bottom w:val="nil"/>
              <w:right w:val="nil"/>
            </w:tcBorders>
          </w:tcPr>
          <w:p>
            <w:pPr>
              <w:pStyle w:val="Normal6a"/>
            </w:pPr>
            <w:r>
              <w:t>4.</w:t>
            </w:r>
            <w:r>
              <w:tab/>
            </w:r>
            <w:r>
              <w:t xml:space="preserve">Pokud je společnost, která není členem skupiny („cílový subjekt“), nabývána jinou společností nebo skupinou („nabývající subjekt“) a cílový nebo nabývající subjekt nesestavily v žádném ze čtyř účetních let bezprostředně předcházejících účetnímu roku, v němž došlo k nabytí, konsolidovanou účetní závěrku, považuje se prahová hodnota ročních souhrnných příjmů ve výši </w:t>
            </w:r>
            <w:r>
              <w:rPr>
                <w:b/>
                <w:i/>
              </w:rPr>
              <w:t>750 000 000</w:t>
            </w:r>
            <w:r>
              <w:t xml:space="preserve"> EUR uvedená v odstavci 1 </w:t>
            </w:r>
            <w:r>
              <w:rPr>
                <w:b/>
                <w:i/>
              </w:rPr>
              <w:t>a definovaná v oblasti působnosti směrnice (EU) 2022/2523 ze dne 14. prosince 2022</w:t>
            </w:r>
            <w:r>
              <w:t xml:space="preserve"> pro daný rok za dosaženou, pokud součet příjmů zahrnutých v účetních závěrkách nebo konsolidovaných účetních závěrkách cílového a nabývajícího subjektu za daný účetní rok činí </w:t>
            </w:r>
            <w:r>
              <w:rPr>
                <w:b/>
                <w:i/>
              </w:rPr>
              <w:t>750 000 000</w:t>
            </w:r>
            <w:r>
              <w:t xml:space="preserve"> EUR nebo více. Tato směrnice se na nabývající subjekt vztahuje, pokud byla tato prahová hodnota dosažena alespoň ve dvou ze čtyř účetních let bezprostředně předcházejících účetním rokům, v nichž se na nabývající subjekt začala tato směrnice vztahovat.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5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Pokud dojde k rozdělení skupiny na dvě nebo více skupin („rozdělené skupiny“), považuje se prahová hodnota </w:t>
            </w:r>
            <w:r>
              <w:rPr>
                <w:b/>
                <w:i/>
              </w:rPr>
              <w:t>750 000 000</w:t>
            </w:r>
            <w:r>
              <w:t xml:space="preserve"> EUR uvedená v odstavci 1 za splněnou každou z rozdělených skupin, pokud:</w:t>
            </w:r>
          </w:p>
        </w:tc>
        <w:tc>
          <w:tcPr>
            <w:tcW w:w="4876" w:type="dxa"/>
            <w:tcBorders>
              <w:top w:val="nil"/>
              <w:left w:val="nil"/>
              <w:bottom w:val="nil"/>
              <w:right w:val="nil"/>
            </w:tcBorders>
          </w:tcPr>
          <w:p>
            <w:pPr>
              <w:pStyle w:val="Normal6a"/>
            </w:pPr>
            <w:r>
              <w:t>5.</w:t>
            </w:r>
            <w:r>
              <w:tab/>
            </w:r>
            <w:r>
              <w:t xml:space="preserve">Pokud dojde k rozdělení skupiny na dvě nebo více skupin („rozdělené skupiny“), považuje se prahová hodnota </w:t>
            </w:r>
            <w:r>
              <w:rPr>
                <w:b/>
                <w:i/>
              </w:rPr>
              <w:t>40 000 000</w:t>
            </w:r>
            <w:r>
              <w:t xml:space="preserve"> EUR uvedená v odstavci 1 za splněnou každou z rozdělených skupin, pokud: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5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Pokud dojde k rozdělení skupiny na dvě nebo více skupin („rozdělené skupiny“), považuje se prahová hodnota </w:t>
            </w:r>
            <w:r>
              <w:rPr>
                <w:b/>
                <w:i/>
              </w:rPr>
              <w:t>750 000 000 EUR</w:t>
            </w:r>
            <w:r>
              <w:t xml:space="preserve"> uvedená v odstavci 1 za splněnou každou z rozdělených skupin, pokud:</w:t>
            </w:r>
          </w:p>
        </w:tc>
        <w:tc>
          <w:tcPr>
            <w:tcW w:w="4876" w:type="dxa"/>
            <w:tcBorders>
              <w:top w:val="nil"/>
              <w:left w:val="nil"/>
              <w:bottom w:val="nil"/>
              <w:right w:val="nil"/>
            </w:tcBorders>
          </w:tcPr>
          <w:p>
            <w:pPr>
              <w:pStyle w:val="Normal6a"/>
            </w:pPr>
            <w:r>
              <w:t>5.</w:t>
            </w:r>
            <w:r>
              <w:tab/>
            </w:r>
            <w:r>
              <w:t xml:space="preserve">Pokud dojde k rozdělení skupiny na dvě nebo více skupin („rozdělené skupiny“), považuje se prahová hodnota </w:t>
            </w:r>
            <w:r>
              <w:rPr>
                <w:b/>
                <w:i/>
              </w:rPr>
              <w:t>jedné miliardy eur</w:t>
            </w:r>
            <w:r>
              <w:t xml:space="preserve"> uvedená v odstavci 1 za splněnou každou z rozdělených skupin, pokud: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5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Pokud dojde k rozdělení skupiny na dvě nebo více skupin („rozdělené skupiny“), považuje se prahová hodnota </w:t>
            </w:r>
            <w:r>
              <w:rPr>
                <w:b/>
                <w:i/>
              </w:rPr>
              <w:t>750 000 000</w:t>
            </w:r>
            <w:r>
              <w:t xml:space="preserve"> EUR uvedená v odstavci 1 za splněnou každou z rozdělených skupin, pokud:</w:t>
            </w:r>
          </w:p>
        </w:tc>
        <w:tc>
          <w:tcPr>
            <w:tcW w:w="4876" w:type="dxa"/>
            <w:tcBorders>
              <w:top w:val="nil"/>
              <w:left w:val="nil"/>
              <w:bottom w:val="nil"/>
              <w:right w:val="nil"/>
            </w:tcBorders>
          </w:tcPr>
          <w:p>
            <w:pPr>
              <w:pStyle w:val="Normal6a"/>
            </w:pPr>
            <w:r>
              <w:t>5.</w:t>
            </w:r>
            <w:r>
              <w:tab/>
            </w:r>
            <w:r>
              <w:t xml:space="preserve">Pokud dojde k rozdělení skupiny na dvě nebo více skupin („rozdělené skupiny“), považuje se prahová hodnota </w:t>
            </w:r>
            <w:r>
              <w:rPr>
                <w:b/>
                <w:i/>
              </w:rPr>
              <w:t>750 000 000</w:t>
            </w:r>
            <w:r>
              <w:t xml:space="preserve"> EUR uvedená v odstavci 1 </w:t>
            </w:r>
            <w:r>
              <w:rPr>
                <w:b/>
                <w:i/>
              </w:rPr>
              <w:t>a definovaná v oblasti působnosti směrnice (EU) 2022/2523 ze dne 14. prosince 2022</w:t>
            </w:r>
            <w:r>
              <w:t xml:space="preserve"> za splněnou každou z rozdělených skupin, pokud: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5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v prvním účetním roce končícím po rozdělení má každá z rozdělených skupin v daném účetním roce roční souhrnné příjmy ve výši </w:t>
            </w:r>
            <w:r>
              <w:rPr>
                <w:b/>
                <w:i/>
              </w:rPr>
              <w:t>750 000 000</w:t>
            </w:r>
            <w:r>
              <w:t xml:space="preserve"> EUR nebo více;</w:t>
            </w:r>
          </w:p>
        </w:tc>
        <w:tc>
          <w:tcPr>
            <w:tcW w:w="4876" w:type="dxa"/>
            <w:tcBorders>
              <w:top w:val="nil"/>
              <w:left w:val="nil"/>
              <w:bottom w:val="nil"/>
              <w:right w:val="nil"/>
            </w:tcBorders>
          </w:tcPr>
          <w:p>
            <w:pPr>
              <w:pStyle w:val="Normal6a"/>
            </w:pPr>
            <w:r>
              <w:t>a)</w:t>
            </w:r>
            <w:r>
              <w:tab/>
            </w:r>
            <w:r>
              <w:t xml:space="preserve">v prvním účetním roce končícím po rozdělení má každá z rozdělených skupin v daném účetním roce roční souhrnné příjmy ve výši </w:t>
            </w:r>
            <w:r>
              <w:rPr>
                <w:b/>
                <w:i/>
              </w:rPr>
              <w:t>40 000 000</w:t>
            </w:r>
            <w:r>
              <w:t xml:space="preserve"> EUR nebo více;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5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v prvním účetním roce končícím po rozdělení má každá z rozdělených skupin v daném účetním roce roční souhrnné příjmy ve výši </w:t>
            </w:r>
            <w:r>
              <w:rPr>
                <w:b/>
                <w:i/>
              </w:rPr>
              <w:t>750 000 000 EUR</w:t>
            </w:r>
            <w:r>
              <w:t xml:space="preserve"> nebo více;</w:t>
            </w:r>
          </w:p>
        </w:tc>
        <w:tc>
          <w:tcPr>
            <w:tcW w:w="4876" w:type="dxa"/>
            <w:tcBorders>
              <w:top w:val="nil"/>
              <w:left w:val="nil"/>
              <w:bottom w:val="nil"/>
              <w:right w:val="nil"/>
            </w:tcBorders>
          </w:tcPr>
          <w:p>
            <w:pPr>
              <w:pStyle w:val="Normal6a"/>
            </w:pPr>
            <w:r>
              <w:t>a)</w:t>
            </w:r>
            <w:r>
              <w:tab/>
            </w:r>
            <w:r>
              <w:t xml:space="preserve">v prvním účetním roce končícím po rozdělení má každá z rozdělených skupin v daném účetním roce roční souhrnné příjmy ve výši </w:t>
            </w:r>
            <w:r>
              <w:rPr>
                <w:b/>
                <w:i/>
              </w:rPr>
              <w:t>jedné miliardy eur</w:t>
            </w:r>
            <w:r>
              <w:t xml:space="preserve"> nebo více;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5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ve druhém až čtvrtém účetním roce končícím po rozdělení má každá z rozdělených skupin alespoň ve dvou z těchto účetních let roční souhrnné příjmy ve výši </w:t>
            </w:r>
            <w:r>
              <w:rPr>
                <w:b/>
                <w:i/>
              </w:rPr>
              <w:t>750 000 000</w:t>
            </w:r>
            <w:r>
              <w:t xml:space="preserve"> EUR nebo více.</w:t>
            </w:r>
          </w:p>
        </w:tc>
        <w:tc>
          <w:tcPr>
            <w:tcW w:w="4876" w:type="dxa"/>
            <w:tcBorders>
              <w:top w:val="nil"/>
              <w:left w:val="nil"/>
              <w:bottom w:val="nil"/>
              <w:right w:val="nil"/>
            </w:tcBorders>
          </w:tcPr>
          <w:p>
            <w:pPr>
              <w:pStyle w:val="Normal6a"/>
            </w:pPr>
            <w:r>
              <w:t>b)</w:t>
            </w:r>
            <w:r>
              <w:tab/>
            </w:r>
            <w:r>
              <w:t xml:space="preserve">ve druhém až čtvrtém účetním roce končícím po rozdělení má každá z rozdělených skupin alespoň ve dvou z těchto účetních let roční souhrnné příjmy ve výši </w:t>
            </w:r>
            <w:r>
              <w:rPr>
                <w:b/>
                <w:i/>
              </w:rPr>
              <w:t>40 000 000</w:t>
            </w:r>
            <w:r>
              <w:t xml:space="preserve"> EUR nebo více.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5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ve druhém až čtvrtém účetním roce končícím po rozdělení má každá z rozdělených skupin alespoň ve dvou z těchto účetních let roční souhrnné příjmy ve výši </w:t>
            </w:r>
            <w:r>
              <w:rPr>
                <w:b/>
                <w:i/>
              </w:rPr>
              <w:t>750 000 000 EUR</w:t>
            </w:r>
            <w:r>
              <w:t xml:space="preserve"> nebo více.</w:t>
            </w:r>
          </w:p>
        </w:tc>
        <w:tc>
          <w:tcPr>
            <w:tcW w:w="4876" w:type="dxa"/>
            <w:tcBorders>
              <w:top w:val="nil"/>
              <w:left w:val="nil"/>
              <w:bottom w:val="nil"/>
              <w:right w:val="nil"/>
            </w:tcBorders>
          </w:tcPr>
          <w:p>
            <w:pPr>
              <w:pStyle w:val="Normal6a"/>
            </w:pPr>
            <w:r>
              <w:t>b)</w:t>
            </w:r>
            <w:r>
              <w:tab/>
            </w:r>
            <w:r>
              <w:t xml:space="preserve">ve druhém až čtvrtém účetním roce končícím po rozdělení má každá z rozdělených skupin alespoň ve dvou z těchto účetních let roční souhrnné příjmy ve výši </w:t>
            </w:r>
            <w:r>
              <w:rPr>
                <w:b/>
                <w:i/>
              </w:rPr>
              <w:t>jedné miliardy eur</w:t>
            </w:r>
            <w:r>
              <w:t xml:space="preserve"> nebo více.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Guillaume Peltier</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7.</w:t>
            </w:r>
            <w:r>
              <w:tab/>
            </w:r>
            <w:r>
              <w:rPr>
                <w:b/>
                <w:i/>
              </w:rPr>
              <w:t>Členské státy zajistí, aby se společnosti, které jsou daňovými rezidenty členského státu a splňují podmínky stanovené v odst. 1 písm. b), včetně jejich stálých provozoven umístěných v jiných členských státech, jakož i stálé provozovny subjektů ze třetích zemí umístěné v členských státech, které splňují podmínky odst. 1 písm. c), mohly rozhodnout, že se na ně bude vztahovat tato směrnice, pokud patří do nadnárodní skupiny podniků nebo vnitrostátní skupiny, která sestavuje konsolidovanou účetní závěrku, ale nesplňuje podmínky stanovené v odst. 1 písm. a), pokud jde o prahovou hodnotu 750 000 000 EUR.</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Členské státy zajistí, aby se společnosti, které jsou daňovými rezidenty členského státu a splňují podmínky stanovené v odst. 1 písm. b), včetně jejich stálých provozoven umístěných v jiných členských státech, jakož i stálé provozovny subjektů ze třetích zemí umístěné v členských státech, které splňují podmínky odst. 1 písm. c), mohly rozhodnout, že se na ně bude vztahovat tato směrnice, pokud patří do nadnárodní skupiny podniků nebo vnitrostátní skupiny, která sestavuje konsolidovanou účetní závěrku, ale nesplňuje podmínky stanovené v odst. 1 písm. a), pokud jde o prahovou hodnotu </w:t>
            </w:r>
            <w:r>
              <w:rPr>
                <w:b/>
                <w:i/>
              </w:rPr>
              <w:t>750 000 000</w:t>
            </w:r>
            <w:r>
              <w:t xml:space="preserve"> EUR.</w:t>
            </w:r>
          </w:p>
        </w:tc>
        <w:tc>
          <w:tcPr>
            <w:tcW w:w="4876" w:type="dxa"/>
            <w:tcBorders>
              <w:top w:val="nil"/>
              <w:left w:val="nil"/>
              <w:bottom w:val="nil"/>
              <w:right w:val="nil"/>
            </w:tcBorders>
          </w:tcPr>
          <w:p>
            <w:pPr>
              <w:pStyle w:val="Normal6a"/>
            </w:pPr>
            <w:r>
              <w:t>7.</w:t>
            </w:r>
            <w:r>
              <w:tab/>
            </w:r>
            <w:r>
              <w:t xml:space="preserve">Členské státy zajistí, aby se společnosti, které jsou daňovými rezidenty členského státu a splňují podmínky stanovené v odst. 1 písm. b), včetně jejich stálých provozoven umístěných v jiných členských státech, jakož i stálé provozovny subjektů ze třetích zemí umístěné v členských státech, které splňují podmínky odst. 1 písm. c), mohly rozhodnout, že se na ně bude vztahovat tato směrnice, pokud patří do nadnárodní skupiny podniků nebo vnitrostátní skupiny, která sestavuje konsolidovanou účetní závěrku, ale nesplňuje podmínky stanovené v odst. 1 písm. a), pokud jde o prahovou hodnotu </w:t>
            </w:r>
            <w:r>
              <w:rPr>
                <w:b/>
                <w:i/>
              </w:rPr>
              <w:t>40 000 000</w:t>
            </w:r>
            <w:r>
              <w:t xml:space="preserve"> EUR.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Členské státy zajistí, aby se společnosti, které jsou daňovými rezidenty členského státu a splňují podmínky stanovené v odst. 1 písm. b), včetně jejich stálých provozoven umístěných v jiných členských státech, jakož i stálé provozovny subjektů ze třetích zemí umístěné v členských státech, které splňují podmínky odst. 1 písm. c), mohly rozhodnout, že se na ně bude vztahovat tato směrnice, pokud patří do nadnárodní skupiny podniků nebo vnitrostátní skupiny, která sestavuje konsolidovanou účetní závěrku, ale nesplňuje podmínky stanovené v odst. 1 písm. a), pokud jde o prahovou hodnotu </w:t>
            </w:r>
            <w:r>
              <w:rPr>
                <w:b/>
                <w:i/>
              </w:rPr>
              <w:t>750 000 000 EUR</w:t>
            </w:r>
            <w:r>
              <w:t>.</w:t>
            </w:r>
          </w:p>
        </w:tc>
        <w:tc>
          <w:tcPr>
            <w:tcW w:w="4876" w:type="dxa"/>
            <w:tcBorders>
              <w:top w:val="nil"/>
              <w:left w:val="nil"/>
              <w:bottom w:val="nil"/>
              <w:right w:val="nil"/>
            </w:tcBorders>
          </w:tcPr>
          <w:p>
            <w:pPr>
              <w:pStyle w:val="Normal6a"/>
            </w:pPr>
            <w:r>
              <w:t>7.</w:t>
            </w:r>
            <w:r>
              <w:tab/>
            </w:r>
            <w:r>
              <w:t xml:space="preserve">Členské státy zajistí, aby se společnosti, které jsou daňovými rezidenty členského státu a splňují podmínky stanovené v odst. 1 písm. b), včetně jejich stálých provozoven umístěných v jiných členských státech, jakož i stálé provozovny subjektů ze třetích zemí umístěné v členských státech, které splňují podmínky odst. 1 písm. c), mohly rozhodnout, že se na ně bude vztahovat tato směrnice, pokud patří do nadnárodní skupiny podniků nebo vnitrostátní skupiny, která sestavuje konsolidovanou účetní závěrku, ale nesplňuje podmínky stanovené v odst. 1 písm. a), pokud jde o prahovou hodnotu </w:t>
            </w:r>
            <w:r>
              <w:rPr>
                <w:b/>
                <w:i/>
              </w:rPr>
              <w:t>jedné miliardy eur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Jaroslava Pokorná Jermanová, Ondřej Knotek, Jaroslav Bžoch, Tomáš Kubín, Jana Nagyová, Enikő Győri, Jorge Martín Frías, Klara Dostalova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Členské státy </w:t>
            </w:r>
            <w:r>
              <w:rPr>
                <w:b/>
                <w:i/>
              </w:rPr>
              <w:t>zajistí</w:t>
            </w:r>
            <w:r>
              <w:t>, aby se společnosti, které jsou daňovými rezidenty členského státu a splňují podmínky stanovené v odst. 1 písm. b), včetně jejich stálých provozoven umístěných v jiných členských státech, jakož i stálé provozovny subjektů ze třetích zemí umístěné v členských státech, které splňují podmínky odst. 1 písm. c), mohly rozhodnout, že se na ně bude vztahovat tato směrnice, pokud patří do nadnárodní skupiny podniků nebo vnitrostátní skupiny, která sestavuje konsolidovanou účetní závěrku, ale nesplňuje podmínky stanovené v odst. 1 písm. a), pokud jde o prahovou hodnotu 750 000 000 EUR.</w:t>
            </w:r>
          </w:p>
        </w:tc>
        <w:tc>
          <w:tcPr>
            <w:tcW w:w="4876" w:type="dxa"/>
            <w:tcBorders>
              <w:top w:val="nil"/>
              <w:left w:val="nil"/>
              <w:bottom w:val="nil"/>
              <w:right w:val="nil"/>
            </w:tcBorders>
          </w:tcPr>
          <w:p>
            <w:pPr>
              <w:pStyle w:val="Normal6a"/>
            </w:pPr>
            <w:r>
              <w:t>7.</w:t>
            </w:r>
            <w:r>
              <w:tab/>
            </w:r>
            <w:r>
              <w:t xml:space="preserve">Členské státy </w:t>
            </w:r>
            <w:r>
              <w:rPr>
                <w:b/>
                <w:i/>
              </w:rPr>
              <w:t>mohou zajistit</w:t>
            </w:r>
            <w:r>
              <w:t>, aby se společnosti, které jsou daňovými rezidenty členského státu a splňují podmínky stanovené v odst. 1 písm. b), včetně jejich stálých provozoven umístěných v jiných členských státech, jakož i stálé provozovny subjektů ze třetích zemí umístěné v členských státech, které splňují podmínky odst. 1 písm. c), mohly rozhodnout, že se na ně bude vztahovat tato směrnice, pokud patří do nadnárodní skupiny podniků nebo vnitrostátní skupiny, která sestavuje konsolidovanou účetní závěrku, ale nesplňuje podmínky stanovené v odst. 1 písm. a), pokud jde o prahovou hodnotu 750 000 000 EUR.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Členské státy zajistí, aby se společnosti, které jsou daňovými rezidenty členského státu a splňují podmínky stanovené v odst. 1 písm. b), včetně jejich stálých provozoven umístěných v jiných členských státech, jakož i stálé provozovny subjektů ze třetích zemí umístěné v členských státech, které splňují podmínky odst. 1 písm. c), mohly rozhodnout, že se na ně bude vztahovat tato směrnice, pokud patří do nadnárodní skupiny podniků nebo vnitrostátní skupiny, která sestavuje konsolidovanou účetní závěrku, ale nesplňuje podmínky stanovené v odst. 1 písm. a), pokud jde o prahovou hodnotu 750 000 000 EUR.</w:t>
            </w:r>
          </w:p>
        </w:tc>
        <w:tc>
          <w:tcPr>
            <w:tcW w:w="4876" w:type="dxa"/>
            <w:tcBorders>
              <w:top w:val="nil"/>
              <w:left w:val="nil"/>
              <w:bottom w:val="nil"/>
              <w:right w:val="nil"/>
            </w:tcBorders>
          </w:tcPr>
          <w:p>
            <w:pPr>
              <w:pStyle w:val="Normal6a"/>
            </w:pPr>
            <w:r>
              <w:t>7.</w:t>
            </w:r>
            <w:r>
              <w:tab/>
            </w:r>
            <w:r>
              <w:t xml:space="preserve">Členské státy zajistí, aby se společnosti, které jsou daňovými rezidenty členského státu a splňují podmínky stanovené v odst. 1 písm. b), včetně jejich stálých provozoven umístěných v jiných členských státech, jakož i stálé provozovny subjektů ze třetích zemí umístěné v členských státech, které splňují podmínky odst. 1 písm. c), mohly rozhodnout, že se na ně bude vztahovat tato směrnice, pokud patří do nadnárodní skupiny podniků nebo vnitrostátní skupiny, která sestavuje konsolidovanou účetní závěrku, ale nesplňuje podmínky stanovené v odst. 1 písm. a), pokud jde o prahovou hodnotu 750 000 000 EUR </w:t>
            </w:r>
            <w:r>
              <w:rPr>
                <w:b/>
                <w:i/>
              </w:rPr>
              <w:t>vymezené v oblasti působnosti směrnice (EU) 2022/2523 ze dne 14</w:t>
            </w:r>
            <w:r>
              <w:t xml:space="preserve">. </w:t>
            </w:r>
            <w:r>
              <w:rPr>
                <w:b/>
                <w:i/>
              </w:rPr>
              <w:t>prosince 2022.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Komisi je svěřena pravomoc přijímat akty v přenesené pravomoci v souladu s článkem 74 za účelem změny příloh I a II </w:t>
            </w:r>
            <w:r>
              <w:rPr>
                <w:b/>
                <w:i/>
              </w:rPr>
              <w:t>s ohledem na</w:t>
            </w:r>
            <w:r>
              <w:t xml:space="preserve"> změny právních předpisů členských států týkajících se forem společností a daní z příjmů právnických osob.</w:t>
            </w:r>
          </w:p>
        </w:tc>
        <w:tc>
          <w:tcPr>
            <w:tcW w:w="4876" w:type="dxa"/>
            <w:tcBorders>
              <w:top w:val="nil"/>
              <w:left w:val="nil"/>
              <w:bottom w:val="nil"/>
              <w:right w:val="nil"/>
            </w:tcBorders>
          </w:tcPr>
          <w:p>
            <w:pPr>
              <w:pStyle w:val="Normal6a"/>
            </w:pPr>
            <w:r>
              <w:t>8.</w:t>
            </w:r>
            <w:r>
              <w:tab/>
            </w:r>
            <w:r>
              <w:t>Komisi je svěřena pravomoc přijímat akty v přenesené pravomoci v souladu s článkem 74 za účelem změny příloh I a II </w:t>
            </w:r>
            <w:r>
              <w:rPr>
                <w:b/>
                <w:i/>
              </w:rPr>
              <w:t>výhradně tak, aby odrážely technické</w:t>
            </w:r>
            <w:r>
              <w:t xml:space="preserve"> změny právních předpisů členských států týkajících se forem společností a daní z příjmů právnických osob</w:t>
            </w:r>
            <w:r>
              <w:rPr>
                <w:b/>
                <w:i/>
              </w:rPr>
              <w:t>, aniž by došlo k rozšíření, omezení nebo novému výkladu oblasti působnosti této směrnice</w:t>
            </w:r>
            <w:r>
              <w:t xml:space="preserve">. </w:t>
            </w:r>
            <w:r>
              <w:rPr>
                <w:b/>
                <w:i/>
              </w:rPr>
              <w:t>Použitím aktů v přenesené pravomoci není dotčena věcná oblast působnosti ani použitelnost této směrnice.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Oblast působnosti této směrnice, jak je vymezena v tomto článku, je přísně omezena na kritéria a subjekty v ní uvedené.</w:t>
            </w:r>
            <w:r>
              <w:t xml:space="preserve"> </w:t>
            </w:r>
            <w:r>
              <w:rPr>
                <w:b/>
                <w:i/>
              </w:rPr>
              <w:t>Nemůže být předmětem rozšíření, omezení nebo nového výkladu prostřednictvím aktů v přenesené pravomoci, prováděcích aktů, pokynů nebo jiných sekundárních nástrojů.</w:t>
            </w:r>
            <w:r>
              <w:t xml:space="preserve"> </w:t>
            </w:r>
            <w:r>
              <w:rPr>
                <w:b/>
                <w:i/>
              </w:rPr>
              <w:t>Jakákoli změna její oblasti působnosti vyžaduje legislativní změnu řádným legislativním postupem.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 – odst. 8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Žádným ustanovením této směrnice není dotčena pravomoc členských států stanovit a uplatňovat vlastní vnitrostátní pravidla a postupy pro vyměřování, výběr, vymáhání a kontrolu daně z příjmu právnických osob, pokud tato pravidla nenarušují jednotné uplatňování společného základu daně a pravidel pro přidělování a jsou uplatňována v souladu s mechanismy spolupráce a koordinace stanovenými v kapitole 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 – odst. 1 – bod 10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pokud se nejvyšší mateřský subjekt nenachází v členském státě, subjekt nacházející se v členském státě, který byl skupinou BEFIT pověřen, aby jménem skupiny BEFIT plnil povinnosti týkající se informačního přehledu skupiny BEFIT stanovené v článku 57;</w:t>
            </w:r>
          </w:p>
        </w:tc>
        <w:tc>
          <w:tcPr>
            <w:tcW w:w="4876" w:type="dxa"/>
            <w:tcBorders>
              <w:top w:val="nil"/>
              <w:left w:val="nil"/>
              <w:bottom w:val="nil"/>
              <w:right w:val="nil"/>
            </w:tcBorders>
          </w:tcPr>
          <w:p>
            <w:pPr>
              <w:pStyle w:val="Normal6a"/>
            </w:pPr>
            <w:r>
              <w:t>b)</w:t>
            </w:r>
            <w:r>
              <w:tab/>
            </w:r>
            <w:r>
              <w:t xml:space="preserve">pokud se nejvyšší mateřský subjekt nenachází v členském státě, </w:t>
            </w:r>
            <w:r>
              <w:rPr>
                <w:b/>
                <w:i/>
              </w:rPr>
              <w:t>zprostředkující mateřský</w:t>
            </w:r>
            <w:r>
              <w:t xml:space="preserve"> subjekt nacházející se v členském státě, </w:t>
            </w:r>
            <w:r>
              <w:rPr>
                <w:b/>
                <w:i/>
              </w:rPr>
              <w:t>nebo pokud takový subjekt neexistuje, subjekt, který se nachází v členském státě a</w:t>
            </w:r>
            <w:r>
              <w:t xml:space="preserve"> který byl skupinou BEFIT pověřen, aby jménem skupiny BEFIT plnil povinnosti týkající se informačního přehledu skupiny BEFIT stanovené v článku 57;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 – odst. 1 – 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„ekonomickým vlastníkem“ se rozumí osoba, která v podstatě získává </w:t>
            </w:r>
            <w:r>
              <w:rPr>
                <w:b/>
                <w:i/>
              </w:rPr>
              <w:t>všechny výhody</w:t>
            </w:r>
            <w:r>
              <w:t xml:space="preserve"> a nese </w:t>
            </w:r>
            <w:r>
              <w:rPr>
                <w:b/>
                <w:i/>
              </w:rPr>
              <w:t>všechna rizika spojená</w:t>
            </w:r>
            <w:r>
              <w:t xml:space="preserve"> s dlouhodobým aktivem, bez ohledu na to, zda je tato osoba právním vlastníkem. Daňový poplatník, který má právo vlastnit a užívat dlouhodobé aktivum a zcizit jej a nese riziko jeho ztráty nebo zničení, je v každém případě považován za ekonomického vlastníka;</w:t>
            </w:r>
          </w:p>
        </w:tc>
        <w:tc>
          <w:tcPr>
            <w:tcW w:w="4876" w:type="dxa"/>
            <w:tcBorders>
              <w:top w:val="nil"/>
              <w:left w:val="nil"/>
              <w:bottom w:val="nil"/>
              <w:right w:val="nil"/>
            </w:tcBorders>
          </w:tcPr>
          <w:p>
            <w:pPr>
              <w:pStyle w:val="Normal6a"/>
            </w:pPr>
            <w:r>
              <w:t>15)</w:t>
            </w:r>
            <w:r>
              <w:tab/>
            </w:r>
            <w:r>
              <w:t xml:space="preserve">„ekonomickým vlastníkem“ se rozumí osoba, která v podstatě získává </w:t>
            </w:r>
            <w:r>
              <w:rPr>
                <w:b/>
                <w:i/>
              </w:rPr>
              <w:t>většinu výhod</w:t>
            </w:r>
            <w:r>
              <w:t xml:space="preserve"> a nese </w:t>
            </w:r>
            <w:r>
              <w:rPr>
                <w:b/>
                <w:i/>
              </w:rPr>
              <w:t>většinu rizik spojených</w:t>
            </w:r>
            <w:r>
              <w:t xml:space="preserve"> s dlouhodobým aktivem, bez ohledu na to, zda je tato osoba právním vlastníkem. Daňový poplatník, který má právo vlastnit a užívat dlouhodobé aktivum a zcizit jej a nese riziko jeho ztráty nebo zničení, je v každém případě považován za ekonomického vlastníka;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 – odst. 1 – 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w:t>
            </w:r>
            <w:r>
              <w:rPr>
                <w:b/>
                <w:i/>
              </w:rPr>
              <w:t>ekonomickým vlastníkem</w:t>
            </w:r>
            <w:r>
              <w:t xml:space="preserve">“ </w:t>
            </w:r>
            <w:r>
              <w:rPr>
                <w:b/>
                <w:i/>
              </w:rPr>
              <w:t>se</w:t>
            </w:r>
            <w:r>
              <w:t xml:space="preserve"> rozumí osoba, která v podstatě získává všechny výhody a nese všechna rizika spojená s dlouhodobým aktivem, bez ohledu na to, zda je tato osoba právním vlastníkem. Daňový poplatník, který má právo vlastnit a užívat dlouhodobé aktivum a zcizit jej a nese riziko jeho ztráty nebo zničení, je v každém případě považován za ekonomického vlastníka;</w:t>
            </w:r>
          </w:p>
        </w:tc>
        <w:tc>
          <w:tcPr>
            <w:tcW w:w="4876" w:type="dxa"/>
            <w:tcBorders>
              <w:top w:val="nil"/>
              <w:left w:val="nil"/>
              <w:bottom w:val="nil"/>
              <w:right w:val="nil"/>
            </w:tcBorders>
          </w:tcPr>
          <w:p>
            <w:pPr>
              <w:pStyle w:val="Normal6a"/>
            </w:pPr>
            <w:r>
              <w:t>15)</w:t>
            </w:r>
            <w:r>
              <w:tab/>
            </w:r>
            <w:r>
              <w:t>„</w:t>
            </w:r>
            <w:r>
              <w:rPr>
                <w:b/>
                <w:i/>
              </w:rPr>
              <w:t>ekonomický vlastník</w:t>
            </w:r>
            <w:r>
              <w:t xml:space="preserve">“ </w:t>
            </w:r>
            <w:r>
              <w:rPr>
                <w:b/>
                <w:i/>
              </w:rPr>
              <w:t>má význam, který mu byl přiřazen v předchozích návrzích, konkrétně se jím</w:t>
            </w:r>
            <w:r>
              <w:t xml:space="preserve"> rozumí osoba, která v podstatě získává všechny výhody a nese všechna rizika spojená s dlouhodobým aktivem, bez ohledu na to, zda je tato osoba právním vlastníkem. Daňový poplatník, který má právo vlastnit a užívat dlouhodobé aktivum a zcizit jej a nese riziko jeho ztráty nebo zničení, je v každém případě považován za ekonomického vlastníka;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 – odst. 1 – 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„základním přidělením“ se rozumí metoda přidělení základu daně BEFIT členům skupiny BEFIT v </w:t>
            </w:r>
            <w:r>
              <w:rPr>
                <w:b/>
                <w:i/>
              </w:rPr>
              <w:t>každém účetním roce přechodného období v</w:t>
            </w:r>
            <w:r>
              <w:t xml:space="preserve"> souladu s článkem 45;</w:t>
            </w:r>
          </w:p>
        </w:tc>
        <w:tc>
          <w:tcPr>
            <w:tcW w:w="4876" w:type="dxa"/>
            <w:tcBorders>
              <w:top w:val="nil"/>
              <w:left w:val="nil"/>
              <w:bottom w:val="nil"/>
              <w:right w:val="nil"/>
            </w:tcBorders>
          </w:tcPr>
          <w:p>
            <w:pPr>
              <w:pStyle w:val="Normal6a"/>
            </w:pPr>
            <w:r>
              <w:t>16)</w:t>
            </w:r>
            <w:r>
              <w:tab/>
            </w:r>
            <w:r>
              <w:t>„základním přidělením“ se rozumí metoda přidělení základu daně BEFIT členům skupiny BEFIT v souladu s článkem 45;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Členské státy mohou povolit plný a okamžitý odpočet kapitálových výdajů souvisejících s novými nebo zlepšenými hmotnými a nehmotnými aktivy, jež mají za cíl vylepšit produktivitu, energetickou účinnost nebo digitalizaci.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Významná hospodářská přítomnost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Pro účely daně z příjmů právnických osob se předpokládá existence stálé provozovny, pokud existuje významná hospodářská přítomnost, jejímž prostřednictvím je hospodářská činnost plně nebo částečně vykonávána.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Odstavec 1 doplňuje a neovlivňuje ani neomezuje použití jakéhokoli jiného testu podle práva Unie nebo vnitrostátního práva k určení existence stálé provozovny v členském státě pro účely daně z příjmů právnických osob, ať již konkrétně ve vztahu k poskytování digitálních služeb, nebo jinak.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Má se za to, že v členském státě ve zdaňovacím období existuje významná hospodářská přítomnost, pokud celkové příjmy skupiny BEFIT z tohoto členského státu přesahují 1 000 000 EUR, a/nebo v členském státě, v němž je většina práv duševního vlastnictví skupiny, jako jsou patenty.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Komise tyto příjmy vymezí prostřednictvím prováděcích aktů, kterými stanoví podrobnou metodiku pro pravidla získávání zdrojů.</w:t>
            </w:r>
            <w:r>
              <w:t xml:space="preserve"> </w:t>
            </w:r>
            <w:r>
              <w:rPr>
                <w:b/>
                <w:i/>
              </w:rPr>
              <w:t>Tyto prováděcí akty se přijímají přezkumným postupem.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Významná hospodářská přítomnost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Pro účely daně z příjmů právnických osob se předpokládá existence stálé provozovny, pokud existuje významná hospodářská přítomnost, jejímž prostřednictvím je hospodářská činnost plně nebo částečně vykonávána.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Odstavec 1 doplňuje a neovlivňuje ani neomezuje použití jakéhokoli jiného testu podle práva Unie nebo vnitrostátního práva k určení existence stálé provozovny v členském státě pro účely daně z příjmů právnických osob, ať již konkrétně ve vztahu k poskytování digitálních služeb, nebo jinak.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Má se za to, že „významná ekonomická přítomnost“ v členském státě ve zdaňovacím období existuje, pokud celkové získané příjmy přesahují 1 000 000 EUR.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Komise tyto příjmy vymezí prostřednictvím prováděcího aktu, kterým stanoví podrobnou metodiku pro získávání zdrojů.</w:t>
            </w:r>
            <w:r>
              <w:t xml:space="preserve"> </w:t>
            </w:r>
            <w:r>
              <w:rPr>
                <w:b/>
                <w:i/>
              </w:rPr>
              <w:t>Tyto prováděcí akty se přijímají přezkumným postupem podle článku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Významná hospodářská přítomnost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Pro účely daně z příjmů právnických osob se předpokládá existence stálé provozovny, pokud existuje významná hospodářská přítomnost, jejímž prostřednictvím je plně nebo částečně vykonávána hospodářská činnost.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Odstavec 1 doplňuje a neovlivňuje ani neomezuje použití jakéhokoli jiného testu podle práva Unie nebo vnitrostátního práva k určení existence stálé provozovny v členském státě pro účely daně z příjmů právnických osob, ať již konkrétně ve vztahu k poskytování digitálních služeb, nebo jinak.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Má se za to, že významná hospodářská přítomnost v členském státě ve zdaňovacím období existuje, pokud celkové příjmy získané skupinou BEFIT z tohoto členského státu přesahují 1 000 000 EUR.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Komise tyto příjmy vymezí prostřednictvím prováděcích aktů, kterými stanoví podrobnou metodiku pro pravidla získávání zdrojů.</w:t>
            </w:r>
            <w:r>
              <w:t xml:space="preserve"> </w:t>
            </w:r>
            <w:r>
              <w:rPr>
                <w:b/>
                <w:i/>
              </w:rPr>
              <w:t>Tyto prováděcí akty se přijímají přezkumným postupem.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společnost je buď nejvyšším mateřským subjektem skupiny, nebo jakoukoli jinou společností skupiny, v níž nejvyšší mateřský subjekt přímo nebo nepřímo drží alespoň </w:t>
            </w:r>
            <w:r>
              <w:rPr>
                <w:b/>
                <w:i/>
              </w:rPr>
              <w:t>75</w:t>
            </w:r>
            <w:r>
              <w:t xml:space="preserve"> % vlastnických práv nebo práv spojených s nárokem na zisk;</w:t>
            </w:r>
          </w:p>
        </w:tc>
        <w:tc>
          <w:tcPr>
            <w:tcW w:w="4876" w:type="dxa"/>
            <w:tcBorders>
              <w:top w:val="nil"/>
              <w:left w:val="nil"/>
              <w:bottom w:val="nil"/>
              <w:right w:val="nil"/>
            </w:tcBorders>
          </w:tcPr>
          <w:p>
            <w:pPr>
              <w:pStyle w:val="Normal6a"/>
            </w:pPr>
            <w:r>
              <w:t>a)</w:t>
            </w:r>
            <w:r>
              <w:tab/>
            </w:r>
            <w:r>
              <w:t xml:space="preserve">společnost je buď nejvyšším mateřským subjektem skupiny, nebo jakoukoli jinou společností skupiny, v níž nejvyšší mateřský subjekt přímo nebo nepřímo drží alespoň </w:t>
            </w:r>
            <w:r>
              <w:rPr>
                <w:b/>
                <w:i/>
              </w:rPr>
              <w:t>25</w:t>
            </w:r>
            <w:r>
              <w:t> % vlastnických práv nebo práv spojených s nárokem na zisk;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společnost je buď nejvyšším mateřským subjektem skupiny, nebo jakoukoli jinou společností skupiny, v níž nejvyšší mateřský subjekt přímo nebo nepřímo drží alespoň </w:t>
            </w:r>
            <w:r>
              <w:rPr>
                <w:b/>
                <w:i/>
              </w:rPr>
              <w:t>75</w:t>
            </w:r>
            <w:r>
              <w:t xml:space="preserve"> % vlastnických práv nebo práv spojených s nárokem na zisk;</w:t>
            </w:r>
          </w:p>
        </w:tc>
        <w:tc>
          <w:tcPr>
            <w:tcW w:w="4876" w:type="dxa"/>
            <w:tcBorders>
              <w:top w:val="nil"/>
              <w:left w:val="nil"/>
              <w:bottom w:val="nil"/>
              <w:right w:val="nil"/>
            </w:tcBorders>
          </w:tcPr>
          <w:p>
            <w:pPr>
              <w:pStyle w:val="Normal6a"/>
            </w:pPr>
            <w:r>
              <w:t>a)</w:t>
            </w:r>
            <w:r>
              <w:tab/>
            </w:r>
            <w:r>
              <w:t xml:space="preserve">společnost je buď nejvyšším mateřským subjektem skupiny, </w:t>
            </w:r>
            <w:r>
              <w:rPr>
                <w:b/>
                <w:i/>
              </w:rPr>
              <w:t>zprostředkující mateřskou společností nacházející se v členském státě</w:t>
            </w:r>
            <w:r>
              <w:t xml:space="preserve"> nebo jakoukoli jinou společností skupiny, v níž nejvyšší mateřský subjekt přímo nebo nepřímo drží alespoň </w:t>
            </w:r>
            <w:r>
              <w:rPr>
                <w:b/>
                <w:i/>
              </w:rPr>
              <w:t>50</w:t>
            </w:r>
            <w:r>
              <w:t> % vlastnických práv nebo práv spojených s nárokem na zisk;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společnost je buď nejvyšším mateřským subjektem skupiny, nebo jakoukoli jinou společností skupiny, v níž nejvyšší mateřský subjekt přímo nebo nepřímo drží alespoň </w:t>
            </w:r>
            <w:r>
              <w:rPr>
                <w:b/>
                <w:i/>
              </w:rPr>
              <w:t>75</w:t>
            </w:r>
            <w:r>
              <w:t xml:space="preserve"> % vlastnických práv nebo práv spojených s nárokem na zisk;</w:t>
            </w:r>
          </w:p>
        </w:tc>
        <w:tc>
          <w:tcPr>
            <w:tcW w:w="4876" w:type="dxa"/>
            <w:tcBorders>
              <w:top w:val="nil"/>
              <w:left w:val="nil"/>
              <w:bottom w:val="nil"/>
              <w:right w:val="nil"/>
            </w:tcBorders>
          </w:tcPr>
          <w:p>
            <w:pPr>
              <w:pStyle w:val="Normal6a"/>
            </w:pPr>
            <w:r>
              <w:t>a)</w:t>
            </w:r>
            <w:r>
              <w:tab/>
            </w:r>
            <w:r>
              <w:t xml:space="preserve">společnost je buď nejvyšším mateřským subjektem skupiny, nebo jakoukoli jinou společností skupiny, v níž nejvyšší mateřský subjekt přímo nebo nepřímo drží alespoň </w:t>
            </w:r>
            <w:r>
              <w:rPr>
                <w:b/>
                <w:i/>
              </w:rPr>
              <w:t>50</w:t>
            </w:r>
            <w:r>
              <w:t xml:space="preserve"> % vlastnických práv nebo práv spojených s nárokem na zisk;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251</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 – odst. 1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sídlo stálé provozovny je buď nejvyšším mateřským subjektem skupiny, </w:t>
            </w:r>
            <w:r>
              <w:rPr>
                <w:b/>
                <w:i/>
              </w:rPr>
              <w:t>nebo</w:t>
            </w:r>
            <w:r>
              <w:t xml:space="preserve"> jakýmkoli jiným členem (společností nebo subjektem) skupiny, v níž nejvyšší mateřský subjekt přímo nebo nepřímo drží alespoň </w:t>
            </w:r>
            <w:r>
              <w:rPr>
                <w:b/>
                <w:i/>
              </w:rPr>
              <w:t>75</w:t>
            </w:r>
            <w:r>
              <w:t xml:space="preserve"> % vlastnických práv nebo práv spojených s nárokem na zisk.</w:t>
            </w:r>
          </w:p>
        </w:tc>
        <w:tc>
          <w:tcPr>
            <w:tcW w:w="4876" w:type="dxa"/>
            <w:tcBorders>
              <w:top w:val="nil"/>
              <w:left w:val="nil"/>
              <w:bottom w:val="nil"/>
              <w:right w:val="nil"/>
            </w:tcBorders>
          </w:tcPr>
          <w:p>
            <w:pPr>
              <w:pStyle w:val="Normal6a"/>
            </w:pPr>
            <w:r>
              <w:t>b)</w:t>
            </w:r>
            <w:r>
              <w:tab/>
            </w:r>
            <w:r>
              <w:t xml:space="preserve">sídlo stálé provozovny je buď nejvyšším mateřským subjektem skupiny, jakýmkoli jiným členem (společností nebo subjektem) skupiny </w:t>
            </w:r>
            <w:r>
              <w:rPr>
                <w:b/>
                <w:i/>
              </w:rPr>
              <w:t>nebo zprostředkující mateřskou společností nacházející se v členském státě</w:t>
            </w:r>
            <w:r>
              <w:t xml:space="preserve">, v níž nejvyšší mateřský subjekt přímo nebo nepřímo drží alespoň </w:t>
            </w:r>
            <w:r>
              <w:rPr>
                <w:b/>
                <w:i/>
              </w:rPr>
              <w:t>50</w:t>
            </w:r>
            <w:r>
              <w:t xml:space="preserve"> % vlastnických práv nebo práv spojených s nárokem na zisk.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252</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 – odst. 1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sídlo stálé provozovny je buď nejvyšším mateřským subjektem skupiny, nebo jakýmkoli jiným členem (společností nebo subjektem) skupiny, v níž nejvyšší mateřský subjekt přímo nebo nepřímo drží alespoň </w:t>
            </w:r>
            <w:r>
              <w:rPr>
                <w:b/>
                <w:i/>
              </w:rPr>
              <w:t>75</w:t>
            </w:r>
            <w:r>
              <w:t xml:space="preserve"> % vlastnických práv nebo práv spojených s nárokem na zisk.</w:t>
            </w:r>
          </w:p>
        </w:tc>
        <w:tc>
          <w:tcPr>
            <w:tcW w:w="4876" w:type="dxa"/>
            <w:tcBorders>
              <w:top w:val="nil"/>
              <w:left w:val="nil"/>
              <w:bottom w:val="nil"/>
              <w:right w:val="nil"/>
            </w:tcBorders>
          </w:tcPr>
          <w:p>
            <w:pPr>
              <w:pStyle w:val="Normal6a"/>
            </w:pPr>
            <w:r>
              <w:t>b)</w:t>
            </w:r>
            <w:r>
              <w:tab/>
            </w:r>
            <w:r>
              <w:t xml:space="preserve">sídlo stálé provozovny je buď nejvyšším mateřským subjektem skupiny, nebo jakýmkoli jiným členem (společností nebo subjektem) skupiny, v níž nejvyšší mateřský subjekt přímo nebo nepřímo drží alespoň </w:t>
            </w:r>
            <w:r>
              <w:rPr>
                <w:b/>
                <w:i/>
              </w:rPr>
              <w:t>50</w:t>
            </w:r>
            <w:r>
              <w:t xml:space="preserve"> % vlastnických práv nebo práv spojených s nárokem na zisk.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253</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Společnost nebo stálá provozovna se stává členem skupiny BEFIT ke dni dosažení prahových hodnot uvedených v odstavci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254</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Článek 6</w:t>
            </w:r>
            <w:r>
              <w:tab/>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Požadavky na dobu držení</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Člen skupiny BEFIT splňuje prahové hodnoty uvedené v čl. 5 odst. 1 bez přerušení po celý účetní rok.</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Společnost nebo stálá provozovna se stává členem skupiny BEFIT ke dni dosažení prahových hodnot uvedených v čl. 5 odst. 1.</w:t>
            </w:r>
            <w:r>
              <w:rPr>
                <w:b/>
                <w:i/>
              </w:rPr>
              <w:t xml:space="preserve"> </w:t>
            </w:r>
            <w:r>
              <w:rPr>
                <w:b/>
                <w:i/>
              </w:rPr>
              <w:t>Prahové hodnoty jsou splněny po dobu nejméně devíti po sobě jdoucích měsíců.</w:t>
            </w:r>
            <w:r>
              <w:rPr>
                <w:b/>
                <w:i/>
              </w:rPr>
              <w:t xml:space="preserve"> </w:t>
            </w:r>
            <w:r>
              <w:rPr>
                <w:b/>
                <w:i/>
              </w:rPr>
              <w:t>Pokud společnost nebo případně stálá provozovna nedosahuje prahových hodnot za toto požadované období, bude se na ni pohlížet, jako by nikdy nebyla členem skupiny BEFIT.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Společnost nebo stálá provozovna přestává být členem skupiny BEFIT v den, který následuje po dni, kdy již nesplňuje prahové hodnoty uvedené v čl. 5 odst. 1.</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255</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 – odst.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Odchylně od odstavce 1 může člen skupiny BEFIT stanovit svůj předběžný daňový výsledek pomocí finančního účetního standardu přijatého v jurisdikci, v níž je usazen, za předpokladu, že tento standard zajišťuje věrný a poctivý obraz skutečnosti a podléhá přiměřeným mechanismům auditu a dohledu.</w:t>
            </w:r>
            <w:r>
              <w:t xml:space="preserve"> </w:t>
            </w:r>
            <w:r>
              <w:rPr>
                <w:b/>
                <w:i/>
              </w:rPr>
              <w:t>Komise přijme prováděcí akty za účelem stanovení minimálních kritérií srovnatelnosti a spolehlivosti těchto standardů, aby byla zajištěna shoda mezi členskými státy.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256</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Odchylně od odstavce 1, pokud členský stát uplatňuje vnitrostátní </w:t>
            </w:r>
            <w:r>
              <w:rPr>
                <w:b/>
                <w:i/>
              </w:rPr>
              <w:t>právní předpisy, které skupinám umožňují sestavovat, kontrolovat a zveřejňovat účetní závěrky na základě jurisdikce</w:t>
            </w:r>
            <w:r>
              <w:t>, lze předběžný daňový výsledek a přidělení základu daně BEFIT členům skupiny BEFIT, kteří jsou daňovými rezidenty tohoto členského státu, rovněž vypočítat na základě jurisdikce, pokud skupina může pro každého člena skupiny BEFIT zvlášť určit údaje nezbytné pro výpočet tohoto předběžného daňového výsledku a úprav po přidělení v souladu s touto směrnicí.</w:t>
            </w:r>
          </w:p>
        </w:tc>
        <w:tc>
          <w:tcPr>
            <w:tcW w:w="4876" w:type="dxa"/>
            <w:tcBorders>
              <w:top w:val="nil"/>
              <w:left w:val="nil"/>
              <w:bottom w:val="nil"/>
              <w:right w:val="nil"/>
            </w:tcBorders>
          </w:tcPr>
          <w:p>
            <w:pPr>
              <w:pStyle w:val="Normal6a"/>
            </w:pPr>
            <w:r>
              <w:t>4.</w:t>
            </w:r>
            <w:r>
              <w:tab/>
            </w:r>
            <w:r>
              <w:t xml:space="preserve">Odchylně od odstavce 1, pokud členský stát uplatňuje vnitrostátní </w:t>
            </w:r>
            <w:r>
              <w:rPr>
                <w:b/>
                <w:i/>
              </w:rPr>
              <w:t>režim daňové konsolidace</w:t>
            </w:r>
            <w:r>
              <w:t>, lze předběžný daňový výsledek a přidělení základu daně BEFIT členům skupiny BEFIT, kteří jsou daňovými rezidenty tohoto členského státu, rovněž vypočítat na základě jurisdikce, pokud skupina může pro každého člena skupiny BEFIT zvlášť určit údaje nezbytné pro výpočet tohoto předběžného daňového výsledku a úprav po přidělení v souladu s touto směrnicí.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257</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 – odst.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Není-li přiměřeně proveditelné stanovit čistý účetní příjem nebo ztrátu členského subjektu na základě přijatelného účetního standardu nebo schváleného účetního standardu použitého při sestavování konsolidované účetní závěrky nejvyššího mateřského subjektu, může být čistý účetní příjem nebo ztráta členského subjektu za dané účetní období stanoven jiným přijatelným účetním standardem nebo schváleným účetním standardem v souladu s ustanoveními čl. 15 odst. 2 směrnice (EU) 2022/2523 ze dne 14. prosince 2022;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258</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Článek 8</w:t>
            </w:r>
            <w:r>
              <w:tab/>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8 S výjimkou finančních aktiv určených k obchodování, jak je uvedeno v čl. 11 odst. 1, a investic ve prospěch pojistníků životního pojištění, kteří nesou investiční riziko v souvislosti s životním pojištěním spojeným s investičním fondem nebo vázaným na index, jak je uvedeno v článku 14, se čistý účetní příjem nebo ztráta člena skupiny BEFIT upraví tak, aby se vyloučilo 95 % částky dividend nebo jiných výplat, jež byly přijaty nebo vznikly během účetního roku, za předpokladu, že k datu výplaty je vlastnický podíl v držení člena skupiny BEFIT déle než jeden rok a tento podíl je spojen s právem na více než 10 % zisku, kapitálu, rezerv nebo hlasovacích práv.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 výjimkou finančních aktiv určených k obchodování, jak je uvedeno v čl. 11 odst. 1, a investic ve prospěch pojistníků životního pojištění, kteří nesou investiční riziko v souvislosti s životním pojištěním spojeným s investičním fondem nebo vázaným na index, jak je uvedeno v článku 14, se čistý účetní příjem nebo ztráta člena skupiny BEFIT upraví tak, aby se vyloučilo 95 % částky dividend nebo jiných výplat, jež byly přijaty nebo vznikly během účetního roku, za předpokladu, že k datu výplaty je vlastnický podíl v držení člena skupiny BEFIT déle než jeden rok a tento podíl je spojen s právem na více než 10 % zisku, kapitálu, rezerv nebo hlasovacích práv.</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259</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 výjimkou finančních aktiv určených k obchodování, jak je uvedeno v čl. 11 odst. 1, a investic ve prospěch pojistníků životního pojištění, kteří nesou investiční riziko v souvislosti s životním pojištěním spojeným s investičním fondem nebo vázaným na index, jak je uvedeno v článku 14, se čistý účetní příjem nebo ztráta člena skupiny BEFIT upraví tak, aby se vyloučilo 95 % částky dividend nebo jiných výplat, jež byly přijaty nebo vznikly během účetního roku, za předpokladu, že k datu výplaty je vlastnický podíl v držení člena skupiny BEFIT déle než jeden rok a tento podíl je spojen s právem na více než 10 % zisku, kapitálu, rezerv nebo hlasovacích práv.</w:t>
            </w:r>
          </w:p>
        </w:tc>
        <w:tc>
          <w:tcPr>
            <w:tcW w:w="4876" w:type="dxa"/>
            <w:tcBorders>
              <w:top w:val="nil"/>
              <w:left w:val="nil"/>
              <w:bottom w:val="nil"/>
              <w:right w:val="nil"/>
            </w:tcBorders>
          </w:tcPr>
          <w:p>
            <w:pPr>
              <w:pStyle w:val="Normal6a"/>
            </w:pPr>
            <w:r>
              <w:t xml:space="preserve">S výjimkou finančních aktiv určených k obchodování, jak je uvedeno v čl. 11 odst. 1, a investic ve prospěch pojistníků životního pojištění, kteří nesou investiční riziko v souvislosti s životním pojištěním spojeným s investičním fondem nebo vázaným na index, jak je uvedeno v článku 14, se čistý účetní příjem nebo ztráta člena skupiny BEFIT upraví tak, aby se vyloučilo 95 % částky dividend nebo jiných výplat, jež byly přijaty nebo vznikly během účetního roku, za předpokladu, že k datu výplaty je vlastnický podíl v držení člena skupiny BEFIT déle než jeden rok a tento podíl je spojen s právem na více než 10 % zisku, kapitálu, rezerv nebo hlasovacích práv </w:t>
            </w:r>
            <w:r>
              <w:rPr>
                <w:b/>
                <w:i/>
              </w:rPr>
              <w:t>a dividendy nebo jiné výplaty podléhají efektivní daňové sazbě, která není nižší než 9 %</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260</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S výjimkou finančních aktiv určených k obchodování, jak je uvedeno v čl. 11 odst. 1, a investic ve prospěch pojistníků životního pojištění, kteří nesou investiční riziko v souvislosti s životním pojištěním spojeným s investičním fondem nebo vázaným na index, jak je uvedeno v článku 14, se čistý účetní příjem nebo ztráta člena skupiny BEFIT upraví tak, aby se vyloučilo </w:t>
            </w:r>
            <w:r>
              <w:rPr>
                <w:b/>
                <w:i/>
              </w:rPr>
              <w:t>95</w:t>
            </w:r>
            <w:r>
              <w:t xml:space="preserve"> % částky dividend nebo jiných výplat, jež byly přijaty nebo vznikly během účetního roku, za předpokladu, že k datu výplaty je vlastnický podíl v držení člena skupiny BEFIT déle než jeden rok a tento podíl je spojen s právem na více než 10 % zisku, kapitálu, rezerv nebo hlasovacích práv.</w:t>
            </w:r>
          </w:p>
        </w:tc>
        <w:tc>
          <w:tcPr>
            <w:tcW w:w="4876" w:type="dxa"/>
            <w:tcBorders>
              <w:top w:val="nil"/>
              <w:left w:val="nil"/>
              <w:bottom w:val="nil"/>
              <w:right w:val="nil"/>
            </w:tcBorders>
          </w:tcPr>
          <w:p>
            <w:pPr>
              <w:pStyle w:val="Normal6a"/>
            </w:pPr>
            <w:r>
              <w:t xml:space="preserve">S výjimkou finančních aktiv určených k obchodování, jak je uvedeno v čl. 11 odst. 1, a investic ve prospěch pojistníků životního pojištění, kteří nesou investiční riziko v souvislosti s životním pojištěním spojeným s investičním fondem nebo vázaným na index, jak je uvedeno v článku 14, se čistý účetní příjem nebo ztráta člena skupiny BEFIT upraví tak, aby se vyloučilo </w:t>
            </w:r>
            <w:r>
              <w:rPr>
                <w:b/>
                <w:i/>
              </w:rPr>
              <w:t>100</w:t>
            </w:r>
            <w:r>
              <w:t> % částky dividend nebo jiných výplat, jež byly přijaty nebo vznikly během účetního roku, za předpokladu, že k datu výplaty je vlastnický podíl v držení člena skupiny BEFIT déle než jeden rok a tento podíl je spojen s právem na více než 10 % zisku, kapitálu, rezerv nebo hlasovacích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261</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S výjimkou finančních aktiv určených k obchodování, jak je uvedeno v čl. 11 odst. 1, a investic ve prospěch pojistníků životního pojištění, kteří nesou investiční riziko v souvislosti s životním pojištěním spojeným s investičním fondem nebo vázaným na index, jak je uvedeno v článku 14, se čistý účetní příjem nebo ztráta člena skupiny BEFIT upraví tak, aby se vyloučilo 95 % částky dividend nebo jiných výplat, jež byly přijaty nebo vznikly během účetního roku, za předpokladu, že k datu výplaty je vlastnický podíl v držení člena skupiny BEFIT déle než jeden rok a tento podíl je spojen s právem na více než </w:t>
            </w:r>
            <w:r>
              <w:rPr>
                <w:b/>
                <w:i/>
              </w:rPr>
              <w:t>10</w:t>
            </w:r>
            <w:r>
              <w:t xml:space="preserve"> % zisku, kapitálu, rezerv nebo hlasovacích práv.</w:t>
            </w:r>
          </w:p>
        </w:tc>
        <w:tc>
          <w:tcPr>
            <w:tcW w:w="4876" w:type="dxa"/>
            <w:tcBorders>
              <w:top w:val="nil"/>
              <w:left w:val="nil"/>
              <w:bottom w:val="nil"/>
              <w:right w:val="nil"/>
            </w:tcBorders>
          </w:tcPr>
          <w:p>
            <w:pPr>
              <w:pStyle w:val="Normal6a"/>
            </w:pPr>
            <w:r>
              <w:t xml:space="preserve">S výjimkou finančních aktiv určených k obchodování, jak je uvedeno v čl. 11 odst. 1, a investic ve prospěch pojistníků životního pojištění, kteří nesou investiční riziko v souvislosti s životním pojištěním spojeným s investičním fondem nebo vázaným na index, jak je uvedeno v článku 14, se čistý účetní příjem nebo ztráta člena skupiny BEFIT upraví tak, aby se vyloučilo 95 % částky dividend nebo jiných výplat, jež byly přijaty nebo vznikly během účetního roku, za předpokladu, že k datu výplaty je vlastnický podíl v držení člena skupiny BEFIT déle než jeden rok a tento podíl je spojen s právem na více než </w:t>
            </w:r>
            <w:r>
              <w:rPr>
                <w:b/>
                <w:i/>
              </w:rPr>
              <w:t>15</w:t>
            </w:r>
            <w:r>
              <w:t xml:space="preserve"> % zisku, kapitálu, rezerv nebo hlasovacích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262</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9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 výjimkou finančních aktiv určených k obchodování, jak je uvedeno v čl. 11 odst. 1, a investic ve prospěch pojistníků životního pojištění, kteří nesou investiční riziko v souvislosti s životním pojištěním spojeným s investičním fondem nebo vázaným na index, jak je uvedeno v článku 14, se čistý účetní příjem nebo ztráta člena skupiny BEFIT upraví tak, aby se vyloučilo 95 % částky zisku nebo ztráty plynoucích ze zcizení vlastnického podílu, pokud je k datu zcizení vlastnický podíl v držení člena skupiny BEFIT déle než jeden rok a tento podíl je spojen s právem na více než 10 % zisku, kapitálu, rezerv nebo hlasovacích práv.</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9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S výjimkou finančních aktiv určených k obchodování, jak je uvedeno v čl. 11 odst. 1, a investic ve prospěch pojistníků životního pojištění, kteří nesou investiční riziko v souvislosti s životním pojištěním spojeným s investičním fondem nebo vázaným na index, jak je uvedeno v článku 14, se čistý účetní příjem nebo ztráta člena skupiny BEFIT upraví tak, aby se vyloučilo 95 % částky zisku nebo ztráty plynoucích ze zcizení vlastnického podílu, pokud je k datu zcizení vlastnický podíl v držení člena skupiny BEFIT déle než jeden rok a tento podíl je spojen s právem na více než </w:t>
            </w:r>
            <w:r>
              <w:rPr>
                <w:b/>
                <w:i/>
              </w:rPr>
              <w:t>10</w:t>
            </w:r>
            <w:r>
              <w:t xml:space="preserve"> % zisku, kapitálu, rezerv nebo hlasovacích práv.</w:t>
            </w:r>
          </w:p>
        </w:tc>
        <w:tc>
          <w:tcPr>
            <w:tcW w:w="4876" w:type="dxa"/>
            <w:tcBorders>
              <w:top w:val="nil"/>
              <w:left w:val="nil"/>
              <w:bottom w:val="nil"/>
              <w:right w:val="nil"/>
            </w:tcBorders>
          </w:tcPr>
          <w:p>
            <w:pPr>
              <w:pStyle w:val="Normal6a"/>
            </w:pPr>
            <w:r>
              <w:t xml:space="preserve">S výjimkou finančních aktiv určených k obchodování, jak je uvedeno v čl. 11 odst. 1, a investic ve prospěch pojistníků životního pojištění, kteří nesou investiční riziko v souvislosti s životním pojištěním spojeným s investičním fondem nebo vázaným na index, jak je uvedeno v článku 14, se čistý účetní příjem nebo ztráta člena skupiny BEFIT upraví tak, aby se vyloučilo 95 % částky zisku nebo ztráty plynoucích ze zcizení vlastnického podílu, pokud je k datu zcizení vlastnický podíl v držení člena skupiny BEFIT déle než jeden rok a tento podíl je spojen s právem na více než </w:t>
            </w:r>
            <w:r>
              <w:rPr>
                <w:b/>
                <w:i/>
              </w:rPr>
              <w:t>15</w:t>
            </w:r>
            <w:r>
              <w:t> % zisku, kapitálu, rezerv nebo hlasovacích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S výjimkou finančních aktiv určených k obchodování, jak je uvedeno v čl. 11 odst. 1, a investic ve prospěch pojistníků životního pojištění, kteří nesou investiční riziko v souvislosti s životním pojištěním spojeným s investičním fondem nebo vázaným na index, jak je uvedeno v článku 14, se čistý účetní příjem nebo ztráta člena skupiny BEFIT upraví tak, aby se vyloučila částka zisku nebo ztráty vyplývajících ze změn reálné hodnoty vlastnického podílu, pokud je k datu zcizení vlastnický podíl v držení člena skupiny BEFIT déle než jeden rok a tento podíl je spojen s právem na více než </w:t>
            </w:r>
            <w:r>
              <w:rPr>
                <w:b/>
                <w:i/>
              </w:rPr>
              <w:t>10</w:t>
            </w:r>
            <w:r>
              <w:t xml:space="preserve"> % zisku, kapitálu, rezerv nebo hlasovacích práv.</w:t>
            </w:r>
          </w:p>
        </w:tc>
        <w:tc>
          <w:tcPr>
            <w:tcW w:w="4876" w:type="dxa"/>
            <w:tcBorders>
              <w:top w:val="nil"/>
              <w:left w:val="nil"/>
              <w:bottom w:val="nil"/>
              <w:right w:val="nil"/>
            </w:tcBorders>
          </w:tcPr>
          <w:p>
            <w:pPr>
              <w:pStyle w:val="Normal6a"/>
            </w:pPr>
            <w:r>
              <w:t xml:space="preserve">S výjimkou finančních aktiv určených k obchodování, jak je uvedeno v čl. 11 odst. 1, a investic ve prospěch pojistníků životního pojištění, kteří nesou investiční riziko v souvislosti s životním pojištěním spojeným s investičním fondem nebo vázaným na index, jak je uvedeno v článku 14, se čistý účetní příjem nebo ztráta člena skupiny BEFIT upraví tak, aby se vyloučila částka zisku nebo ztráty vyplývajících ze změn reálné hodnoty vlastnického podílu, pokud je k datu zcizení vlastnický podíl v držení člena skupiny BEFIT déle než jeden rok a tento podíl je spojen s právem na více než </w:t>
            </w:r>
            <w:r>
              <w:rPr>
                <w:b/>
                <w:i/>
              </w:rPr>
              <w:t>15</w:t>
            </w:r>
            <w:r>
              <w:t> % zisku, kapitálu, rezerv nebo hlasovacích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265</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Článek 11</w:t>
            </w:r>
            <w:r>
              <w:tab/>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Finanční aktiva určená k obchodování</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Finanční aktivum nebo závazek se považují za určené k obchodování členem skupiny BEFIT, pokud splňují některou z následujících podmínek:</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byly pořízeny nebo vznikly převážně za účelem prodeje nebo zpětné koupě v krátkodobém horizontu;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jsou součástí portfolia určených finančních nástrojů, včetně derivátů, které jsou společně řízeny a u kterých je v poslední době doloženo obchodování realizované pro krátkodobý zisk.</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Pokud finanční aktivum nebo závazek v držení člena skupiny BEFIT přechází na aktivum nebo závazek určené k obchodování nebo naopak, upraví se čistý účetní příjem nebo ztráta tak, aby zahrnovaly jakýkoli rozdíl mezi reálnou hodnotou vypočtenou na začátku účetního roku nebo k datu nákupu, pokud k němu došlo později, a jeho reálnou hodnotou vypočtenou na konci téhož účetního roku.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Reálná hodnota finančního aktiva nebo závazku na konci účetního roku, během kterého se z něj stalo aktivum nebo závazek určené k obchodování nebo naopak, je zároveň jeho reálnou hodnotou na začátku účetního roku následujícího po přechodu.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Období držení uvedené v článku 9 začíná nebo je přerušeno, když finanční aktivum nebo závazek již nejsou určeny k obchodování nebo jsou převedeny na aktivum nebo závazek určené k obchodování.</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266</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11a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Má-li být finanční aktivum považováno za držené k obchodování, musí být předloženy spolehlivé prokazatelné důkazy.</w:t>
            </w:r>
            <w:r>
              <w:t xml:space="preserve"> </w:t>
            </w:r>
            <w:r>
              <w:rPr>
                <w:b/>
                <w:i/>
              </w:rPr>
              <w:t>Pokud takové důkazy neexistují nebo existují pochybnosti, finanční aktivum se nepovažuje za držené k obchodování.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267</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12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 kvalifikovanou ztrátou stálé provozovny se zachází jako s nákladem hlavního subjektu pro účely výpočtu jeho kvalifikovaného příjmu nebo ztráty v rozsahu, v jakém je ztráta stálé provozovny při výpočtu vnitrostátního zdanitelného příjmu tohoto hlavního subjektu považována za náklad a není započtena oproti položce vnitrostátního zdanitelného příjmu, která podléhá dani podle právních předpisů jak jurisdikce hlavního subjektu, tak jurisdikce stálé provozovny.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268</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13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 skupiny BEFIT upraví svůj čistý účetní příjem nebo ztrátu tak, aby byla zahrnuta částka převyšující výpůjční náklady, </w:t>
            </w:r>
            <w:r>
              <w:rPr>
                <w:b/>
                <w:i/>
              </w:rPr>
              <w:t>jak je uvedeno v článku 2 směrnice Rady (EU) 2016/1164 ze dne 12. července 2016, kterou se stanoví pravidla proti praktikám vyhýbání se daňovým povinnostem, které mají přímý vliv na fungování vnitřního trhu</w:t>
            </w:r>
            <w:r>
              <w:rPr>
                <w:b/>
                <w:i/>
                <w:vertAlign w:val="superscript"/>
              </w:rPr>
              <w:t>11</w:t>
            </w:r>
            <w:r>
              <w:rPr>
                <w:b/>
                <w:i/>
              </w:rPr>
              <w:t>,</w:t>
            </w:r>
            <w:r>
              <w:t xml:space="preserve"> jež není odpočitatelná pro daňové účely v souladu s </w:t>
            </w:r>
            <w:r>
              <w:rPr>
                <w:b/>
                <w:i/>
              </w:rPr>
              <w:t>pravidly pro omezení odpočitatelnosti úroků stanovenými ve vnitrostátním právu v oblasti daně z příjmů právnických osob členského státu, v němž je daňovým rezidentem</w:t>
            </w:r>
            <w:r>
              <w:t>.</w:t>
            </w:r>
          </w:p>
        </w:tc>
        <w:tc>
          <w:tcPr>
            <w:tcW w:w="4876" w:type="dxa"/>
            <w:tcBorders>
              <w:top w:val="nil"/>
              <w:left w:val="nil"/>
              <w:bottom w:val="nil"/>
              <w:right w:val="nil"/>
            </w:tcBorders>
          </w:tcPr>
          <w:p>
            <w:pPr>
              <w:pStyle w:val="Normal6a"/>
            </w:pPr>
            <w:r>
              <w:t>1.</w:t>
            </w:r>
            <w:r>
              <w:tab/>
            </w:r>
            <w:r>
              <w:t xml:space="preserve">Člen skupiny BEFIT upraví svůj čistý účetní příjem nebo ztrátu tak, aby byla zahrnuta částka převyšující výpůjční náklady, jež není odpočitatelná pro daňové účely v souladu s </w:t>
            </w:r>
            <w:r>
              <w:rPr>
                <w:b/>
                <w:i/>
              </w:rPr>
              <w:t>odstavcem 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11</w:t>
            </w:r>
            <w:r>
              <w:t xml:space="preserve"> </w:t>
            </w:r>
            <w:r>
              <w:rPr>
                <w:b/>
                <w:i/>
              </w:rPr>
              <w:t>Směrnice Rady (EU) 2016/1164 ze dne 12. července 2016, kterou se stanoví pravidla proti praktikám vyhýbání se daňovým povinnostem, které mají přímý vliv na fungování vnitřního trhu (Úř. věst. L 193, 19.7.2016, s. 1).</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269</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13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 skupiny BEFIT upraví svůj čistý účetní příjem nebo ztrátu tak, aby byla zahrnuta částka převyšující výpůjční náklady, jak je uvedeno v článku 2 směrnice Rady (EU) 2016/1164 ze dne 12. července 2016, kterou se stanoví pravidla proti praktikám vyhýbání se daňovým povinnostem, které mají přímý vliv na fungování vnitřního trhu</w:t>
            </w:r>
            <w:r>
              <w:rPr>
                <w:vertAlign w:val="superscript"/>
              </w:rPr>
              <w:t>11</w:t>
            </w:r>
            <w:r>
              <w:t xml:space="preserve">, jež není odpočitatelná pro daňové účely v souladu s pravidly pro omezení odpočitatelnosti úroků stanovenými </w:t>
            </w:r>
            <w:r>
              <w:rPr>
                <w:b/>
                <w:i/>
              </w:rPr>
              <w:t>ve vnitrostátním právu v oblasti daně z příjmů právnických osob členského státu, v němž je daňovým rezidentem</w:t>
            </w:r>
            <w:r>
              <w:t>.</w:t>
            </w:r>
          </w:p>
        </w:tc>
        <w:tc>
          <w:tcPr>
            <w:tcW w:w="4876" w:type="dxa"/>
            <w:tcBorders>
              <w:top w:val="nil"/>
              <w:left w:val="nil"/>
              <w:bottom w:val="nil"/>
              <w:right w:val="nil"/>
            </w:tcBorders>
          </w:tcPr>
          <w:p>
            <w:pPr>
              <w:pStyle w:val="Normal6a"/>
            </w:pPr>
            <w:r>
              <w:t>1.</w:t>
            </w:r>
            <w:r>
              <w:tab/>
            </w:r>
            <w:r>
              <w:t>Člen skupiny BEFIT upraví svůj čistý účetní příjem nebo ztrátu tak, aby byla zahrnuta částka převyšující výpůjční náklady, jak je uvedeno v článku 2 směrnice Rady (EU) 2016/1164 ze dne 12. července 2016, kterou se stanoví pravidla proti praktikám vyhýbání se daňovým povinnostem, které mají přímý vliv na fungování vnitřního trhu</w:t>
            </w:r>
            <w:r>
              <w:rPr>
                <w:vertAlign w:val="superscript"/>
              </w:rPr>
              <w:t>11</w:t>
            </w:r>
            <w:r>
              <w:t xml:space="preserve">, jež není odpočitatelná pro daňové účely v souladu s pravidly pro omezení odpočitatelnosti úroků stanovenými </w:t>
            </w:r>
            <w:r>
              <w:rPr>
                <w:b/>
                <w:i/>
              </w:rPr>
              <w:t>v odstavci 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Směrnice Rady (EU) 2016/1164 ze dne 12. července 2016, kterou se stanoví pravidla proti praktikám vyhýbání se daňovým povinnostem, které mají přímý vliv na fungování vnitřního trhu (Úř. věst. L 193, 19.7.2016, s. 1).</w:t>
            </w:r>
          </w:p>
        </w:tc>
        <w:tc>
          <w:tcPr>
            <w:tcW w:w="4876" w:type="dxa"/>
            <w:tcBorders>
              <w:top w:val="nil"/>
              <w:left w:val="nil"/>
              <w:bottom w:val="nil"/>
              <w:right w:val="nil"/>
            </w:tcBorders>
          </w:tcPr>
          <w:p>
            <w:pPr>
              <w:pStyle w:val="Normal6a"/>
            </w:pPr>
            <w:r>
              <w:rPr>
                <w:vertAlign w:val="superscript"/>
              </w:rPr>
              <w:t>11</w:t>
            </w:r>
            <w:r>
              <w:t xml:space="preserve"> </w:t>
            </w:r>
            <w:r>
              <w:t>Směrnice Rady (EU) 2016/1164 ze dne 12. července 2016, kterou se stanoví pravidla proti praktikám vyhýbání se daňovým povinnostem, které mají přímý vliv na fungování vnitřního trhu (Úř. věst. L 193, 19.7.2016, s.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270</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13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Člen skupiny BEFIT upraví svůj čistý účetní příjem nebo ztrátu tak, aby byla zahrnuta částka převyšující výpůjční náklady, jak je uvedeno v článku 2 směrnice Rady (EU) 2016/1164 ze dne 12. července 2016, kterou se stanoví pravidla proti praktikám vyhýbání se daňovým povinnostem, které mají přímý vliv na fungování vnitřního trhu</w:t>
            </w:r>
            <w:r>
              <w:rPr>
                <w:vertAlign w:val="superscript"/>
              </w:rPr>
              <w:t>11</w:t>
            </w:r>
            <w:r>
              <w:t>, jež není odpočitatelná pro daňové účely v souladu s pravidly pro omezení odpočitatelnosti úroků stanovenými ve vnitrostátním právu v oblasti daně z příjmů právnických osob členského státu, v němž je daňovým rezidentem.</w:t>
            </w:r>
          </w:p>
        </w:tc>
        <w:tc>
          <w:tcPr>
            <w:tcW w:w="4876" w:type="dxa"/>
            <w:tcBorders>
              <w:top w:val="nil"/>
              <w:left w:val="nil"/>
              <w:bottom w:val="nil"/>
              <w:right w:val="nil"/>
            </w:tcBorders>
          </w:tcPr>
          <w:p>
            <w:pPr>
              <w:pStyle w:val="Normal6a"/>
            </w:pPr>
            <w:r>
              <w:t>1.</w:t>
            </w:r>
            <w:r>
              <w:tab/>
            </w:r>
            <w:r>
              <w:t>Člen skupiny BEFIT upraví svůj čistý účetní příjem nebo ztrátu tak, aby byla zahrnuta částka převyšující výpůjční náklady, jak je uvedeno v článku 2 směrnice Rady (EU) 2016/1164 ze dne 12. července 2016, kterou se stanoví pravidla proti praktikám vyhýbání se daňovým povinnostem, které mají přímý vliv na fungování vnitřního trhu</w:t>
            </w:r>
            <w:r>
              <w:rPr>
                <w:vertAlign w:val="superscript"/>
              </w:rPr>
              <w:t>11</w:t>
            </w:r>
            <w:r>
              <w:t xml:space="preserve">, </w:t>
            </w:r>
            <w:r>
              <w:rPr>
                <w:b/>
                <w:i/>
              </w:rPr>
              <w:t>a v souladu se směrnicí (EU) 20XX/XX/EU o stanovení pravidel týkajících se úlevy ke snížení zvýhodnění dluhu oproti vlastnímu kapitálu a o omezení odpočitatelnosti úroků pro účely daně z příjmu právnických osob,</w:t>
            </w:r>
            <w:r>
              <w:t xml:space="preserve"> jež není odpočitatelná pro daňové účely v souladu s pravidly pro omezení odpočitatelnosti úroků stanovenými ve vnitrostátním právu v oblasti daně z příjmů právnických osob členského státu, v němž je daňovým rezidentem.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Směrnice Rady (EU) 2016/1164 ze dne 12. července 2016, kterou se stanoví pravidla proti praktikám vyhýbání se daňovým povinnostem, které mají přímý vliv na fungování vnitřního trhu (Úř. věst. L 193, 19.7.2016, s. 1).</w:t>
            </w:r>
          </w:p>
        </w:tc>
        <w:tc>
          <w:tcPr>
            <w:tcW w:w="4876" w:type="dxa"/>
            <w:tcBorders>
              <w:top w:val="nil"/>
              <w:left w:val="nil"/>
              <w:bottom w:val="nil"/>
              <w:right w:val="nil"/>
            </w:tcBorders>
          </w:tcPr>
          <w:p>
            <w:pPr>
              <w:pStyle w:val="Normal6a"/>
            </w:pPr>
            <w:r>
              <w:rPr>
                <w:vertAlign w:val="superscript"/>
              </w:rPr>
              <w:t>11</w:t>
            </w:r>
            <w:r>
              <w:t xml:space="preserve"> </w:t>
            </w:r>
            <w:r>
              <w:t>Směrnice Rady (EU) 2016/1164 ze dne 12. července 2016, kterou se stanoví pravidla proti praktikám vyhýbání se daňovým povinnostem, které mají přímý vliv na fungování vnitřního trhu (Úř. věst. L 193, 19.7.2016, s.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271</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13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Pro účely tohoto článku se „nadměrnými výpůjčními náklady“ rozumí částka, o kterou odpočitatelné výpůjční náklady daňového poplatníka překračují zdanitelné úrokové výnosy a jiné ekonomicky rovnocenné zdanitelné příjmy, které daňový poplatník podle vnitrostátních právních předpisů obdrží. Nadměrné výpůjční náklady jsou odečitatelné až do výše 75 % ve zdaňovacím období, ve kterém vznikly.</w:t>
            </w:r>
            <w:r>
              <w:t xml:space="preserve"> </w:t>
            </w:r>
            <w:r>
              <w:rPr>
                <w:b/>
                <w:i/>
              </w:rPr>
              <w:t>Pokud je tato částka vyšší než 20 % zisku daňového poplatníka před úroky, zdaněním, odpisy a amortizací (EBITDA), má daňový poplatník nárok na odpočet pouze nižší z obou částek v daném zdaňovacím období. Rozdíl mezi oběma částkami se nepřevádí do dalšího období ani zpětně.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272</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13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Nadměrné výpůjční náklady jsou odečitatelné až do výše 75 % ve zdaňovacím období, ve kterém vznikly.</w:t>
            </w:r>
            <w:r>
              <w:rPr>
                <w:b/>
                <w:i/>
              </w:rPr>
              <w:t>Pokud je tato částka vyšší než 10 % zisku daňového poplatníka před úroky, zdaněním, odpisy a amortizací (EBITDA), má daňový poplatník nárok na odpočet pouze nižší z obou částek v daném zdaňovacím období.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 skupinu BEFIT se použijí čl. 4 odst. 2, čl. 4 odst. 3, čl. 4 odst. 4 písm. b), čl. 4 odst. 5, čl. 4 odst. 7 a čl. 4 odst. 8 směrnice Rady (EU) 2016/1164.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273</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13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Odstavec 1 se nevztahuje na nadměrné výpůjční náklady vyplývající z transakce mezi členy skupiny BEFIT.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274</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13a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Pravidlo pro omezení licenčních poplatků</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Člen skupiny BEFIT upraví svůj čistý účetní příjem nebo ztrátu tak, aby byla zahrnuta částka nákladů na licenční poplatky, u nichž odpovídající příjem příjemce licenčních poplatků hrazených skupinou BEFIT podléhá efektivní daňové sazbě nižší než 9 %.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275</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15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Čistý účetní příjem nebo ztráta člena skupiny BEFIT, který vykonává činnosti lodní dopravy, se upraví tak, aby byla vyloučena částka zisků, výdajů a jiných odpočitatelných položek vyplývajících z těchto činností, na které se vztahuje režim daně z tonáže.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276</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15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Čistý účetní příjem nebo ztráta člena skupiny BEFIT, který vykonává činnosti lodní dopravy, se upraví tak, aby byla vyloučena částka zisků, výdajů a jiných odpočitatelných položek vyplývajících z těchto činností, na které se vztahuje režim daně z tonáže.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277</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17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Čistý účetní příjem nebo ztráta člena skupiny BEFIT se upraví tak, aby byla zahrnuta částka daně z příjmů právnických osob, obdobných daní ze zisku a odložených daní naběhlých za daný účetní rok, jakož i jakákoli částka zaúčtovaná jako běžné daně ve finančních výkazech v souvislosti s platbou dorovnávací daně splatné v souladu se směrnicí (EU) 2022/2523 nebo při uplatnění kvalifikované vnitrostátní dorovnávací daně podle článku 11 uvedené směrnice.</w:t>
            </w:r>
          </w:p>
        </w:tc>
        <w:tc>
          <w:tcPr>
            <w:tcW w:w="4876" w:type="dxa"/>
            <w:tcBorders>
              <w:top w:val="nil"/>
              <w:left w:val="nil"/>
              <w:bottom w:val="nil"/>
              <w:right w:val="nil"/>
            </w:tcBorders>
          </w:tcPr>
          <w:p>
            <w:pPr>
              <w:pStyle w:val="Normal6a"/>
            </w:pPr>
            <w:r>
              <w:t xml:space="preserve">Čistý účetní příjem nebo ztráta člena skupiny BEFIT se upraví tak, aby byla zahrnuta částka daně z příjmů právnických osob, obdobných daní ze zisku a odložených daní naběhlých za daný účetní rok, jakož i jakákoli částka zaúčtovaná jako běžné daně ve finančních výkazech v souvislosti s platbou dorovnávací daně splatné v souladu se směrnicí (EU) 2022/2523 nebo při uplatnění kvalifikované vnitrostátní dorovnávací daně podle článku 11 uvedené směrnice </w:t>
            </w:r>
            <w:r>
              <w:rPr>
                <w:b/>
                <w:i/>
              </w:rPr>
              <w:t>nebo jiných alternativních minimálních daní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278</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20 – odst. 1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Čistý účetní příjem nebo ztráta člena skupiny BEFIT se upraví </w:t>
            </w:r>
            <w:r>
              <w:rPr>
                <w:b/>
                <w:i/>
              </w:rPr>
              <w:t>tak, aby byla vyloučena:</w:t>
            </w:r>
          </w:p>
        </w:tc>
        <w:tc>
          <w:tcPr>
            <w:tcW w:w="4876" w:type="dxa"/>
            <w:tcBorders>
              <w:top w:val="nil"/>
              <w:left w:val="nil"/>
              <w:bottom w:val="nil"/>
              <w:right w:val="nil"/>
            </w:tcBorders>
          </w:tcPr>
          <w:p>
            <w:pPr>
              <w:pStyle w:val="Normal6a"/>
            </w:pPr>
            <w:r>
              <w:t xml:space="preserve">Čistý účetní příjem nebo ztráta člena skupiny BEFIT se upraví </w:t>
            </w:r>
            <w:r>
              <w:rPr>
                <w:b/>
                <w:i/>
              </w:rPr>
              <w:t>v souladu s čl. 16 odst. 1 písm. e) směrnice (EU) 2022/2523 ze dne 14. prosince 2022.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279</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20 – odst. 1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částka jakýchkoli nerealizovaných kurzových zisků nebo ztrát v souvislosti s dlouhodobými aktivy a závazky;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280</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20 – odst. 1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částka rezervy vytvořené na nerealizovanou kurzovou ztrátu.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281</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21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21a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Ovládané zahraniční společnosti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Čistý účetní příjem nebo ztráta člena skupiny BEFIT se upraví tak, aby zahrnoval: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nerozdělené příjmy subjektu nebo stálé provozovny, které pocházejí z těchto kategorií: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úroky nebo jiné výnosy z finančních aktiv;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ii) licenční poplatky nebo jiné příjmy z duševního vlastnictví;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iii) dividendy a příjmy z prodeje akcií;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iv) příjmy z finančního leasingu;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 příjmy z pojišťovacích, bankovních a jiných finančních činností;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 příjmy z fakturačních společností, jež získávají příjmy z prodejů a služeb ze zboží a služeb nakoupených od přidružených podniků a přidruženým podnikům prodaných a jež nepřidávají žádnou nebo jen malou ekonomickou hodnotu.</w:t>
            </w:r>
            <w:r>
              <w:t xml:space="preserve"> </w:t>
            </w:r>
            <w:r>
              <w:rPr>
                <w:b/>
                <w:i/>
              </w:rPr>
              <w:t>První pododstavec se nepoužije, pokud ovládaná zahraniční společnost vykonává podstatnou hospodářskou činnost s využitím personálu, vybavení, majetku a prostor, což je doloženo příslušnými skutečnostmi a okolnostmi.</w:t>
            </w:r>
            <w:r>
              <w:t xml:space="preserve"> </w:t>
            </w:r>
            <w:r>
              <w:rPr>
                <w:b/>
                <w:i/>
              </w:rPr>
              <w:t>Pokud je ovládaná zahraniční společnost rezidentem ve třetí zemi, která není smluvní stranou Dohody o EHP, nebo pokud je v takové zemi umístěna, mohou se členské státy rozhodnout první pododstavec neuplatňovat;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nerozdělené příjmy subjektu nebo stálé provozovny plynoucí z operací, které nejsou skutečné a které byly zavedeny za hlavním účelem získání daňového zvýhodnění. Pro účely tohoto písmene se má za to, že operace nebo sled operací nejsou skutečné, jestliže by daný subjekt nebo stálá provozovna daná aktiva nevlastnily nebo by nepřijaly rizika, která vytvářejí veškeré jejich příjmy nebo jejich část, pokud by nebyly ovládány společností, v níž jsou vykonávány významné rozhodovací funkce, jež jsou pro uvedená aktiva a rizika relevantní a jež mají zásadní význam při vytváření příjmů ovládané společnosti.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Příjmy zahrnované do základu daně se vypočtou podle pravidel uvedených v článku 8 směrnice(EU) 2016/1164.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282</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21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21b</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Ovládané zahraniční společnosti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Čistý účetní příjem nebo ztráta člena skupiny BEFIT se upraví tak, aby se zahrnul nerozdělený příjem subjektu nebo stálé provozovny považovaných za ovládanou zahraniční společnost podle čl. 7 odst. 1 směrnice Rady (EU) 2016/1164, který je odvozen z následujících kategorií: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úroky nebo jiné výnosy z finančních aktiv;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ii) licenční poplatky nebo jiné příjmy z duševního vlastnictví;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iii) dividendy a příjmy z prodeje akcií;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iv) příjmy z finančního leasingu;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 příjmy z pojišťovacích, bankovních a jiných finančních činností;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 příjmy z fakturačních společností, jež získávají příjmy z prodejů a služeb ze zboží a služeb nakoupených od přidružených podniků a přidruženým podnikům prodaných a jež nepřidávají žádnou nebo jen malou ekonomickou hodnotu.</w:t>
            </w:r>
            <w:r>
              <w:t xml:space="preserve"> </w:t>
            </w:r>
            <w:r>
              <w:rPr>
                <w:b/>
                <w:i/>
              </w:rPr>
              <w:t>Odstavec 1 se nepoužije, pokud ovládaná zahraniční společnost vykonává podstatnou hospodářskou činnost s využitím personálu, vybavení, majetku a prostor, což je doloženo příslušnými skutečnostmi a okolnostmi.</w:t>
            </w:r>
            <w:r>
              <w:t xml:space="preserve"> </w:t>
            </w:r>
            <w:r>
              <w:rPr>
                <w:b/>
                <w:i/>
              </w:rPr>
              <w:t>Pokud je ovládaná zahraniční společnost rezidentem ve třetí zemi, která není členským státem EHP, nebo pokud je v takové zemi umístěna, mohou se členské státy rozhodnout tento odstavec neuplatňovat.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Příjmy zahrnované do základu daně se vypočtou podle pravidel uvedených v článku 8 směrnice Rady (EU) 2016/1164.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283</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21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21a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Ovládané zahraniční společnosti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Čistý účetní příjem nebo ztráta člena skupiny BEFIT se upraví tak, aby se zahrnul nerozdělený příjem subjektu nebo stálé provozovny považovaných za ovládanou zahraniční společnost podle čl. 7 odst. 1 směrnice (EU) 2016/1164, který je odvozen z následujících kategorií: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úroky nebo jiné výnosy z finančních aktiv;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ii) licenční poplatky nebo jiné příjmy z duševního vlastnictví;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iii) dividendy a příjmy z prodeje akcií;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iv) příjmy z finančního leasingu;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 příjmy z pojišťovacích, bankovních a jiných finančních činností;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 příjmy z fakturačních společností, jež získávají příjmy z prodejů a služeb ze zboží a služeb nakoupených od přidružených podniků a přidruženým podnikům prodaných a jež nepřidávají žádnou nebo jen malou ekonomickou hodnotu.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První pododstavec se nepoužije, pokud ovládaná zahraniční společnost vykonává podstatnou hospodářskou činnost s využitím personálu, vybavení, majetku a prostor, což je doloženo příslušnými skutečnostmi a okolnostmi.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Pokud je ovládaná zahraniční společnost rezidentem ve třetí zemi, která není smluvní stranou Dohody o EHP, nebo pokud je v takové zemi umístěna, mohou se členské státy rozhodnout první pododstavec neuplatňovat;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Příjmy zahrnované do základu daně se vypočtou podle pravidel uvedených v článku 8 směrnice(EU) 2016/1164.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284</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Čistý účetní příjem nebo ztráta člena skupiny BEFIT se upraví tak, aby se v účetním roce pořízení vyloučilo jakékoli dlouhodobé hmotné aktivum, jehož účetní hodnota před odpisem je nižší než </w:t>
            </w:r>
            <w:r>
              <w:rPr>
                <w:b/>
                <w:i/>
              </w:rPr>
              <w:t>5 000</w:t>
            </w:r>
            <w:r>
              <w:t xml:space="preserve"> EUR.</w:t>
            </w:r>
          </w:p>
        </w:tc>
        <w:tc>
          <w:tcPr>
            <w:tcW w:w="4876" w:type="dxa"/>
            <w:tcBorders>
              <w:top w:val="nil"/>
              <w:left w:val="nil"/>
              <w:bottom w:val="nil"/>
              <w:right w:val="nil"/>
            </w:tcBorders>
          </w:tcPr>
          <w:p>
            <w:pPr>
              <w:pStyle w:val="Normal6a"/>
            </w:pPr>
            <w:r>
              <w:t>1.</w:t>
            </w:r>
            <w:r>
              <w:tab/>
            </w:r>
            <w:r>
              <w:t xml:space="preserve">Čistý účetní příjem nebo ztráta člena skupiny BEFIT se upraví tak, aby se v účetním roce pořízení vyloučilo jakékoli dlouhodobé hmotné aktivum, jehož účetní hodnota před odpisem je nižší než </w:t>
            </w:r>
            <w:r>
              <w:rPr>
                <w:b/>
                <w:i/>
              </w:rPr>
              <w:t>10 000</w:t>
            </w:r>
            <w:r>
              <w:t xml:space="preserve"> EUR.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285</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Čistý účetní příjem nebo ztráta člena skupiny BEFIT se upraví tak, aby se v účetním roce pořízení vyloučilo jakékoli dlouhodobé hmotné aktivum, jehož účetní hodnota před odpisem je nižší než </w:t>
            </w:r>
            <w:r>
              <w:rPr>
                <w:b/>
                <w:i/>
              </w:rPr>
              <w:t>5 000</w:t>
            </w:r>
            <w:r>
              <w:t xml:space="preserve"> EUR.</w:t>
            </w:r>
          </w:p>
        </w:tc>
        <w:tc>
          <w:tcPr>
            <w:tcW w:w="4876" w:type="dxa"/>
            <w:tcBorders>
              <w:top w:val="nil"/>
              <w:left w:val="nil"/>
              <w:bottom w:val="nil"/>
              <w:right w:val="nil"/>
            </w:tcBorders>
          </w:tcPr>
          <w:p>
            <w:pPr>
              <w:pStyle w:val="Normal6a"/>
            </w:pPr>
            <w:r>
              <w:t>1.</w:t>
            </w:r>
            <w:r>
              <w:tab/>
            </w:r>
            <w:r>
              <w:t xml:space="preserve">Čistý účetní příjem nebo ztráta člena skupiny BEFIT se upraví tak, aby se v účetním roce pořízení vyloučilo jakékoli dlouhodobé hmotné aktivum, jehož účetní hodnota před odpisem je nižší než </w:t>
            </w:r>
            <w:r>
              <w:rPr>
                <w:b/>
                <w:i/>
              </w:rPr>
              <w:t>10 000</w:t>
            </w:r>
            <w:r>
              <w:t xml:space="preserve"> EUR.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286</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Čistý účetní příjem nebo ztráta člena skupiny BEFIT se upraví tak, aby se v účetním roce pořízení vyloučilo jakékoli dlouhodobé hmotné aktivum, jehož účetní hodnota před odpisem je nižší než </w:t>
            </w:r>
            <w:r>
              <w:rPr>
                <w:b/>
                <w:i/>
              </w:rPr>
              <w:t>5 000</w:t>
            </w:r>
            <w:r>
              <w:t xml:space="preserve"> EUR.</w:t>
            </w:r>
          </w:p>
        </w:tc>
        <w:tc>
          <w:tcPr>
            <w:tcW w:w="4876" w:type="dxa"/>
            <w:tcBorders>
              <w:top w:val="nil"/>
              <w:left w:val="nil"/>
              <w:bottom w:val="nil"/>
              <w:right w:val="nil"/>
            </w:tcBorders>
          </w:tcPr>
          <w:p>
            <w:pPr>
              <w:pStyle w:val="Normal6a"/>
            </w:pPr>
            <w:r>
              <w:t>1.</w:t>
            </w:r>
            <w:r>
              <w:tab/>
            </w:r>
            <w:r>
              <w:t xml:space="preserve">Čistý účetní příjem nebo ztráta člena skupiny BEFIT se upraví tak, aby se v účetním roce pořízení vyloučilo jakékoli dlouhodobé hmotné aktivum, jehož účetní hodnota před odpisem je nižší než </w:t>
            </w:r>
            <w:r>
              <w:rPr>
                <w:b/>
                <w:i/>
              </w:rPr>
              <w:t>10 000</w:t>
            </w:r>
            <w:r>
              <w:t xml:space="preserve"> EUR.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287</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Čistý účetní příjem nebo ztráta člena skupiny BEFIT se upraví tak, aby se v účetním roce pořízení vyloučilo jakékoli dlouhodobé hmotné aktivum, jehož účetní hodnota před odpisem je nižší než </w:t>
            </w:r>
            <w:r>
              <w:rPr>
                <w:b/>
                <w:i/>
              </w:rPr>
              <w:t>5 000</w:t>
            </w:r>
            <w:r>
              <w:t xml:space="preserve"> EUR.</w:t>
            </w:r>
          </w:p>
        </w:tc>
        <w:tc>
          <w:tcPr>
            <w:tcW w:w="4876" w:type="dxa"/>
            <w:tcBorders>
              <w:top w:val="nil"/>
              <w:left w:val="nil"/>
              <w:bottom w:val="nil"/>
              <w:right w:val="nil"/>
            </w:tcBorders>
          </w:tcPr>
          <w:p>
            <w:pPr>
              <w:pStyle w:val="Normal6a"/>
            </w:pPr>
            <w:r>
              <w:t>1.</w:t>
            </w:r>
            <w:r>
              <w:tab/>
            </w:r>
            <w:r>
              <w:t xml:space="preserve">Čistý účetní příjem nebo ztráta člena skupiny BEFIT se upraví tak, aby se v účetním roce pořízení vyloučilo jakékoli dlouhodobé hmotné aktivum, jehož účetní hodnota před odpisem je nižší než </w:t>
            </w:r>
            <w:r>
              <w:rPr>
                <w:b/>
                <w:i/>
              </w:rPr>
              <w:t>500</w:t>
            </w:r>
            <w:r>
              <w:t xml:space="preserve"> EUR.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288</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všechny budovy a jakýkoli jiný typ nemovitého majetku a staveb, které jsou používány pro podnikání: </w:t>
            </w:r>
            <w:r>
              <w:rPr>
                <w:b/>
                <w:i/>
              </w:rPr>
              <w:t>28</w:t>
            </w:r>
            <w:r>
              <w:t xml:space="preserve"> let;</w:t>
            </w:r>
          </w:p>
        </w:tc>
        <w:tc>
          <w:tcPr>
            <w:tcW w:w="4876" w:type="dxa"/>
            <w:tcBorders>
              <w:top w:val="nil"/>
              <w:left w:val="nil"/>
              <w:bottom w:val="nil"/>
              <w:right w:val="nil"/>
            </w:tcBorders>
          </w:tcPr>
          <w:p>
            <w:pPr>
              <w:pStyle w:val="Normal6a"/>
            </w:pPr>
            <w:r>
              <w:t>a)</w:t>
            </w:r>
            <w:r>
              <w:tab/>
            </w:r>
            <w:r>
              <w:t xml:space="preserve">všechny budovy a jakýkoli jiný typ nemovitého majetku a staveb, které jsou používány pro podnikání: </w:t>
            </w:r>
            <w:r>
              <w:rPr>
                <w:b/>
                <w:i/>
              </w:rPr>
              <w:t>50</w:t>
            </w:r>
            <w:r>
              <w:t xml:space="preserve">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289</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všechny budovy a jakýkoli jiný typ nemovitého majetku a staveb, které jsou používány pro podnikání: </w:t>
            </w:r>
            <w:r>
              <w:rPr>
                <w:b/>
                <w:i/>
              </w:rPr>
              <w:t>28</w:t>
            </w:r>
            <w:r>
              <w:t xml:space="preserve"> let;</w:t>
            </w:r>
          </w:p>
        </w:tc>
        <w:tc>
          <w:tcPr>
            <w:tcW w:w="4876" w:type="dxa"/>
            <w:tcBorders>
              <w:top w:val="nil"/>
              <w:left w:val="nil"/>
              <w:bottom w:val="nil"/>
              <w:right w:val="nil"/>
            </w:tcBorders>
          </w:tcPr>
          <w:p>
            <w:pPr>
              <w:pStyle w:val="Normal6a"/>
            </w:pPr>
            <w:r>
              <w:t>a)</w:t>
            </w:r>
            <w:r>
              <w:tab/>
            </w:r>
            <w:r>
              <w:t xml:space="preserve">všechny budovy a jakýkoli jiný typ nemovitého majetku a staveb, které jsou používány pro podnikání: </w:t>
            </w:r>
            <w:r>
              <w:rPr>
                <w:b/>
                <w:i/>
              </w:rPr>
              <w:t>30</w:t>
            </w:r>
            <w:r>
              <w:t xml:space="preserve">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290</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všechny budovy a jakýkoli jiný typ nemovitého majetku a staveb, které jsou používány pro podnikání: </w:t>
            </w:r>
            <w:r>
              <w:rPr>
                <w:b/>
                <w:i/>
              </w:rPr>
              <w:t>28</w:t>
            </w:r>
            <w:r>
              <w:t xml:space="preserve"> let;</w:t>
            </w:r>
          </w:p>
        </w:tc>
        <w:tc>
          <w:tcPr>
            <w:tcW w:w="4876" w:type="dxa"/>
            <w:tcBorders>
              <w:top w:val="nil"/>
              <w:left w:val="nil"/>
              <w:bottom w:val="nil"/>
              <w:right w:val="nil"/>
            </w:tcBorders>
          </w:tcPr>
          <w:p>
            <w:pPr>
              <w:pStyle w:val="Normal6a"/>
            </w:pPr>
            <w:r>
              <w:t>a)</w:t>
            </w:r>
            <w:r>
              <w:tab/>
            </w:r>
            <w:r>
              <w:t xml:space="preserve">všechny budovy a jakýkoli jiný typ nemovitého majetku a staveb, které jsou používány pro podnikání: </w:t>
            </w:r>
            <w:r>
              <w:rPr>
                <w:b/>
                <w:i/>
              </w:rPr>
              <w:t>30</w:t>
            </w:r>
            <w:r>
              <w:t xml:space="preserve">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291</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veškerá ostatní dlouhodobá hmotná aktiva: jejich životnost, jak je posouzená v souladu s přijatelným účetním standardem v Unii uvedeným v článku 7;</w:t>
            </w:r>
          </w:p>
        </w:tc>
        <w:tc>
          <w:tcPr>
            <w:tcW w:w="4876" w:type="dxa"/>
            <w:tcBorders>
              <w:top w:val="nil"/>
              <w:left w:val="nil"/>
              <w:bottom w:val="nil"/>
              <w:right w:val="nil"/>
            </w:tcBorders>
          </w:tcPr>
          <w:p>
            <w:pPr>
              <w:pStyle w:val="Normal6a"/>
            </w:pPr>
            <w:r>
              <w:t>b)</w:t>
            </w:r>
            <w:r>
              <w:tab/>
            </w:r>
            <w:r>
              <w:t>veškerá ostatní dlouhodobá hmotná aktiva: jejich životnost, jak je posouzená v souladu s přijatelným účetním standardem v Unii uvedeným v článku 7</w:t>
            </w:r>
            <w:r>
              <w:rPr>
                <w:b/>
                <w:i/>
              </w:rPr>
              <w:t>, přinejmenším však 10 let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292</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veškerá ostatní dlouhodobá hmotná aktiva: jejich životnost, jak je posouzená v souladu s přijatelným účetním standardem v Unii uvedeným v článku 7;</w:t>
            </w:r>
          </w:p>
        </w:tc>
        <w:tc>
          <w:tcPr>
            <w:tcW w:w="4876" w:type="dxa"/>
            <w:tcBorders>
              <w:top w:val="nil"/>
              <w:left w:val="nil"/>
              <w:bottom w:val="nil"/>
              <w:right w:val="nil"/>
            </w:tcBorders>
          </w:tcPr>
          <w:p>
            <w:pPr>
              <w:pStyle w:val="Normal6a"/>
            </w:pPr>
            <w:r>
              <w:t>b)</w:t>
            </w:r>
            <w:r>
              <w:tab/>
            </w:r>
            <w:r>
              <w:t>veškerá ostatní dlouhodobá hmotná aktiva: jejich životnost, jak je posouzená v souladu s přijatelným účetním standardem v Unii uvedeným v článku 7</w:t>
            </w:r>
            <w:r>
              <w:rPr>
                <w:b/>
                <w:i/>
              </w:rPr>
              <w:t>, přinejmenším však 5 let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293</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2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dlouhodobá nehmotná aktiva, včetně nabytého goodwillu: doba, po kterou aktivum požívá právní ochrany nebo na kterou bylo uděleno právo, a pokud tuto dobu nelze určit, </w:t>
            </w:r>
            <w:r>
              <w:rPr>
                <w:b/>
                <w:i/>
              </w:rPr>
              <w:t>pět</w:t>
            </w:r>
            <w:r>
              <w:t xml:space="preserve"> let.</w:t>
            </w:r>
          </w:p>
        </w:tc>
        <w:tc>
          <w:tcPr>
            <w:tcW w:w="4876" w:type="dxa"/>
            <w:tcBorders>
              <w:top w:val="nil"/>
              <w:left w:val="nil"/>
              <w:bottom w:val="nil"/>
              <w:right w:val="nil"/>
            </w:tcBorders>
          </w:tcPr>
          <w:p>
            <w:pPr>
              <w:pStyle w:val="Normal6a"/>
            </w:pPr>
            <w:r>
              <w:t>c)</w:t>
            </w:r>
            <w:r>
              <w:tab/>
            </w:r>
            <w:r>
              <w:t xml:space="preserve">dlouhodobá nehmotná aktiva, včetně nabytého goodwillu: doba, po kterou aktivum požívá právní ochrany nebo na kterou bylo uděleno právo, a pokud tuto dobu nelze určit, </w:t>
            </w:r>
            <w:r>
              <w:rPr>
                <w:b/>
                <w:i/>
              </w:rPr>
              <w:t>20</w:t>
            </w:r>
            <w:r>
              <w:t xml:space="preserve">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294</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2 – písm.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dlouhodobá nehmotná aktiva, včetně nabytého goodwillu: doba, po kterou aktivum požívá právní ochrany nebo na kterou bylo uděleno právo, a pokud tuto dobu nelze určit, </w:t>
            </w:r>
            <w:r>
              <w:rPr>
                <w:b/>
                <w:i/>
              </w:rPr>
              <w:t>pět</w:t>
            </w:r>
            <w:r>
              <w:t xml:space="preserve"> let.</w:t>
            </w:r>
          </w:p>
        </w:tc>
        <w:tc>
          <w:tcPr>
            <w:tcW w:w="4876" w:type="dxa"/>
            <w:tcBorders>
              <w:top w:val="nil"/>
              <w:left w:val="nil"/>
              <w:bottom w:val="nil"/>
              <w:right w:val="nil"/>
            </w:tcBorders>
          </w:tcPr>
          <w:p>
            <w:pPr>
              <w:pStyle w:val="Normal6a"/>
            </w:pPr>
            <w:r>
              <w:t>c)</w:t>
            </w:r>
            <w:r>
              <w:tab/>
            </w:r>
            <w:r>
              <w:t xml:space="preserve">dlouhodobá nehmotná aktiva, včetně nabytého goodwillu: doba, po kterou aktivum požívá právní ochrany nebo na kterou bylo uděleno právo, a pokud tuto dobu nelze určit, </w:t>
            </w:r>
            <w:r>
              <w:rPr>
                <w:b/>
                <w:i/>
              </w:rPr>
              <w:t>20</w:t>
            </w:r>
            <w:r>
              <w:t xml:space="preserve"> 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295</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Odchylně od odstavce 2 se dlouhodobá aktiva s velkou uhlíkovou stopou, a to jak při výrobě, tak při jejich používání, odepisují až do poloviny své tržní hodnoty.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Komise prostřednictvím prováděcího aktu stanoví kritéria pro vymezení hodnot představujících velkou uhlíkovou stopu.</w:t>
            </w:r>
            <w:r>
              <w:t xml:space="preserve"> </w:t>
            </w:r>
            <w:r>
              <w:rPr>
                <w:b/>
                <w:i/>
              </w:rPr>
              <w:t>Pravidla se aktualizují každé tři roky.</w:t>
            </w:r>
            <w:r>
              <w:t xml:space="preserve"> </w:t>
            </w:r>
            <w:r>
              <w:rPr>
                <w:b/>
                <w:i/>
              </w:rPr>
              <w:t>Tyto prováděcí akty se přijímají přezkumným postupem podle článku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296</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Komisi je svěřena pravomoc přijímat akty v přenesené pravomoci za účelem doplnění této směrnice stanovením dočasných pravidel pro zrychlené odpisy nákladů na způsobilá aktiva a zlepšení, která přispívají k posílení obranných schopností Unie a k vývoji nových technologií dvojího užití.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297</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Členské státy nejsou oprávněny členovi skupiny BEFIT přiznat jiná oprávnění k odepisování než ta, která jsou uvedena v tomto oddíle.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298</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22 – odst.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Členské státy nejsou oprávněny členovi skupiny BEFIT přiznat jiná oprávnění k odepisování než ta, která jsou uvedena v tomto oddíle.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299</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22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22a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Pravidla pro zrychlené ekologické a sociální odpisování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Odchylně od článku 22 se na dlouhodobá aktiva nabytá členy skupiny BEFIT v Unii nebo v zemích s nízkými příjmy, které významně přispívají k cílům v oblasti klimatu a cílům OSN v oblasti udržitelného rozvoje do roku 2030, vztahují pravidla zrychleného odpisování na úrovni členských států.</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Komise prostřednictvím prováděcího aktu stanoví nezbytný rámec a kritéria pro uvedení odstavce 1 do praxe.</w:t>
            </w:r>
            <w:r>
              <w:t xml:space="preserve"> </w:t>
            </w:r>
            <w:r>
              <w:rPr>
                <w:b/>
                <w:i/>
              </w:rPr>
              <w:t>Pravidla se aktualizují každé tři roky.</w:t>
            </w:r>
            <w:r>
              <w:t xml:space="preserve"> </w:t>
            </w:r>
            <w:r>
              <w:rPr>
                <w:b/>
                <w:i/>
              </w:rPr>
              <w:t>Tyto prováděcí akty se přijímají přezkumným postupem podle článku 73.</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Členské státy informují Komisi o svých stávajících pravidlech pro zrychlené odpisování na vnitrostátní úrovni podle odstavců 1 a 2 tři měsíce poté, co se tato směrnice začne uplatňovat, a v souladu s povinností uvedenou v čl. 48 odst. 2.</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Po vstupu této směrnice v platnost informují členské státy o svých nových pravidlech zrychleného odpisování Komisi šest měsíců před jejich vstupem v platnost na vnitrostátní úrovni a v souladu s povinností stanovenou v čl. 48 odst.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300</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27 – odst. 1 – písm. a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dlouhodobá aktiva používaná při činnostech souvisejících s fosilními palivy;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301</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27 – odst. 1 – písm. b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všechna nehmotná aktiva, u nichž nelze definovat dobu použitelnosti.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302</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37 – odst. 3 – pododstavec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Pokud podíl na základu daně BEFIT, který byl přidělen členu skupiny BEFIT v daném účetním roce, nepostačuje k plnému odpočtu částek uvedených v prvním a třetím pododstavci, převede člen skupiny BEFIT neuplatněné částky do dalších let a započte je proti svému podílu na základu daně BEFIT v následujících účetních letech.</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303</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Článek 38</w:t>
            </w:r>
            <w:r>
              <w:tab/>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38 Pokud společnost nebo stálá provozovna vstoupí do skupiny BEFIT, odečtou se od jejího podílu na základu daně BEFIT stanoveného v souladu s kapitolou III veškeré neuplatněné ztráty vzniklé před datem vstupu v souladu s právními předpisy o dani z příjmů právnických osob členského státu, v němž je společnost nebo stálá provozovna daňovým rezidentem nebo v němž je umístěna.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Pokud společnost nebo stálá provozovna vstoupí do skupiny BEFIT, odečtou se od jejího podílu na základu daně BEFIT stanoveného v souladu s kapitolou III veškeré neuplatněné ztráty vzniklé před datem vstupu v souladu s právními předpisy o dani z příjmů právnických osob členského státu, v němž je společnost nebo stálá provozovna daňovým rezidentem nebo v němž je umístěna.</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304</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Pokud společnost nebo stálá provozovna vstoupí do skupiny BEFIT, odečtou se od jejího podílu na základu daně BEFIT stanoveného v souladu s kapitolou III veškeré neuplatněné ztráty vzniklé před datem vstupu v souladu s právními předpisy o dani z příjmů právnických osob členského státu, v němž je společnost nebo stálá provozovna daňovým rezidentem nebo v němž je umístěna.</w:t>
            </w:r>
          </w:p>
        </w:tc>
        <w:tc>
          <w:tcPr>
            <w:tcW w:w="4876" w:type="dxa"/>
            <w:tcBorders>
              <w:top w:val="nil"/>
              <w:left w:val="nil"/>
              <w:bottom w:val="nil"/>
              <w:right w:val="nil"/>
            </w:tcBorders>
          </w:tcPr>
          <w:p>
            <w:pPr>
              <w:pStyle w:val="Normal6a"/>
            </w:pPr>
            <w:r>
              <w:t xml:space="preserve">Pokud společnost nebo stálá provozovna vstoupí do skupiny BEFIT, odečtou se od jejího podílu na základu daně BEFIT stanoveného v souladu s kapitolou III veškeré neuplatněné ztráty vzniklé </w:t>
            </w:r>
            <w:r>
              <w:rPr>
                <w:b/>
                <w:i/>
              </w:rPr>
              <w:t>do pěti let</w:t>
            </w:r>
            <w:r>
              <w:t xml:space="preserve"> před datem vstupu v souladu s právními předpisy o dani z příjmů právnických osob členského státu, v němž je společnost nebo stálá provozovna daňovým rezidentem nebo v němž je umístěna.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305</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38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Pokud společnost nebo stálá provozovna vstoupí do skupiny BEFIT, odečtou se od jejího podílu na základu daně BEFIT stanoveného v souladu s kapitolou III veškeré neuplatněné ztráty vzniklé před datem vstupu v souladu s právními předpisy o dani z příjmů právnických osob členského státu, v němž je společnost nebo stálá provozovna daňovým rezidentem nebo v němž je umístěna.</w:t>
            </w:r>
          </w:p>
        </w:tc>
        <w:tc>
          <w:tcPr>
            <w:tcW w:w="4876" w:type="dxa"/>
            <w:tcBorders>
              <w:top w:val="nil"/>
              <w:left w:val="nil"/>
              <w:bottom w:val="nil"/>
              <w:right w:val="nil"/>
            </w:tcBorders>
          </w:tcPr>
          <w:p>
            <w:pPr>
              <w:pStyle w:val="Normal6a"/>
            </w:pPr>
            <w:r>
              <w:t xml:space="preserve">Pokud společnost nebo stálá provozovna vstoupí do skupiny BEFIT, odečtou se od jejího podílu na základu daně BEFIT stanoveného v souladu s kapitolou III veškeré neuplatněné ztráty vzniklé před datem vstupu v souladu s právními předpisy o dani z příjmů právnických osob členského státu, v </w:t>
            </w:r>
            <w:r>
              <w:rPr>
                <w:b/>
                <w:i/>
              </w:rPr>
              <w:t>rozsahu, v jakém jsou odpočitatelné podle právních předpisů o dani z příjmů právnických osob členského státu, v</w:t>
            </w:r>
            <w:r>
              <w:t xml:space="preserve"> němž je společnost nebo stálá provozovna daňovým rezidentem nebo v němž je umístěna.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306</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41 – odst. 1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Bez ohledu na článek 9, pokud člen skupiny BEFIT v důsledku zcizení akcií opustí skupinu BEFIT a během tohoto nebo předchozího účetního roku tento člen skupiny BEFIT nabyl v rámci transakce uvnitř skupiny BEFIT jedno nebo více dlouhodobých aktiv, částka odpovídající zisku nebo ztrátě vyplývajících ze zcizení těchto dlouhodobých aktiv uvnitř skupiny BEFIT se zahrne do čistého účetního příjmu nebo ztráty člena skupiny BEFIT, který vlastnil tato aktiva před zcizením uvnitř skupiny BEFIT.</w:t>
            </w:r>
          </w:p>
        </w:tc>
        <w:tc>
          <w:tcPr>
            <w:tcW w:w="4876" w:type="dxa"/>
            <w:tcBorders>
              <w:top w:val="nil"/>
              <w:left w:val="nil"/>
              <w:bottom w:val="nil"/>
              <w:right w:val="nil"/>
            </w:tcBorders>
          </w:tcPr>
          <w:p>
            <w:pPr>
              <w:pStyle w:val="Normal6a"/>
            </w:pPr>
            <w:r>
              <w:rPr>
                <w:i/>
              </w:rPr>
              <w:t>(Netýká se českého znění.)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307</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41 – odst. 1 – pododstavec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První pododstavec se nepoužije, pokud člen skupiny BEFIT prokáže, že transakce uvnitř skupiny BEFIT byla provedena z platných obchodních důvodů.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308</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41 – odst. 1 – pododstavec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První pododstavec se nepoužije, pokud člen skupiny BEFIT prokáže, že transakce uvnitř skupiny BEFIT byla provedena z platných obchodních důvodů.</w:t>
            </w:r>
          </w:p>
        </w:tc>
        <w:tc>
          <w:tcPr>
            <w:tcW w:w="4876" w:type="dxa"/>
            <w:tcBorders>
              <w:top w:val="nil"/>
              <w:left w:val="nil"/>
              <w:bottom w:val="nil"/>
              <w:right w:val="nil"/>
            </w:tcBorders>
          </w:tcPr>
          <w:p>
            <w:pPr>
              <w:pStyle w:val="Normal6a"/>
            </w:pPr>
            <w:r>
              <w:t xml:space="preserve">První pododstavec se nepoužije, pokud člen skupiny BEFIT prokáže, že transakce uvnitř skupiny BEFIT byla provedena z platných obchodních důvodů </w:t>
            </w:r>
            <w:r>
              <w:rPr>
                <w:b/>
                <w:i/>
              </w:rPr>
              <w:t>a v rámci parametrů volného trhu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309</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42a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Výpočet základu daně BEFIT Global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Je-li to možné, vykazují všechny skupiny BEFIT celkový konsolidovaný základ daně, v němž jsou shrnuty finanční výsledky všech členů skupiny, kteří se nacházejí v členských státech a v jurisdikcích třetích zemí.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Základ daně BEFIT EU popsaný v článku 42 se odpovídajícím způsobem upraví směrem nahoru, pokud je částka vyplývající z odstavce 1 vyšší.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Pokud je základ daně BEFIT v daném roce kladný, zisk se přidělí v souladu s pravidlem stanoveným v článku 45a.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310</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42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Výpočet základu daně BEFIT</w:t>
            </w:r>
          </w:p>
        </w:tc>
        <w:tc>
          <w:tcPr>
            <w:tcW w:w="4876" w:type="dxa"/>
            <w:tcBorders>
              <w:top w:val="nil"/>
              <w:left w:val="nil"/>
              <w:bottom w:val="nil"/>
              <w:right w:val="nil"/>
            </w:tcBorders>
          </w:tcPr>
          <w:p>
            <w:pPr>
              <w:pStyle w:val="Normal6a"/>
            </w:pPr>
            <w:r>
              <w:t xml:space="preserve">Výpočet základu daně BEFIT </w:t>
            </w:r>
            <w:r>
              <w:rPr>
                <w:b/>
                <w:i/>
              </w:rPr>
              <w:t>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311</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42 – odst. 2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Jestliže je základ daně BEFIT v daném roce:</w:t>
            </w:r>
          </w:p>
        </w:tc>
        <w:tc>
          <w:tcPr>
            <w:tcW w:w="4876" w:type="dxa"/>
            <w:tcBorders>
              <w:top w:val="nil"/>
              <w:left w:val="nil"/>
              <w:bottom w:val="nil"/>
              <w:right w:val="nil"/>
            </w:tcBorders>
          </w:tcPr>
          <w:p>
            <w:pPr>
              <w:pStyle w:val="Normal6a"/>
            </w:pPr>
            <w:r>
              <w:t>2.</w:t>
            </w:r>
            <w:r>
              <w:tab/>
            </w:r>
            <w:r>
              <w:t xml:space="preserve">Jestliže je základ daně BEFIT </w:t>
            </w:r>
            <w:r>
              <w:rPr>
                <w:b/>
                <w:i/>
              </w:rPr>
              <w:t>EU</w:t>
            </w:r>
            <w:r>
              <w:t xml:space="preserve"> v daném roce: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312</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42 – odst.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kladnou částkou, zisk se rozdělí v souladu s </w:t>
            </w:r>
            <w:r>
              <w:rPr>
                <w:b/>
                <w:i/>
              </w:rPr>
              <w:t>článkem 45</w:t>
            </w:r>
            <w:r>
              <w:t>;</w:t>
            </w:r>
          </w:p>
        </w:tc>
        <w:tc>
          <w:tcPr>
            <w:tcW w:w="4876" w:type="dxa"/>
            <w:tcBorders>
              <w:top w:val="nil"/>
              <w:left w:val="nil"/>
              <w:bottom w:val="nil"/>
              <w:right w:val="nil"/>
            </w:tcBorders>
          </w:tcPr>
          <w:p>
            <w:pPr>
              <w:pStyle w:val="Normal6a"/>
            </w:pPr>
            <w:r>
              <w:t>a)</w:t>
            </w:r>
            <w:r>
              <w:tab/>
            </w:r>
            <w:r>
              <w:t xml:space="preserve">kladnou částkou, zisk se rozdělí v souladu s </w:t>
            </w:r>
            <w:r>
              <w:rPr>
                <w:b/>
                <w:i/>
              </w:rPr>
              <w:t>pravidlem stanoveným v článku 45a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313</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42 – odst.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zápornou částkou, ztráta se převede do dalšího období a započte se proti nejbližšímu kladnému základu daně BEFIT.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314</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42 – odst.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zápornou částkou, ztráta se převede do </w:t>
            </w:r>
            <w:r>
              <w:rPr>
                <w:b/>
                <w:i/>
              </w:rPr>
              <w:t>dalšího</w:t>
            </w:r>
            <w:r>
              <w:t xml:space="preserve"> období a započte se proti nejbližšímu kladnému základu daně BEFIT.</w:t>
            </w:r>
          </w:p>
        </w:tc>
        <w:tc>
          <w:tcPr>
            <w:tcW w:w="4876" w:type="dxa"/>
            <w:tcBorders>
              <w:top w:val="nil"/>
              <w:left w:val="nil"/>
              <w:bottom w:val="nil"/>
              <w:right w:val="nil"/>
            </w:tcBorders>
          </w:tcPr>
          <w:p>
            <w:pPr>
              <w:pStyle w:val="Normal6a"/>
            </w:pPr>
            <w:r>
              <w:t>b)</w:t>
            </w:r>
            <w:r>
              <w:tab/>
            </w:r>
            <w:r>
              <w:t xml:space="preserve">zápornou částkou, ztráta se převede do období </w:t>
            </w:r>
            <w:r>
              <w:rPr>
                <w:b/>
                <w:i/>
              </w:rPr>
              <w:t>dalších maximálně pěti let</w:t>
            </w:r>
            <w:r>
              <w:t xml:space="preserve"> a započte se proti nejbližšímu kladnému základu daně BEFIT.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315</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42 – odst.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zápornou částkou, ztráta se převede do dalšího období a započte se proti nejbližšímu kladnému základu daně BEFIT.</w:t>
            </w:r>
          </w:p>
        </w:tc>
        <w:tc>
          <w:tcPr>
            <w:tcW w:w="4876" w:type="dxa"/>
            <w:tcBorders>
              <w:top w:val="nil"/>
              <w:left w:val="nil"/>
              <w:bottom w:val="nil"/>
              <w:right w:val="nil"/>
            </w:tcBorders>
          </w:tcPr>
          <w:p>
            <w:pPr>
              <w:pStyle w:val="Normal6a"/>
            </w:pPr>
            <w:r>
              <w:t>b)</w:t>
            </w:r>
            <w:r>
              <w:tab/>
            </w:r>
            <w:r>
              <w:t>zápornou částkou, ztráta se převede do dalšího období a započte se proti nejbližšímu kladnému základu daně BEFIT</w:t>
            </w:r>
            <w:r>
              <w:rPr>
                <w:b/>
                <w:i/>
              </w:rPr>
              <w:t>, jakmile k němu dojde</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Pro převod prostředků do dalšího období by neměla existovat žádná časová omezení.</w:t>
      </w:r>
    </w:p>
    <w:p>
      <w:r>
        <w:rPr>
          <w:rStyle w:val="HideTWBExt"/>
        </w:rPr>
        <w:t>&lt;/Amend&gt;</w:t>
      </w:r>
    </w:p>
    <w:p>
      <w:pPr>
        <w:pStyle w:val="AmNumberTabs"/>
      </w:pPr>
      <w:r>
        <w:rPr>
          <w:rStyle w:val="HideTWBExt"/>
        </w:rPr>
        <w:t>&lt;Amend&gt;</w:t>
      </w:r>
      <w:r>
        <w:t>Pozměňovací návrh</w:t>
      </w:r>
      <w:r>
        <w:tab/>
      </w:r>
      <w:r>
        <w:tab/>
      </w:r>
      <w:r>
        <w:rPr>
          <w:rStyle w:val="HideTWBExt"/>
        </w:rPr>
        <w:t>&lt;NumAm&gt;</w:t>
      </w:r>
      <w:r>
        <w:t>316</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43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Členské státy neuloží srážkovou daň ani jiné zdanění u zdroje na transakce uvnitř skupiny BEFIT, pokud skutečný vlastník platby není členem skupiny BEFIT.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317</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43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Komise stanoví jasná a harmonizovaná kritéria pro určení skutečného vlastnictví.</w:t>
            </w:r>
            <w:r>
              <w:t xml:space="preserve"> </w:t>
            </w:r>
            <w:r>
              <w:rPr>
                <w:b/>
                <w:i/>
              </w:rPr>
              <w:t>Cílem těchto kritérií je zajistit jednotné uplatňování systému osvobození od daně, snížit právní nejistotu a zabránit zneužívání.</w:t>
            </w:r>
            <w:r>
              <w:t xml:space="preserve"> </w:t>
            </w:r>
            <w:r>
              <w:rPr>
                <w:b/>
                <w:i/>
              </w:rPr>
              <w:t>Kritéria se vypracují po konzultaci s členskými státy a případně se sladí s mezinárodními normami.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318</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44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Pokud člen skupiny BEFIT dosáhne příjmu, který byl zdaněn v jiném členském státě nebo ve třetí zemi, </w:t>
            </w:r>
            <w:r>
              <w:rPr>
                <w:b/>
                <w:i/>
              </w:rPr>
              <w:t>poskytne se</w:t>
            </w:r>
            <w:r>
              <w:t xml:space="preserve"> daňový zápočet v souladu s platnou smlouvou o zamezení dvojího zdanění nebo vnitrostátními právními předpisy a rozdělí se mezi členy skupiny BEFIT za použití metody základního přidělení uvedené v článku 45.</w:t>
            </w:r>
          </w:p>
        </w:tc>
        <w:tc>
          <w:tcPr>
            <w:tcW w:w="4876" w:type="dxa"/>
            <w:tcBorders>
              <w:top w:val="nil"/>
              <w:left w:val="nil"/>
              <w:bottom w:val="nil"/>
              <w:right w:val="nil"/>
            </w:tcBorders>
          </w:tcPr>
          <w:p>
            <w:pPr>
              <w:pStyle w:val="Normal6a"/>
            </w:pPr>
            <w:r>
              <w:t>1.</w:t>
            </w:r>
            <w:r>
              <w:tab/>
            </w:r>
            <w:r>
              <w:t xml:space="preserve">Pokud člen skupiny BEFIT dosáhne příjmu, který byl zdaněn v jiném členském státě nebo ve třetí zemi, </w:t>
            </w:r>
            <w:r>
              <w:rPr>
                <w:b/>
                <w:i/>
              </w:rPr>
              <w:t>lze poskytnout</w:t>
            </w:r>
            <w:r>
              <w:t xml:space="preserve"> daňový zápočet v souladu s platnou smlouvou o zamezení dvojího zdanění nebo vnitrostátními právními předpisy a rozdělí se mezi členy skupiny BEFIT za použití metody základního přidělení uvedené v článku 45</w:t>
            </w:r>
            <w:r>
              <w:rPr>
                <w:b/>
                <w:i/>
              </w:rPr>
              <w:t>, pokud je zaručena minimální úroveň efektivního zdanění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319</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320</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Přechodné</w:t>
            </w:r>
            <w:r>
              <w:t xml:space="preserve"> pravidlo pro přidělování</w:t>
            </w:r>
          </w:p>
        </w:tc>
        <w:tc>
          <w:tcPr>
            <w:tcW w:w="4876" w:type="dxa"/>
            <w:tcBorders>
              <w:top w:val="nil"/>
              <w:left w:val="nil"/>
              <w:bottom w:val="nil"/>
              <w:right w:val="nil"/>
            </w:tcBorders>
          </w:tcPr>
          <w:p>
            <w:pPr>
              <w:pStyle w:val="Normal6a"/>
            </w:pPr>
            <w:r>
              <w:t xml:space="preserve">Pravidlo pro přidělování </w:t>
            </w:r>
            <w:r>
              <w:rPr>
                <w:b/>
                <w:i/>
              </w:rPr>
              <w:t>dle předpisů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321</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Přechodné</w:t>
            </w:r>
            <w:r>
              <w:t xml:space="preserve"> pravidlo pro přidělování</w:t>
            </w:r>
          </w:p>
        </w:tc>
        <w:tc>
          <w:tcPr>
            <w:tcW w:w="4876" w:type="dxa"/>
            <w:tcBorders>
              <w:top w:val="nil"/>
              <w:left w:val="nil"/>
              <w:bottom w:val="nil"/>
              <w:right w:val="nil"/>
            </w:tcBorders>
          </w:tcPr>
          <w:p>
            <w:pPr>
              <w:pStyle w:val="Normal6a"/>
            </w:pPr>
            <w:r>
              <w:rPr>
                <w:b/>
                <w:i/>
              </w:rPr>
              <w:t>Základní</w:t>
            </w:r>
            <w:r>
              <w:t xml:space="preserve"> pravidlo pro přidělování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322</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1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Pro každý účetní rok </w:t>
            </w:r>
            <w:r>
              <w:rPr>
                <w:b/>
                <w:i/>
              </w:rPr>
              <w:t>v období mezi 1.</w:t>
            </w:r>
            <w:r>
              <w:t xml:space="preserve"> </w:t>
            </w:r>
            <w:r>
              <w:rPr>
                <w:b/>
                <w:i/>
              </w:rPr>
              <w:t>červencem 2028 a nejpozději 30.</w:t>
            </w:r>
            <w:r>
              <w:t xml:space="preserve"> </w:t>
            </w:r>
            <w:r>
              <w:rPr>
                <w:b/>
                <w:i/>
              </w:rPr>
              <w:t>červnem 2035 („přechodné období“)</w:t>
            </w:r>
            <w:r>
              <w:t xml:space="preserve"> se základ daně BEFIT přidělí členům skupiny BEFIT </w:t>
            </w:r>
            <w:r>
              <w:rPr>
                <w:b/>
                <w:i/>
              </w:rPr>
              <w:t>v souladu se základním procentním podílem</w:t>
            </w:r>
            <w:r>
              <w:t>.</w:t>
            </w:r>
          </w:p>
        </w:tc>
        <w:tc>
          <w:tcPr>
            <w:tcW w:w="4876" w:type="dxa"/>
            <w:tcBorders>
              <w:top w:val="nil"/>
              <w:left w:val="nil"/>
              <w:bottom w:val="nil"/>
              <w:right w:val="nil"/>
            </w:tcBorders>
          </w:tcPr>
          <w:p>
            <w:pPr>
              <w:pStyle w:val="Normal6a"/>
            </w:pPr>
            <w:r>
              <w:t xml:space="preserve">Pro každý účetní rok se základ daně BEFIT přidělí členům skupiny BEFIT </w:t>
            </w:r>
            <w:r>
              <w:rPr>
                <w:b/>
                <w:i/>
              </w:rPr>
              <w:t>na základě vzorce, který přikládá stejnou váhu dvěma faktorům:</w:t>
            </w:r>
            <w:r>
              <w:t xml:space="preserve"> </w:t>
            </w:r>
            <w:r>
              <w:rPr>
                <w:b/>
                <w:i/>
              </w:rPr>
              <w:t>počtu zaměstnanců a příjmům třetích stran, které nejsou ve spojení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323</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1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Pro každý účetní rok v období mezi 1.</w:t>
            </w:r>
            <w:r>
              <w:t xml:space="preserve"> </w:t>
            </w:r>
            <w:r>
              <w:rPr>
                <w:b/>
                <w:i/>
              </w:rPr>
              <w:t>červencem 2028 a nejpozději 30.</w:t>
            </w:r>
            <w:r>
              <w:t xml:space="preserve"> </w:t>
            </w:r>
            <w:r>
              <w:rPr>
                <w:b/>
                <w:i/>
              </w:rPr>
              <w:t>červnem 2035 („přechodné období“) se</w:t>
            </w:r>
            <w:r>
              <w:t xml:space="preserve"> základ daně BEFIT přidělí členům skupiny BEFIT v souladu se základním procentním podílem.</w:t>
            </w:r>
          </w:p>
        </w:tc>
        <w:tc>
          <w:tcPr>
            <w:tcW w:w="4876" w:type="dxa"/>
            <w:tcBorders>
              <w:top w:val="nil"/>
              <w:left w:val="nil"/>
              <w:bottom w:val="nil"/>
              <w:right w:val="nil"/>
            </w:tcBorders>
          </w:tcPr>
          <w:p>
            <w:pPr>
              <w:pStyle w:val="Normal6a"/>
            </w:pPr>
            <w:r>
              <w:t xml:space="preserve">Základ daně BEFIT </w:t>
            </w:r>
            <w:r>
              <w:rPr>
                <w:b/>
                <w:i/>
              </w:rPr>
              <w:t>se</w:t>
            </w:r>
            <w:r>
              <w:t xml:space="preserve"> přidělí členům skupiny BEFIT v souladu se základním procentním podílem. </w:t>
            </w:r>
            <w:r>
              <w:rPr>
                <w:b/>
                <w:i/>
              </w:rPr>
              <w:t>Toto pravidlo se stane neplatným po přijetí pilíře 1 nejméně 30 jurisdikcemi, které ratifikují Mnohostrannou úmluvu o provádění částky A prvního pilíře podle inkluzivního rámce OECD/G20 pro řešení BEPS, pokud jsou splněny podmínky stanovené v uvedené dohodě, včetně toho, že ratifikující jurisdikce společně představují nejméně 600 bodů ve smyslu přílohy I.A úmluvy.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324</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1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Pro každý účetní rok </w:t>
            </w:r>
            <w:r>
              <w:rPr>
                <w:b/>
                <w:i/>
              </w:rPr>
              <w:t>v období mezi 1.</w:t>
            </w:r>
            <w:r>
              <w:t xml:space="preserve"> </w:t>
            </w:r>
            <w:r>
              <w:rPr>
                <w:b/>
                <w:i/>
              </w:rPr>
              <w:t>červencem 2028 a nejpozději 30.</w:t>
            </w:r>
            <w:r>
              <w:t xml:space="preserve"> </w:t>
            </w:r>
            <w:r>
              <w:rPr>
                <w:b/>
                <w:i/>
              </w:rPr>
              <w:t>červnem 2035 („přechodné období“)</w:t>
            </w:r>
            <w:r>
              <w:t xml:space="preserve"> se základ daně BEFIT přidělí členům skupiny BEFIT v souladu se základním procentním podílem.</w:t>
            </w:r>
          </w:p>
        </w:tc>
        <w:tc>
          <w:tcPr>
            <w:tcW w:w="4876" w:type="dxa"/>
            <w:tcBorders>
              <w:top w:val="nil"/>
              <w:left w:val="nil"/>
              <w:bottom w:val="nil"/>
              <w:right w:val="nil"/>
            </w:tcBorders>
          </w:tcPr>
          <w:p>
            <w:pPr>
              <w:pStyle w:val="Normal6a"/>
            </w:pPr>
            <w:r>
              <w:t>Pro každý účetní rok</w:t>
            </w:r>
            <w:r>
              <w:rPr>
                <w:b/>
                <w:i/>
              </w:rPr>
              <w:t>, dokud Unie nepřijme trvalou metodu přidělování, která nahradí přechodný režim,</w:t>
            </w:r>
            <w:r>
              <w:t xml:space="preserve"> se základ daně BEFIT přidělí členům skupiny BEFIT v souladu se základním procentním podílem.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325</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1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Pro každý účetní rok v období mezi 1. červencem </w:t>
            </w:r>
            <w:r>
              <w:rPr>
                <w:b/>
                <w:i/>
              </w:rPr>
              <w:t>2028</w:t>
            </w:r>
            <w:r>
              <w:t xml:space="preserve"> a nejpozději 30. červnem 2035 („přechodné období“) se základ daně BEFIT přidělí členům skupiny BEFIT v souladu se základním procentním podílem.</w:t>
            </w:r>
          </w:p>
        </w:tc>
        <w:tc>
          <w:tcPr>
            <w:tcW w:w="4876" w:type="dxa"/>
            <w:tcBorders>
              <w:top w:val="nil"/>
              <w:left w:val="nil"/>
              <w:bottom w:val="nil"/>
              <w:right w:val="nil"/>
            </w:tcBorders>
          </w:tcPr>
          <w:p>
            <w:pPr>
              <w:pStyle w:val="Normal6a"/>
            </w:pPr>
            <w:r>
              <w:t xml:space="preserve">Pro každý účetní rok v období mezi 1. červencem </w:t>
            </w:r>
            <w:r>
              <w:rPr>
                <w:b/>
                <w:i/>
              </w:rPr>
              <w:t>2030</w:t>
            </w:r>
            <w:r>
              <w:t xml:space="preserve"> a nejpozději 30. červnem 2035 („přechodné období“) se základ daně BEFIT přidělí členům skupiny BEFIT v souladu se základním procentním podílem.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326</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1 – pododstavec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Pro skupiny, které začnou podléhat této směrnici po skončení prvního účetního roku, kdy se tato směrnice začne uplatňovat, skončí přechodné období uvedené v prvním pododstavci nejpozději 30. června 2035.</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327</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1 – pododstavec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Pro skupiny, které začnou podléhat této směrnici po skončení prvního účetního roku, kdy se tato směrnice začne uplatňovat, skončí přechodné období uvedené v prvním pododstavci nejpozději 30. června 2035.</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328</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2 – pododstavec 1 – návětí</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základní</w:t>
            </w:r>
            <w:r>
              <w:t xml:space="preserve"> podíl </w:t>
            </w:r>
            <w:r>
              <w:rPr>
                <w:b/>
                <w:i/>
              </w:rPr>
              <w:t>=</w:t>
            </w:r>
          </w:p>
        </w:tc>
        <w:tc>
          <w:tcPr>
            <w:tcW w:w="4876" w:type="dxa"/>
            <w:tcBorders>
              <w:top w:val="nil"/>
              <w:left w:val="nil"/>
              <w:bottom w:val="nil"/>
              <w:right w:val="nil"/>
            </w:tcBorders>
          </w:tcPr>
          <w:p>
            <w:pPr>
              <w:pStyle w:val="Normal6a"/>
            </w:pPr>
            <w:r>
              <w:t xml:space="preserve">podíl </w:t>
            </w:r>
            <w:r>
              <w:rPr>
                <w:b/>
                <w:i/>
              </w:rPr>
              <w:t>A = (1/2 * (nesouvisející příjmy třetích stran)</w:t>
            </w:r>
            <w:r>
              <w:t xml:space="preserve"> </w:t>
            </w:r>
            <w:r>
              <w:rPr>
                <w:b/>
                <w:i/>
                <w:vertAlign w:val="superscript"/>
              </w:rPr>
              <w:t>A</w:t>
            </w:r>
            <w:r>
              <w:t xml:space="preserve"> </w:t>
            </w:r>
            <w:r>
              <w:rPr>
                <w:b/>
                <w:i/>
              </w:rPr>
              <w:t>/ (nesouvisející příjmy třetích stran)</w:t>
            </w:r>
            <w:r>
              <w:t xml:space="preserve"> </w:t>
            </w:r>
            <w:r>
              <w:rPr>
                <w:b/>
                <w:i/>
                <w:vertAlign w:val="superscript"/>
              </w:rPr>
              <w:t>skupina</w:t>
            </w:r>
            <w:r>
              <w:t xml:space="preserve"> </w:t>
            </w:r>
            <w:r>
              <w:rPr>
                <w:b/>
                <w:i/>
              </w:rPr>
              <w:t>+ 1/2 * (počet zaměstnanců)</w:t>
            </w:r>
            <w:r>
              <w:t xml:space="preserve"> </w:t>
            </w:r>
            <w:r>
              <w:rPr>
                <w:b/>
                <w:i/>
                <w:vertAlign w:val="superscript"/>
              </w:rPr>
              <w:t>A</w:t>
            </w:r>
            <w:r>
              <w:t xml:space="preserve"> </w:t>
            </w:r>
            <w:r>
              <w:rPr>
                <w:b/>
                <w:i/>
              </w:rPr>
              <w:t>/ (počet zaměstnanců)</w:t>
            </w:r>
            <w:r>
              <w:t xml:space="preserve"> </w:t>
            </w:r>
            <w:r>
              <w:rPr>
                <w:b/>
                <w:i/>
                <w:vertAlign w:val="superscript"/>
              </w:rPr>
              <w:t>skupina</w:t>
            </w:r>
            <w:r>
              <w:rPr>
                <w:b/>
                <w:i/>
              </w:rPr>
              <w:t>) * konsolidovaný základ daně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329</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2 – pododstavec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kde:</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zdanitelný výsledek člena skupiny BEFIT se rovná průměru zdanitelných výsledků za tři předchozí účetní roky.</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zdanitelný výsledek člena skupiny BEFIT se rovná průměru zdanitelných výsledků za tři předchozí účetní roky.</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 prvním účetním roce, ve kterém se na skupinu BEFIT vztahuje tato směrnice, se tyto zdanitelné výsledky stanoví v souladu s vnitrostátními pravidly daně z příjmů právnických osob členského státu, ve kterém je člen skupiny BEFIT daňovým rezidentem nebo ve kterém se nachází jeho stálá provozovna.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Ve druhém účetním roce, ve kterém se na skupinu BEFIT vztahuje tato směrnice, se tyto zdanitelné výsledky stanoví za první účetní rok, ve kterém se na skupinu BEFIT vztahuje tato směrnice, v souladu s kapitolou II této směrnice a za dva předchozí účetní roky v souladu s vnitrostátními předpisy příslušného členského státu.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Ve třetím účetním roce, v němž se na skupinu BEFIT vztahuje tato směrnice, se tyto zdanitelné výsledky stanoví za první dva účetní roky, v nichž se na skupinu BEFIT vztahuje tato směrnice, v souladu s kapitolou II této směrnice a za účetní rok, který bezprostředně předchází, v souladu s vnitrostátními předpisy příslušného členského státu.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Od čtvrtého účetního období, ve kterém se na skupinu BEFIT vztahuje tato směrnice, se tyto zdanitelné výsledky stanoví v souladu s kapitolou II této směrnice;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celkový zdanitelný výsledek skupiny BEFIT je součtem průměrných zdanitelných výsledků uvedených v písmenu a), všech členů skupiny BEFIT za tři předchozí účetní roky.</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330</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2 – pododstavec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kde:</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zdanitelný výsledek člena skupiny BEFIT se rovná průměru zdanitelných výsledků za tři předchozí účetní roky.</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zdanitelný výsledek člena skupiny BEFIT se rovná průměru zdanitelných výsledků za tři předchozí účetní roky.</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 prvním účetním roce, ve kterém se na skupinu BEFIT vztahuje tato směrnice, se tyto zdanitelné výsledky stanoví v souladu s vnitrostátními pravidly daně z příjmů právnických osob členského státu, ve kterém je člen skupiny BEFIT daňovým rezidentem nebo ve kterém se nachází jeho stálá provozovna.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Ve druhém účetním roce, ve kterém se na skupinu BEFIT vztahuje tato směrnice, se tyto zdanitelné výsledky stanoví za první účetní rok, ve kterém se na skupinu BEFIT vztahuje tato směrnice, v souladu s kapitolou II této směrnice a za dva předchozí účetní roky v souladu s vnitrostátními předpisy příslušného členského státu.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Ve třetím účetním roce, v němž se na skupinu BEFIT vztahuje tato směrnice, se tyto zdanitelné výsledky stanoví za první dva účetní roky, v nichž se na skupinu BEFIT vztahuje tato směrnice, v souladu s kapitolou II této směrnice a za účetní rok, který bezprostředně předchází, v souladu s vnitrostátními předpisy příslušného členského státu.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Od čtvrtého účetního období, ve kterém se na skupinu BEFIT vztahuje tato směrnice, se tyto zdanitelné výsledky stanoví v souladu s kapitolou II této směrnice;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celkový zdanitelný výsledek skupiny BEFIT je součtem průměrných zdanitelných výsledků uvedených v písmenu a), všech členů skupiny BEFIT za tři předchozí účetní roky.</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331</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2 – pododstavec 2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zdanitelný výsledek člena skupiny BEFIT se rovná průměru zdanitelných výsledků za tři předchozí účetní roky.</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 prvním účetním roce, ve kterém se na skupinu BEFIT vztahuje tato směrnice, se tyto zdanitelné výsledky stanoví v souladu s vnitrostátními pravidly daně z příjmů právnických osob členského státu, ve kterém je člen skupiny BEFIT daňovým rezidentem nebo ve kterém se nachází jeho stálá provozovna.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Ve druhém účetním roce, ve kterém se na skupinu BEFIT vztahuje tato směrnice, se tyto zdanitelné výsledky stanoví za první účetní rok, ve kterém se na skupinu BEFIT vztahuje tato směrnice, v souladu s kapitolou II této směrnice a za dva předchozí účetní roky v souladu s vnitrostátními předpisy příslušného členského státu.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Ve třetím účetním roce, v němž se na skupinu BEFIT vztahuje tato směrnice, se tyto zdanitelné výsledky stanoví za první dva účetní roky, v nichž se na skupinu BEFIT vztahuje tato směrnice, v souladu s kapitolou II této směrnice a za účetní rok, který bezprostředně předchází, v souladu s vnitrostátními předpisy příslušného členského státu.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Od čtvrtého účetního období, ve kterém se na skupinu BEFIT vztahuje tato směrnice, se tyto zdanitelné výsledky stanoví v souladu s kapitolou II této směrnice;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332</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2 – pododstavec 2 – písm. a – 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zdanitelný výsledek člena skupiny BEFIT se rovná průměru zdanitelných výsledků za tři předchozí účetní roky.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333</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2 – pododstavec 2 – písm. a – 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 prvním účetním roce, ve kterém se na skupinu BEFIT vztahuje tato směrnice, se tyto zdanitelné výsledky stanoví v souladu s vnitrostátními pravidly daně z příjmů právnických osob členského státu, ve kterém je člen skupiny BEFIT daňovým rezidentem nebo ve kterém se nachází jeho stálá provozovna.</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334</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2 – pododstavec 2 – písm. a – 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Ve druhém účetním roce, ve kterém se na skupinu BEFIT vztahuje tato směrnice, se tyto zdanitelné výsledky stanoví za první účetní rok, ve kterém se na skupinu BEFIT vztahuje tato směrnice, v souladu s kapitolou II této směrnice a za dva předchozí účetní roky v souladu s vnitrostátními předpisy příslušného členského státu.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335</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2 – pododstavec 2 – písm. a – 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Ve třetím účetním roce, v němž se na skupinu BEFIT vztahuje tato směrnice, se tyto zdanitelné výsledky stanoví za první dva účetní roky, v nichž se na skupinu BEFIT vztahuje tato směrnice, v souladu s kapitolou II této směrnice a za účetní rok, který bezprostředně předchází, v souladu s vnitrostátními předpisy příslušného členského státu.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336</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2 – pododstavec 2 – písm. a – 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Od čtvrtého účetního období, ve kterém se na skupinu BEFIT vztahuje tato směrnice, se tyto zdanitelné výsledky stanoví v souladu s kapitolou II této směrnice;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337</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2 – pododstavec 2 – písm. a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Zdanitelné výsledky se stanoví v souladu s kapitolou II této směrnice.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338</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2 – pododstavec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celkový zdanitelný výsledek skupiny BEFIT je součtem průměrných zdanitelných výsledků uvedených v písmenu a), všech členů skupiny BEFIT za tři předchozí účetní roky.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339</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2 – pododstavec 2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celkový zdanitelný výsledek skupiny BEFIT je součtem průměrných zdanitelných výsledků uvedených v písmenu a), všech členů skupiny BEFIT </w:t>
            </w:r>
            <w:r>
              <w:rPr>
                <w:b/>
                <w:i/>
              </w:rPr>
              <w:t>za tři předchozí účetní roky</w:t>
            </w:r>
            <w:r>
              <w:t>.</w:t>
            </w:r>
          </w:p>
        </w:tc>
        <w:tc>
          <w:tcPr>
            <w:tcW w:w="4876" w:type="dxa"/>
            <w:tcBorders>
              <w:top w:val="nil"/>
              <w:left w:val="nil"/>
              <w:bottom w:val="nil"/>
              <w:right w:val="nil"/>
            </w:tcBorders>
          </w:tcPr>
          <w:p>
            <w:pPr>
              <w:pStyle w:val="Normal6a"/>
            </w:pPr>
            <w:r>
              <w:t>b)</w:t>
            </w:r>
            <w:r>
              <w:tab/>
            </w:r>
            <w:r>
              <w:t>celkový zdanitelný výsledek skupiny BEFIT je součtem průměrných zdanitelných výsledků uvedených v písmenu a), všech členů skupiny BEFIT.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340</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Komise prostřednictvím aktů v přenesené pravomoci stanoví nezbytná kritéria pro určení obou faktorů, včetně podrobných pravidel pro výpočet těchto faktorů s přihlédnutím ke konkrétním odvětvím, jako jsou poskytovatelé digitálních služeb a mezinárodní doprava.</w:t>
            </w:r>
            <w:r>
              <w:t xml:space="preserve"> </w:t>
            </w:r>
            <w:r>
              <w:rPr>
                <w:b/>
                <w:i/>
              </w:rPr>
              <w:t>Tyto akty v přenesené pravomoci se přijímají přezkumným postupem podle článku 74.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341</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Pro účely odstavce 2 členské státy strukturují svůj rámec posuzování rizik pro stanovení cen transakcí uvnitř skupiny BEFIT takto:</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zóna s nízkým rizikem:</w:t>
            </w:r>
            <w:r>
              <w:rPr>
                <w:b/>
                <w:i/>
              </w:rPr>
              <w:t xml:space="preserve"> </w:t>
            </w:r>
            <w:r>
              <w:rPr>
                <w:b/>
                <w:i/>
              </w:rPr>
              <w:t>pokud se výdaje nebo příjmy člena skupiny BEFIT plynoucí z transakcí uvnitř skupiny BEFIT zvýší v daném účetním roce o méně než 10 % v porovnání s průměrnými výdaji nebo příjmy plynoucími z transakcí uvnitř skupiny BEFIT za předchozí tři účetní roky;</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zóna s vysokým rizikem:</w:t>
            </w:r>
            <w:r>
              <w:rPr>
                <w:b/>
                <w:i/>
              </w:rPr>
              <w:t xml:space="preserve"> </w:t>
            </w:r>
            <w:r>
              <w:rPr>
                <w:b/>
                <w:i/>
              </w:rPr>
              <w:t>pokud se výdaje nebo příjmy člena skupiny BEFIT plynoucí z transakcí uvnitř skupiny BEFIT zvýší v daném účetním roce o 10 % nebo více v porovnání s průměrnými výdaji nebo příjmy plynoucími z transakcí uvnitř skupiny BEFIT za předchozí tři účetní roky.</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342</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3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zóna s nízkým rizikem: pokud se výdaje nebo příjmy člena skupiny BEFIT plynoucí z transakcí uvnitř skupiny BEFIT zvýší v daném účetním roce o méně než </w:t>
            </w:r>
            <w:r>
              <w:rPr>
                <w:b/>
                <w:i/>
              </w:rPr>
              <w:t>10</w:t>
            </w:r>
            <w:r>
              <w:t xml:space="preserve"> % v porovnání s průměrnými výdaji nebo příjmy plynoucími z transakcí uvnitř skupiny BEFIT za předchozí tři účetní roky;</w:t>
            </w:r>
          </w:p>
        </w:tc>
        <w:tc>
          <w:tcPr>
            <w:tcW w:w="4876" w:type="dxa"/>
            <w:tcBorders>
              <w:top w:val="nil"/>
              <w:left w:val="nil"/>
              <w:bottom w:val="nil"/>
              <w:right w:val="nil"/>
            </w:tcBorders>
          </w:tcPr>
          <w:p>
            <w:pPr>
              <w:pStyle w:val="Normal6a"/>
            </w:pPr>
            <w:r>
              <w:t>a)</w:t>
            </w:r>
            <w:r>
              <w:tab/>
            </w:r>
            <w:r>
              <w:t xml:space="preserve">zóna s nízkým rizikem: pokud se výdaje nebo příjmy člena skupiny BEFIT plynoucí z transakcí uvnitř skupiny BEFIT zvýší v daném účetním roce o méně než </w:t>
            </w:r>
            <w:r>
              <w:rPr>
                <w:b/>
                <w:i/>
              </w:rPr>
              <w:t>15</w:t>
            </w:r>
            <w:r>
              <w:t> % v porovnání s průměrnými výdaji nebo příjmy plynoucími z transakcí uvnitř skupiny BEFIT za předchozí tři účetní roky;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343</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3 – písm.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zóna s nízkým rizikem: pokud se výdaje nebo příjmy člena skupiny BEFIT plynoucí z transakcí uvnitř skupiny BEFIT zvýší v daném účetním roce o méně než </w:t>
            </w:r>
            <w:r>
              <w:rPr>
                <w:b/>
                <w:i/>
              </w:rPr>
              <w:t>10</w:t>
            </w:r>
            <w:r>
              <w:t xml:space="preserve"> % v porovnání s průměrnými výdaji nebo příjmy plynoucími z transakcí uvnitř skupiny BEFIT za předchozí tři účetní roky;</w:t>
            </w:r>
          </w:p>
        </w:tc>
        <w:tc>
          <w:tcPr>
            <w:tcW w:w="4876" w:type="dxa"/>
            <w:tcBorders>
              <w:top w:val="nil"/>
              <w:left w:val="nil"/>
              <w:bottom w:val="nil"/>
              <w:right w:val="nil"/>
            </w:tcBorders>
          </w:tcPr>
          <w:p>
            <w:pPr>
              <w:pStyle w:val="Normal6a"/>
            </w:pPr>
            <w:r>
              <w:t>a)</w:t>
            </w:r>
            <w:r>
              <w:tab/>
            </w:r>
            <w:r>
              <w:t xml:space="preserve">zóna s nízkým rizikem: pokud se výdaje nebo příjmy člena skupiny BEFIT plynoucí z transakcí uvnitř skupiny BEFIT zvýší v daném účetním roce o méně než </w:t>
            </w:r>
            <w:r>
              <w:rPr>
                <w:b/>
                <w:i/>
              </w:rPr>
              <w:t>15</w:t>
            </w:r>
            <w:r>
              <w:t> % v porovnání s průměrnými výdaji nebo příjmy plynoucími z transakcí uvnitř skupiny BEFIT za předchozí tři účetní roky;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344</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3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zóna s vysokým rizikem: pokud se výdaje nebo příjmy člena skupiny BEFIT plynoucí z transakcí uvnitř skupiny BEFIT zvýší v daném účetním roce o </w:t>
            </w:r>
            <w:r>
              <w:rPr>
                <w:b/>
                <w:i/>
              </w:rPr>
              <w:t>10</w:t>
            </w:r>
            <w:r>
              <w:t xml:space="preserve"> % nebo více v porovnání s průměrnými výdaji nebo příjmy plynoucími z transakcí uvnitř skupiny BEFIT za předchozí tři účetní roky.</w:t>
            </w:r>
          </w:p>
        </w:tc>
        <w:tc>
          <w:tcPr>
            <w:tcW w:w="4876" w:type="dxa"/>
            <w:tcBorders>
              <w:top w:val="nil"/>
              <w:left w:val="nil"/>
              <w:bottom w:val="nil"/>
              <w:right w:val="nil"/>
            </w:tcBorders>
          </w:tcPr>
          <w:p>
            <w:pPr>
              <w:pStyle w:val="Normal6a"/>
            </w:pPr>
            <w:r>
              <w:t>b)</w:t>
            </w:r>
            <w:r>
              <w:tab/>
            </w:r>
            <w:r>
              <w:t xml:space="preserve">zóna s vysokým rizikem: pokud se výdaje nebo příjmy člena skupiny BEFIT plynoucí z transakcí uvnitř skupiny BEFIT zvýší v daném účetním roce o </w:t>
            </w:r>
            <w:r>
              <w:rPr>
                <w:b/>
                <w:i/>
              </w:rPr>
              <w:t>15</w:t>
            </w:r>
            <w:r>
              <w:t> % nebo více v porovnání s průměrnými výdaji nebo příjmy plynoucími z transakcí uvnitř skupiny BEFIT za předchozí tři účetní roky.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345</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3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zóna s vysokým rizikem: pokud se výdaje nebo příjmy člena skupiny BEFIT plynoucí z transakcí uvnitř skupiny BEFIT zvýší v daném účetním roce o </w:t>
            </w:r>
            <w:r>
              <w:rPr>
                <w:b/>
                <w:i/>
              </w:rPr>
              <w:t>10</w:t>
            </w:r>
            <w:r>
              <w:t xml:space="preserve"> % nebo více v porovnání s průměrnými výdaji nebo příjmy plynoucími z transakcí uvnitř skupiny BEFIT za předchozí tři účetní roky.</w:t>
            </w:r>
          </w:p>
        </w:tc>
        <w:tc>
          <w:tcPr>
            <w:tcW w:w="4876" w:type="dxa"/>
            <w:tcBorders>
              <w:top w:val="nil"/>
              <w:left w:val="nil"/>
              <w:bottom w:val="nil"/>
              <w:right w:val="nil"/>
            </w:tcBorders>
          </w:tcPr>
          <w:p>
            <w:pPr>
              <w:pStyle w:val="Normal6a"/>
            </w:pPr>
            <w:r>
              <w:t>b)</w:t>
            </w:r>
            <w:r>
              <w:tab/>
            </w:r>
            <w:r>
              <w:t xml:space="preserve">zóna s vysokým rizikem: pokud se výdaje nebo příjmy člena skupiny BEFIT plynoucí z transakcí uvnitř skupiny BEFIT zvýší v daném účetním roce o </w:t>
            </w:r>
            <w:r>
              <w:rPr>
                <w:b/>
                <w:i/>
              </w:rPr>
              <w:t>15</w:t>
            </w:r>
            <w:r>
              <w:t> % nebo více v porovnání s průměrnými výdaji nebo příjmy plynoucími z transakcí uvnitř skupiny BEFIT za předchozí tři účetní roky.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346</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Členské státy přijmou vhodná opatření, aby svůj přístup k dodržování rizik strukturovaly v souladu s následujícími zásadami:</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zóna s nízkým rizikem:</w:t>
            </w:r>
            <w:r>
              <w:rPr>
                <w:b/>
                <w:i/>
              </w:rPr>
              <w:t xml:space="preserve"> </w:t>
            </w:r>
            <w:r>
              <w:rPr>
                <w:b/>
                <w:i/>
              </w:rPr>
              <w:t>příslušné orgány dotčených členských států předpokládají, že stanovení cen transakcí uvnitř skupiny BEFIT u konkrétního člena skupiny BEFIT je v souladu se zásadou obvyklých tržních podmínek;</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zóna s vysokým rizikem:</w:t>
            </w:r>
            <w:r>
              <w:rPr>
                <w:b/>
                <w:i/>
              </w:rPr>
              <w:t xml:space="preserve"> </w:t>
            </w:r>
            <w:r>
              <w:rPr>
                <w:b/>
                <w:i/>
              </w:rPr>
              <w:t>příslušné orgány dotčených členských států předpokládají, že stanovení cen transakcí uvnitř skupiny BEFIT u konkrétního člena skupiny BEFIT není v souladu se zásadou obvyklých tržních podmínek, a část navýšení, která přesahuje 10 %, není uznána pro účely výpočtu základního procentního podílu tohoto člena skupiny BEFIT.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Bez ohledu na pravidlo uvedené v prvním pododstavci písmene b) je člen skupiny BEFIT oprávněn předložit příslušnému orgánu členského státu, v němž je daňovým rezidentem nebo v němž se nachází jeho stálá provozovna, důkaz, že ceny příslušných transakcí uvnitř skupiny BEFIT jsou stanoveny v souladu se zásadou obvyklých tržních podmínek.</w:t>
            </w:r>
            <w:r>
              <w:rPr>
                <w:b/>
                <w:i/>
              </w:rPr>
              <w:t xml:space="preserve"> </w:t>
            </w:r>
            <w:r>
              <w:rPr>
                <w:b/>
                <w:i/>
              </w:rPr>
              <w:t>V takovém případě se pro účely výpočtu základního procentního podílu tohoto člena skupiny BEFIT uzná celá částka výdajů plynoucích z daných transakcí uvnitř skupiny BEFIT, jak je doložena.</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347</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4 – pododstavec 1 – písm.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zóna s vysokým rizikem: příslušné orgány dotčených členských států předpokládají, že stanovení cen transakcí uvnitř skupiny BEFIT u konkrétního člena skupiny BEFIT není v souladu se zásadou obvyklých tržních podmínek, a část navýšení, která přesahuje </w:t>
            </w:r>
            <w:r>
              <w:rPr>
                <w:b/>
                <w:i/>
              </w:rPr>
              <w:t>10</w:t>
            </w:r>
            <w:r>
              <w:t xml:space="preserve"> %, není uznána pro účely výpočtu základního procentního podílu tohoto člena skupiny BEFIT.</w:t>
            </w:r>
          </w:p>
        </w:tc>
        <w:tc>
          <w:tcPr>
            <w:tcW w:w="4876" w:type="dxa"/>
            <w:tcBorders>
              <w:top w:val="nil"/>
              <w:left w:val="nil"/>
              <w:bottom w:val="nil"/>
              <w:right w:val="nil"/>
            </w:tcBorders>
          </w:tcPr>
          <w:p>
            <w:pPr>
              <w:pStyle w:val="Normal6a"/>
            </w:pPr>
            <w:r>
              <w:t>b)</w:t>
            </w:r>
            <w:r>
              <w:tab/>
            </w:r>
            <w:r>
              <w:t xml:space="preserve">zóna s vysokým rizikem: příslušné orgány dotčených členských států předpokládají, že stanovení cen transakcí uvnitř skupiny BEFIT u konkrétního člena skupiny BEFIT není v souladu se zásadou obvyklých tržních podmínek, a část navýšení, která přesahuje </w:t>
            </w:r>
            <w:r>
              <w:rPr>
                <w:b/>
                <w:i/>
              </w:rPr>
              <w:t>15</w:t>
            </w:r>
            <w:r>
              <w:t> %, není uznána pro účely výpočtu základního procentního podílu tohoto člena skupiny BEFIT.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348</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Bez ohledu na čl. 13 odst. 2 se překročení výpůjčních nákladů uvedených v článku 2 směrnice Rady (EU) 2016/1164, které vyplývají z transakce mezi členy skupiny BEFIT, neuznává pro účely výpočtu základního procentního podílu člena skupiny BEFIT, kterému tyto náklady vznikly.</w:t>
            </w:r>
          </w:p>
        </w:tc>
        <w:tc>
          <w:tcPr>
            <w:tcW w:w="4876" w:type="dxa"/>
            <w:tcBorders>
              <w:top w:val="nil"/>
              <w:left w:val="nil"/>
              <w:bottom w:val="nil"/>
              <w:right w:val="nil"/>
            </w:tcBorders>
          </w:tcPr>
          <w:p>
            <w:pPr>
              <w:pStyle w:val="Normal6a"/>
            </w:pPr>
            <w:r>
              <w:t>5.</w:t>
            </w:r>
            <w:r>
              <w:tab/>
            </w:r>
            <w:r>
              <w:t xml:space="preserve">Bez ohledu na čl. 13 odst. 2 se překročení výpůjčních nákladů uvedených v článku 2 směrnice Rady (EU) 2016/1164, které vyplývají z transakce mezi členy skupiny BEFIT, neuznává pro účely výpočtu základního procentního podílu člena skupiny BEFIT, kterému tyto náklady vznikly. </w:t>
            </w:r>
            <w:r>
              <w:rPr>
                <w:b/>
                <w:i/>
              </w:rPr>
              <w:t>Členské státy přijmou vhodná opatření na podporu podniků ke snížení těchto rizik.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349</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Pokud se během přechodného období uvedeného v odstavci 1 změní struktura skupiny BEFIT v důsledku vstupu nových členů do skupiny nebo odchodu členů ze skupiny, základní procentní podíl se vypočítá znovu v souladu s odstavcem 2.</w:t>
            </w:r>
            <w:r>
              <w:t xml:space="preserve"> </w:t>
            </w:r>
            <w:r>
              <w:rPr>
                <w:b/>
                <w:i/>
              </w:rPr>
              <w:t>Pro každého člena skupiny BEFIT se základ daně BEFIT přidělí v souladu s novým základním procentním podílem na dobu, která zbývá do konce tohoto období, pokud následné změny ve struktuře skupiny BEFIT nevyžadují nový výpočet základního procentního podílu.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350</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Pokud se během přechodného období uvedeného v odstavci 1 změní struktura skupiny BEFIT v důsledku vstupu nových členů do skupiny nebo odchodu členů ze skupiny, základní procentní podíl se vypočítá znovu v souladu s odstavcem 2.</w:t>
            </w:r>
            <w:r>
              <w:t xml:space="preserve"> </w:t>
            </w:r>
            <w:r>
              <w:rPr>
                <w:b/>
                <w:i/>
              </w:rPr>
              <w:t>Pro každého člena skupiny BEFIT se základ daně BEFIT přidělí v souladu s novým základním procentním podílem na dobu, která zbývá do konce tohoto období, pokud následné změny ve struktuře skupiny BEFIT nevyžadují nový výpočet základního procentního podílu.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351</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7.</w:t>
            </w:r>
            <w:r>
              <w:tab/>
            </w:r>
            <w:r>
              <w:rPr>
                <w:b/>
                <w:i/>
              </w:rPr>
              <w:t>Pokud se během přechodného období uvedeného v odstavci 1 změní struktura skupiny BEFIT v důsledku vzniku jedné nebo více nových společností, které se kvalifikují jako členové skupiny BEFIT, pravidla pro přidělení základu daně BEFIT stanovená v odstavci 2 se na nové členy skupiny BEFIT v prvním účetním roce nepoužijí.</w:t>
            </w:r>
            <w:r>
              <w:t xml:space="preserve"> </w:t>
            </w:r>
            <w:r>
              <w:rPr>
                <w:b/>
                <w:i/>
              </w:rPr>
              <w:t>Pro následující účetní roky až do konce tohoto přechodného období se základní procentní podíl nových členů skupiny BEFIT vypočítá v souladu s odstavcem 2.</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352</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7.</w:t>
            </w:r>
            <w:r>
              <w:tab/>
            </w:r>
            <w:r>
              <w:rPr>
                <w:b/>
                <w:i/>
              </w:rPr>
              <w:t>Pokud se během přechodného období uvedeného v odstavci 1 změní struktura skupiny BEFIT v důsledku vzniku jedné nebo více nových společností, které se kvalifikují jako členové skupiny BEFIT, pravidla pro přidělení základu daně BEFIT stanovená v odstavci 2 se na nové členy skupiny BEFIT v prvním účetním roce nepoužijí.</w:t>
            </w:r>
            <w:r>
              <w:t xml:space="preserve"> </w:t>
            </w:r>
            <w:r>
              <w:rPr>
                <w:b/>
                <w:i/>
              </w:rPr>
              <w:t>Pro následující účetní roky až do konce tohoto přechodného období se základní procentní podíl nových členů skupiny BEFIT vypočítá v souladu s odstavcem 2.</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353</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Pokud se na skupinu začnou vztahovat pravidla této směrnice později než 1. července 2028, vypočítá se základní podíl v souladu s odstavcem 2.</w:t>
            </w:r>
            <w:r>
              <w:t xml:space="preserve"> </w:t>
            </w:r>
            <w:r>
              <w:rPr>
                <w:b/>
                <w:i/>
              </w:rPr>
              <w:t>Odchylně od odstavců 1 a 2 se základ daně BEFIT přidělí členům skupiny BEFIT na zbývající část přechodného období uvedeného v odstavci 1.</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354</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Pokud se na skupinu začnou vztahovat pravidla této směrnice později než 1. července 2028, vypočítá se základní podíl v souladu s odstavcem 2.</w:t>
            </w:r>
            <w:r>
              <w:t xml:space="preserve"> </w:t>
            </w:r>
            <w:r>
              <w:rPr>
                <w:b/>
                <w:i/>
              </w:rPr>
              <w:t>Odchylně od odstavců 1 a 2 se základ daně BEFIT přidělí členům skupiny BEFIT na zbývající část přechodného období uvedeného v odstavci 1.</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355</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Pokud se na skupinu začnou vztahovat pravidla této směrnice později než 1. července </w:t>
            </w:r>
            <w:r>
              <w:rPr>
                <w:b/>
                <w:i/>
              </w:rPr>
              <w:t>2028</w:t>
            </w:r>
            <w:r>
              <w:t>, vypočítá se základní podíl v souladu s odstavcem 2. Odchylně od odstavců 1 a 2 se základ daně BEFIT přidělí členům skupiny BEFIT na zbývající část přechodného období uvedeného v odstavci 1.</w:t>
            </w:r>
          </w:p>
        </w:tc>
        <w:tc>
          <w:tcPr>
            <w:tcW w:w="4876" w:type="dxa"/>
            <w:tcBorders>
              <w:top w:val="nil"/>
              <w:left w:val="nil"/>
              <w:bottom w:val="nil"/>
              <w:right w:val="nil"/>
            </w:tcBorders>
          </w:tcPr>
          <w:p>
            <w:pPr>
              <w:pStyle w:val="Normal6a"/>
            </w:pPr>
            <w:r>
              <w:t>8.</w:t>
            </w:r>
            <w:r>
              <w:tab/>
            </w:r>
            <w:r>
              <w:t xml:space="preserve">Pokud se na skupinu začnou vztahovat pravidla této směrnice později než 1. července </w:t>
            </w:r>
            <w:r>
              <w:rPr>
                <w:b/>
                <w:i/>
              </w:rPr>
              <w:t>2030</w:t>
            </w:r>
            <w:r>
              <w:t>, vypočítá se základní podíl v souladu s odstavcem 2. Odchylně od odstavců 1 a 2 se základ daně BEFIT přidělí členům skupiny BEFIT na zbývající část přechodného období uvedeného v odstavci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356</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Komise provede komplexní přezkum přechodného pravidla, v jehož rámci vypracuje studii o možném složení a váze vybraných faktorů vzorce a do konce třetího účetního roku během přechodného období uvedeného v odstavci 1 předloží Radě zprávu.</w:t>
            </w:r>
            <w:r>
              <w:t xml:space="preserve"> </w:t>
            </w:r>
            <w:r>
              <w:rPr>
                <w:b/>
                <w:i/>
              </w:rPr>
              <w:t>Pokud to Komise považuje za vhodné s ohledem závěry této zprávy, může během přechodného období přijmout legislativní návrh na změnu této směrnice zavedením metody pro přidělení základu daně BEFIT na základě vzorce a na základě faktorů.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357</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Komise provede komplexní přezkum </w:t>
            </w:r>
            <w:r>
              <w:rPr>
                <w:b/>
                <w:i/>
              </w:rPr>
              <w:t>přechodného</w:t>
            </w:r>
            <w:r>
              <w:t xml:space="preserve"> pravidla, v jehož rámci vypracuje studii o </w:t>
            </w:r>
            <w:r>
              <w:rPr>
                <w:b/>
                <w:i/>
              </w:rPr>
              <w:t>možném</w:t>
            </w:r>
            <w:r>
              <w:t xml:space="preserve"> složení a váze </w:t>
            </w:r>
            <w:r>
              <w:rPr>
                <w:b/>
                <w:i/>
              </w:rPr>
              <w:t>vybraných faktorů</w:t>
            </w:r>
            <w:r>
              <w:t xml:space="preserve"> vzorce a do konce třetího účetního roku </w:t>
            </w:r>
            <w:r>
              <w:rPr>
                <w:b/>
                <w:i/>
              </w:rPr>
              <w:t>během přechodného období uvedeného v odstavci 1</w:t>
            </w:r>
            <w:r>
              <w:t xml:space="preserve"> předloží Radě zprávu. Pokud to Komise považuje za vhodné s ohledem závěry této zprávy, může během přechodného období přijmout legislativní návrh na změnu této směrnice zavedením metody pro přidělení základu daně BEFIT </w:t>
            </w:r>
            <w:r>
              <w:rPr>
                <w:b/>
                <w:i/>
              </w:rPr>
              <w:t>na základě vzorce a na základě faktorů</w:t>
            </w:r>
            <w:r>
              <w:t>.</w:t>
            </w:r>
          </w:p>
        </w:tc>
        <w:tc>
          <w:tcPr>
            <w:tcW w:w="4876" w:type="dxa"/>
            <w:tcBorders>
              <w:top w:val="nil"/>
              <w:left w:val="nil"/>
              <w:bottom w:val="nil"/>
              <w:right w:val="nil"/>
            </w:tcBorders>
          </w:tcPr>
          <w:p>
            <w:pPr>
              <w:pStyle w:val="Normal6a"/>
            </w:pPr>
            <w:r>
              <w:t>9.</w:t>
            </w:r>
            <w:r>
              <w:tab/>
            </w:r>
            <w:r>
              <w:t xml:space="preserve">Komise provede komplexní přezkum </w:t>
            </w:r>
            <w:r>
              <w:rPr>
                <w:b/>
                <w:i/>
              </w:rPr>
              <w:t>alokačního</w:t>
            </w:r>
            <w:r>
              <w:t xml:space="preserve"> pravidla, v jehož rámci vypracuje studii o složení a váze vzorce a do konce třetího účetního roku předloží Radě zprávu. Pokud to Komise považuje za vhodné s ohledem závěry této zprávy, může během přechodného období přijmout legislativní návrh na změnu této směrnice zavedením </w:t>
            </w:r>
            <w:r>
              <w:rPr>
                <w:b/>
                <w:i/>
              </w:rPr>
              <w:t>jiné</w:t>
            </w:r>
            <w:r>
              <w:t xml:space="preserve"> metody pro přidělení základu daně BEFIT </w:t>
            </w:r>
            <w:r>
              <w:rPr>
                <w:b/>
                <w:i/>
              </w:rPr>
              <w:t>a v případě potřeby zahrnutím pravidel pro přiřazování pro jednotlivá odvětví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358</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rPr>
                <w:b/>
                <w:i/>
              </w:rPr>
              <w:t>Komise</w:t>
            </w:r>
            <w:r>
              <w:t xml:space="preserve"> provede komplexní přezkum přechodného pravidla, v jehož rámci vypracuje studii o možném složení a váze vybraných faktorů vzorce a do konce třetího účetního roku během přechodného období uvedeného v odstavci 1 předloží Radě zprávu. Pokud to Komise považuje za vhodné s ohledem závěry této zprávy, může během přechodného období přijmout legislativní návrh na změnu této směrnice zavedením metody pro přidělení základu daně BEFIT na základě vzorce a na základě faktorů.</w:t>
            </w:r>
          </w:p>
        </w:tc>
        <w:tc>
          <w:tcPr>
            <w:tcW w:w="4876" w:type="dxa"/>
            <w:tcBorders>
              <w:top w:val="nil"/>
              <w:left w:val="nil"/>
              <w:bottom w:val="nil"/>
              <w:right w:val="nil"/>
            </w:tcBorders>
          </w:tcPr>
          <w:p>
            <w:pPr>
              <w:pStyle w:val="Normal6a"/>
            </w:pPr>
            <w:r>
              <w:t>9.</w:t>
            </w:r>
            <w:r>
              <w:tab/>
            </w:r>
            <w:r>
              <w:rPr>
                <w:b/>
                <w:i/>
              </w:rPr>
              <w:t>Rok před posledním rokem přechodného období</w:t>
            </w:r>
            <w:r>
              <w:t xml:space="preserve"> provede </w:t>
            </w:r>
            <w:r>
              <w:rPr>
                <w:b/>
                <w:i/>
              </w:rPr>
              <w:t>Komise</w:t>
            </w:r>
            <w:r>
              <w:t xml:space="preserve"> komplexní přezkum přechodného pravidla, v jehož rámci vypracuje studii o </w:t>
            </w:r>
            <w:r>
              <w:rPr>
                <w:b/>
                <w:i/>
              </w:rPr>
              <w:t>interakci se směrnicí (EU) 2022/2523 ze dne 14. prosince 2022 a studii o</w:t>
            </w:r>
            <w:r>
              <w:t xml:space="preserve"> možném složení a váze vybraných faktorů vzorce</w:t>
            </w:r>
            <w:r>
              <w:rPr>
                <w:b/>
                <w:i/>
              </w:rPr>
              <w:t>, které budou účinné a přínosné pro všechny členské státy,</w:t>
            </w:r>
            <w:r>
              <w:t xml:space="preserve"> a do konce třetího účetního roku během přechodného období uvedeného v odstavci 1 předloží Radě zprávu. Pokud to Komise považuje za vhodné s ohledem závěry této zprávy, může během přechodného období přijmout legislativní návrh na změnu této směrnice zavedením metody pro přidělení základu daně BEFIT na základě vzorce a na základě faktorů.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359</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Komise provede komplexní přezkum přechodného pravidla</w:t>
            </w:r>
            <w:r>
              <w:rPr>
                <w:b/>
                <w:i/>
              </w:rPr>
              <w:t>, v jehož rámci vypracuje studii o možném složení a váze vybraných faktorů vzorce</w:t>
            </w:r>
            <w:r>
              <w:t xml:space="preserve"> a do konce třetího účetního roku během přechodného období uvedeného v odstavci 1 předloží Radě zprávu. Pokud to Komise považuje za vhodné s ohledem závěry této zprávy, může během přechodného období přijmout legislativní návrh na změnu této směrnice zavedením metody pro přidělení základu daně BEFIT na základě vzorce a na základě faktorů.</w:t>
            </w:r>
          </w:p>
        </w:tc>
        <w:tc>
          <w:tcPr>
            <w:tcW w:w="4876" w:type="dxa"/>
            <w:tcBorders>
              <w:top w:val="nil"/>
              <w:left w:val="nil"/>
              <w:bottom w:val="nil"/>
              <w:right w:val="nil"/>
            </w:tcBorders>
          </w:tcPr>
          <w:p>
            <w:pPr>
              <w:pStyle w:val="Normal6a"/>
            </w:pPr>
            <w:r>
              <w:t>9.</w:t>
            </w:r>
            <w:r>
              <w:tab/>
            </w:r>
            <w:r>
              <w:t xml:space="preserve">Komise provede komplexní přezkum přechodného pravidla a do konce třetího účetního roku během přechodného období uvedeného v odstavci 1 předloží Radě </w:t>
            </w:r>
            <w:r>
              <w:rPr>
                <w:b/>
                <w:i/>
              </w:rPr>
              <w:t>a Evropskému parlamentu</w:t>
            </w:r>
            <w:r>
              <w:t xml:space="preserve"> zprávu. Pokud to Komise považuje za vhodné s ohledem závěry této zprávy, může během přechodného období přijmout legislativní návrh na změnu této směrnice zavedením metody pro přidělení základu daně BEFIT na základě vzorce a na základě faktorů.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360</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Při navrhování metody trvalého přidělování, která má nahradit přechodné pravidlo pro přidělování stanovené touto směrnicí, sleduje Unie pozorně mezinárodní provádění Mnohostranné úmluvy o částce A prvního pilíře inkluzivního rámce OECD/G20.</w:t>
            </w:r>
            <w:r>
              <w:t xml:space="preserve"> </w:t>
            </w:r>
            <w:r>
              <w:rPr>
                <w:b/>
                <w:i/>
              </w:rPr>
              <w:t>Pokud by všechny hlavní jurisdikce úmluvu ratifikovaly a prováděly, může Komise navrhnout sladění metody přidělování BEFIT s pravidly pro přiřazování zisku, která jsou v ní stanovena, aby byla zajištěna soudržnost a minimalizována rizika dvojího zdanění.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361</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9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9b.</w:t>
            </w:r>
            <w:r>
              <w:tab/>
            </w:r>
            <w:r>
              <w:rPr>
                <w:b/>
                <w:i/>
              </w:rPr>
              <w:t>Pokud k takovému celosvětovému provedení nedojde, a s ohledem na potřebu zajistit rovné podmínky pro podniky EU působící v celosvětovém měřítku může Komise navrhnout vzorec pro přidělování specifických pro Unii.</w:t>
            </w:r>
            <w:r>
              <w:t xml:space="preserve"> </w:t>
            </w:r>
            <w:r>
              <w:rPr>
                <w:b/>
                <w:i/>
              </w:rPr>
              <w:t>Tento vzorec odráží ekonomickou podstatu a může vycházet z prvků přístupu OECD prvního pilíře nebo stanovit odlišnou metodu založenou na objektivních ukazatelích reálné ekonomiky.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362</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9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9c.</w:t>
            </w:r>
            <w:r>
              <w:tab/>
            </w:r>
            <w:r>
              <w:rPr>
                <w:b/>
                <w:i/>
              </w:rPr>
              <w:t>Před navržením takového vzorce provede Komise komplexní posouzení dopadů.</w:t>
            </w:r>
            <w:r>
              <w:t xml:space="preserve"> </w:t>
            </w:r>
            <w:r>
              <w:rPr>
                <w:b/>
                <w:i/>
              </w:rPr>
              <w:t>Toto posouzení vyhodnotí globální využívání prvního pilíře, dopady navrhované metody přidělování na daňové příjmy členských států, konkurenceschopnost podniků, zátěž spojenou s dodržováním předpisů a právní a správní důsledky odchylek od mezinárodních standardů.</w:t>
            </w:r>
            <w:r>
              <w:t xml:space="preserve"> </w:t>
            </w:r>
            <w:r>
              <w:rPr>
                <w:b/>
                <w:i/>
              </w:rPr>
              <w:t>Závěry posouzení jsou podkladem pro koncepci jakéhokoli budoucího mechanismu rozdělení a zveřejní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363</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Pravidla stanovená v odstavcích 1 až 8 se nadále používají až do doby, kdy vstoupí v platnost jejich případná změna.</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364</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45 – odst.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Pravidla stanovená v odstavcích 1 až 8 se nadále používají až do doby, kdy vstoupí v platnost jejich případná změna.</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Odůvodnění</w:t>
      </w:r>
      <w:r>
        <w:rPr>
          <w:rStyle w:val="HideTWBExt"/>
        </w:rPr>
        <w:t>&lt;/TitreJust&gt;</w:t>
      </w:r>
    </w:p>
    <w:p>
      <w:pPr>
        <w:pStyle w:val="AmJustText"/>
      </w:pPr>
      <w:r>
        <w:t>As GreensEFA we believe that BEFIT should be adopted including formulary apportionment, including a test phase, but without a transition period.</w:t>
      </w:r>
      <w:r>
        <w:t xml:space="preserve"> </w:t>
      </w:r>
      <w:r>
        <w:t>There is no justification to not include formulary apportionment from the start onwards besides political motives.</w:t>
      </w:r>
      <w:r>
        <w:t xml:space="preserve"> </w:t>
      </w:r>
      <w:r>
        <w:t>Technically, several formulas have already been tested by academia and the Commission in earlier proposals.</w:t>
      </w:r>
      <w:r>
        <w:t xml:space="preserve"> </w:t>
      </w:r>
      <w:r>
        <w:t>However, if no Parliamentary majority shares this view, we believe that the transition period should be shortned, and the formula should already be agreed to kick in after the transition period unless the collected data and impact assessment indicate a different formula is needed.</w:t>
      </w:r>
      <w:r>
        <w:t xml:space="preserve"> </w:t>
      </w:r>
      <w:r>
        <w:t>Most importantly, no cross-border loss relief should be allowed during the transition period, or at the very least this should be limited, as this would potentially impact severely the tax revenues of certain Member States.</w:t>
      </w:r>
      <w:r>
        <w:t xml:space="preserve"> </w:t>
      </w:r>
      <w:r>
        <w:t>Finally, the risk assessment framework as proposed by the Commission should be stricter in its application if the transition period where to remain.</w:t>
      </w:r>
    </w:p>
    <w:p>
      <w:r>
        <w:rPr>
          <w:rStyle w:val="HideTWBExt"/>
        </w:rPr>
        <w:t>&lt;/Amend&gt;</w:t>
      </w:r>
    </w:p>
    <w:p>
      <w:pPr>
        <w:pStyle w:val="AmNumberTabs"/>
      </w:pPr>
      <w:r>
        <w:rPr>
          <w:rStyle w:val="HideTWBExt"/>
        </w:rPr>
        <w:t>&lt;Amend&gt;</w:t>
      </w:r>
      <w:r>
        <w:t>Pozměňovací návrh</w:t>
      </w:r>
      <w:r>
        <w:tab/>
      </w:r>
      <w:r>
        <w:tab/>
      </w:r>
      <w:r>
        <w:rPr>
          <w:rStyle w:val="HideTWBExt"/>
        </w:rPr>
        <w:t>&lt;NumAm&gt;</w:t>
      </w:r>
      <w:r>
        <w:t>365</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Pravidlo pro přidělování na základě hmotných faktorů</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Od 1. července 2027 se základ daně BEFIT rozdělí mezi členy skupiny BEFIT v každém zdaňovacím období na základě vzorce, který přiznává stejnou váhu faktoru tržeb, práce a aktiv, jak je uvedeno v článcích 45b až 45h:</w:t>
            </w:r>
            <w:r>
              <w:t xml:space="preserve"> </w:t>
            </w:r>
            <w:r>
              <w:rPr>
                <w:b/>
                <w:i/>
              </w:rPr>
              <w:t>podíl A = (tržby</w:t>
            </w:r>
            <w:r>
              <w:rPr>
                <w:b/>
                <w:i/>
                <w:vertAlign w:val="superscript"/>
              </w:rPr>
              <w:t>A</w:t>
            </w:r>
            <w:r>
              <w:t xml:space="preserve"> </w:t>
            </w:r>
            <w:r>
              <w:rPr>
                <w:b/>
                <w:i/>
              </w:rPr>
              <w:t>/ (3 * tržby</w:t>
            </w:r>
            <w:r>
              <w:rPr>
                <w:b/>
                <w:i/>
                <w:vertAlign w:val="superscript"/>
              </w:rPr>
              <w:t>skupina</w:t>
            </w:r>
            <w:r>
              <w:rPr>
                <w:b/>
                <w:i/>
              </w:rPr>
              <w:t>) + mzdy</w:t>
            </w:r>
            <w:r>
              <w:rPr>
                <w:b/>
                <w:i/>
                <w:vertAlign w:val="superscript"/>
              </w:rPr>
              <w:t>A</w:t>
            </w:r>
            <w:r>
              <w:t xml:space="preserve"> </w:t>
            </w:r>
            <w:r>
              <w:rPr>
                <w:b/>
                <w:i/>
              </w:rPr>
              <w:t>/ (6 * mzdy</w:t>
            </w:r>
            <w:r>
              <w:rPr>
                <w:b/>
                <w:i/>
                <w:vertAlign w:val="superscript"/>
              </w:rPr>
              <w:t>skupina</w:t>
            </w:r>
            <w:r>
              <w:rPr>
                <w:b/>
                <w:i/>
              </w:rPr>
              <w:t>) + počet zaměstnanců</w:t>
            </w:r>
            <w:r>
              <w:rPr>
                <w:b/>
                <w:i/>
                <w:vertAlign w:val="superscript"/>
              </w:rPr>
              <w:t>A</w:t>
            </w:r>
            <w:r>
              <w:t xml:space="preserve"> </w:t>
            </w:r>
            <w:r>
              <w:rPr>
                <w:b/>
                <w:i/>
              </w:rPr>
              <w:t>/ (6 * počet zaměstnanců</w:t>
            </w:r>
            <w:r>
              <w:rPr>
                <w:b/>
                <w:i/>
                <w:vertAlign w:val="superscript"/>
              </w:rPr>
              <w:t>skupina</w:t>
            </w:r>
            <w:r>
              <w:rPr>
                <w:b/>
                <w:i/>
              </w:rPr>
              <w:t>) + aktiva</w:t>
            </w:r>
            <w:r>
              <w:rPr>
                <w:b/>
                <w:i/>
                <w:vertAlign w:val="superscript"/>
              </w:rPr>
              <w:t>A</w:t>
            </w:r>
            <w:r>
              <w:t xml:space="preserve"> </w:t>
            </w:r>
            <w:r>
              <w:rPr>
                <w:b/>
                <w:i/>
              </w:rPr>
              <w:t>/ (3*aktiva</w:t>
            </w:r>
            <w:r>
              <w:rPr>
                <w:b/>
                <w:i/>
                <w:vertAlign w:val="superscript"/>
              </w:rPr>
              <w:t>skupina</w:t>
            </w:r>
            <w:r>
              <w:rPr>
                <w:b/>
                <w:i/>
              </w:rPr>
              <w:t>)) * konsolidovaný základ daně.</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Konsolidovaný základ daně skupiny BEFIT se rozděluje pouze v případě, že je jeho hodnota kladná.</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Výpočty pro rozdělení konsolidovaného základu daně se provádějí na konci zdaňovacího období skupiny BEFIT.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Období 15 nebo více dnů v kalendářním měsíci se považuje za celý měsíc.</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Při stanovování přiděleného podílu člena skupiny BEFIT mají faktory tržeb, práce a aktiv stejnou váhu.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366</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45b</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Složení faktoru práce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Faktor práce se z jedné poloviny skládá z celkového objemu mezd člena skupiny BEFIT v čitateli a celkového objemu mezd skupiny BEFIT ve jmenovateli a z druhé poloviny z počtu zaměstnanců člena skupiny BEFIT v čitateli a počtu zaměstnanců skupiny ve jmenovateli.</w:t>
            </w:r>
            <w:r>
              <w:t xml:space="preserve"> </w:t>
            </w:r>
            <w:r>
              <w:rPr>
                <w:b/>
                <w:i/>
              </w:rPr>
              <w:t>Pokud je určitý zaměstnanec zahrnut do faktoru práce člena skupiny BEFIT, objem mezd připadající na tohoto zaměstnance se zahrnuje do faktoru práce stejného člena skupiny BEFIT.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Počet zaměstnanců se určuje na konci zdaňovacího období.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Definice pojmu „zaměstnanec“ se řídí vnitrostátními právními předpisy členského státu, kde je zaměstnání vykonáváno.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367</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45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45c</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Přiřazení zaměstnanců a objemu mezd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Zaměstnanci se zahrnují do faktoru práce člena skupiny, který jim vyplácí odměnu.</w:t>
            </w:r>
            <w:r>
              <w:t xml:space="preserve"> </w:t>
            </w:r>
            <w:r>
              <w:rPr>
                <w:b/>
                <w:i/>
              </w:rPr>
              <w:t>Měli by být zahrnuti zaměstnanci se všemi druhy smluv.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Odchylně od odstavce 1 se v případě, že zaměstnanci fyzicky vykonávají zaměstnání pod kontrolou a na odpovědnost jiného subjektu, než od něhož pobírají odměnu, zahrnou se tito zaměstnanci, jakož i výše výplatních listin, které s nimi souvisejí, do faktoru práce prvního subjektu.</w:t>
            </w:r>
            <w:r>
              <w:t xml:space="preserve"> </w:t>
            </w:r>
            <w:r>
              <w:rPr>
                <w:b/>
                <w:i/>
              </w:rPr>
              <w:t>Toto pravidlo se uplatňuje pouze v případě splnění všech těchto podmínek: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zaměstnání trvá nepřetržitě po dobu nejméně tří měsíců;</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tito zaměstnanci představují alespoň 5 % celkového počtu zaměstnanců člena skupiny, který jim vyplácí odměnu.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Mezi zaměstnance se zahrnují osoby, které sice nejsou přímo zaměstnáni členem skupiny BEFIT, ale plní úkoly podobné těm, které plní zaměstnanci.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Objem mezd zahrnuje všechny náklady na platy, mzdy, prémie a veškeré další formy náhrad zaměstnancům, včetně souvisejících nákladů na důchody a sociální zabezpečení, které nese zaměstnavatel, a také výdaje zaměstnavatele odpovídající nákladům na osoby uvedené v odstavci 3.</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Mzdové náklady se oceňují ve výši výdajů, které zaměstnavatel ve zdaňovacím období považuje za odečitatelné.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368</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45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45d</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Složení faktoru aktiv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Faktor aktiv se skládá z průměrné hodnoty všech dlouhodobých hmotných aktiv, která vlastní, má v pronájmu nebo na leasing člen skupiny BEFIT, v čitateli a z průměrné hodnoty všech dlouhodobých hmotných aktiv, která skupina vlastní, má v pronájmu nebo na leasing, ve jmenovateli.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 dobu pěti let následujících po vstupu daňového poplatníka do stávající nebo nové skupiny BEFIT zahrnuje jeho faktor aktiv také celkovou částku nákladů, které daňový poplatník vynaložil na výzkum, vývoj, marketing a reklamu během šesti let předcházejících jeho vstupu do skupiny.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369</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45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45e</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Přiřazení aktiv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Aniž je dotčen čl. 22 odst. 2 a 3, aktivum se zahrnuje do faktoru aktiv jeho ekonomického vlastníka.</w:t>
            </w:r>
            <w:r>
              <w:t xml:space="preserve"> </w:t>
            </w:r>
            <w:r>
              <w:rPr>
                <w:b/>
                <w:i/>
              </w:rPr>
              <w:t>Pokud ekonomického vlastníka nelze určit, zahrnuje se aktivum do faktoru aktiv právního vlastníka.</w:t>
            </w:r>
            <w:r>
              <w:t xml:space="preserve"> </w:t>
            </w:r>
            <w:r>
              <w:rPr>
                <w:b/>
                <w:i/>
              </w:rPr>
              <w:t>Pokud však aktivum jeho ekonomický vlastník skutečně neužívá, toto aktivum se zahrnuje do faktoru člena skupiny BEFIT, který je skutečně užívá, za předpokladu, že aktivum představuje více než 5 % daňové hodnoty všech dlouhodobých hmotných aktiv člena skupiny BEFIT, který je skutečně užívá.</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Mimo případy leasingu mezi členy skupiny BEFIT se aktiva pořízená na leasing zahrnují do faktoru aktiv člena skupiny BEFIT, který je leasingovým pronajímatelem nebo nájemcem aktiva.</w:t>
            </w:r>
            <w:r>
              <w:t xml:space="preserve"> </w:t>
            </w:r>
            <w:r>
              <w:rPr>
                <w:b/>
                <w:i/>
              </w:rPr>
              <w:t>Totéž platí v případě pronajatých aktiv.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370</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45 f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45f</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Oceňování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Půda a ostatní neodpisovatelná dlouhodobá hmotná aktiva se oceňují ve výši jejich původní ceny.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Jednotlivě odpisovatelné dlouhodobé hmotné aktivum se oceňuje ve výši průměru jeho daňové hodnoty na začátku zdaňovacího období a jeho daňové hodnoty na konci zdaňovacího období.</w:t>
            </w:r>
            <w:r>
              <w:t xml:space="preserve"> </w:t>
            </w:r>
            <w:r>
              <w:rPr>
                <w:b/>
                <w:i/>
              </w:rPr>
              <w:t>Jestliže je v důsledku jedné nebo více transakcí uvnitř skupiny jednotlivě odpisovatelné dlouhodobé hmotné aktivum zahrnuto do faktoru aktiv člena skupiny BEFIT po dobu kratší než zdaňovací období, hodnota, jež se má vzít v úvahu, se vypočítá s ohledem na počet měsíců, po jejichž dobu bylo aktivum zahrnuto do faktoru aktiv tohoto člena skupiny BEFIT.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jestliže nájemce nebo leasingový nájemce aktiva není jeho ekonomickým vlastníkem, oceňuje pronajaté nebo na leasing pořízené aktivum ve výši osminásobku čisté roční splatné částky nájemného nebo leasingových plateb, snížené o veškeré částky plynoucí z podnájmu nebo leasingového podnájmu.</w:t>
            </w:r>
            <w:r>
              <w:t xml:space="preserve"> </w:t>
            </w:r>
            <w:r>
              <w:rPr>
                <w:b/>
                <w:i/>
              </w:rPr>
              <w:t>Jestliže člen skupiny BEFIT pronajímá nebo poskytuje na leasing aktivum, ale není jeho ekonomickým vlastníkem, oceňuje pronajatá nebo na leasing poskytnutá aktiva ve výši osminásobku čisté roční splatné částky nájemného nebo leasingových plateb.</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pokud člen skupiny BEFIT prodá aktivum osobě mimo skupinu BEFIT poté, co ve stejném nebo předchozím zdaňovacím období došlo k převodu tohoto aktiva uvnitř skupiny, zahrnuje se toto aktivum na dobu mezi převodem uvnitř skupiny BEFIT a prodejem osobě mimo skupinu BEFIT do faktoru aktiv převádějícího člena skupiny, s výjimkou případů, kdy dotčení členové skupiny BEFIT doloží, že převod uvnitř skupiny byl proveden z opodstatněných hospodářských důvodů.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371</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45 g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45g</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Složení faktoru tržeb</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Faktor tržeb se skládá z celkových tržeb přepočítaných na člena skupiny BEFIT v čitateli a celkových tržeb skupiny BEFIT ve jmenovateli.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372</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45 h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45h</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Tržby podle místa určení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Prodej zboží se zahrnuje do faktoru tržeb člena skupiny BEFIT, který se nachází v členském státě, kde končí odeslání nebo přeprava zboží k osobě, která je nabývá.</w:t>
            </w:r>
            <w:r>
              <w:t xml:space="preserve"> </w:t>
            </w:r>
            <w:r>
              <w:rPr>
                <w:b/>
                <w:i/>
              </w:rPr>
              <w:t>Jestliže toto místo nelze určit, prodej zboží se připisuje členu skupiny BEFIT nacházejícímu se v členském státě, ve kterém je poslední určitelné místo, kde se zboží nacházelo.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Poskytnutí služeb se zahrnuje do faktoru tržeb člena skupiny BEFIT nacházejícího se v členském státě, ve kterém byly služby fyzicky provedeny nebo skutečně poskytnuty.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Jestliže se v členském státě, kde je dodáno zboží nebo kde jsou poskytnuty služby, nenachází žádný člen skupiny BEFIT nebo je-li zboží dodáno nebo služby poskytnuty v třetí zemi, příslušné tržby za zboží a poskytnutí služeb se zahrnují do faktoru tržeb všech členů skupiny BEFIT v poměru k jejich faktoru práce a faktoru aktiv.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Jestliže se v členském státě, kde je dodáno zboží nebo kde jsou poskytnuty služby, nachází více než jeden člen skupiny BEFIT, tržby se zahrnují do faktoru tržeb všech členů skupiny BEFIT nacházejících se v tomto členském státě, a to v poměru k jejich faktoru práce a faktoru aktiv.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373</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46 – odst. 1 – pododstavec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Odchylně od článků 42 až </w:t>
            </w:r>
            <w:r>
              <w:rPr>
                <w:b/>
                <w:i/>
              </w:rPr>
              <w:t>45</w:t>
            </w:r>
            <w:r>
              <w:t xml:space="preserve"> se v případě, že člen skupiny BEFIT vykonává svou hlavní činnost v oblasti těžebních činností, jeho příjmy, výdaje a další odečitatelné položky, které z těchto činností vyplývají, se přisuzují členu skupiny BEFIT se sídlem v členském státě, v němž probíhá těžba.</w:t>
            </w:r>
          </w:p>
        </w:tc>
        <w:tc>
          <w:tcPr>
            <w:tcW w:w="4876" w:type="dxa"/>
            <w:tcBorders>
              <w:top w:val="nil"/>
              <w:left w:val="nil"/>
              <w:bottom w:val="nil"/>
              <w:right w:val="nil"/>
            </w:tcBorders>
          </w:tcPr>
          <w:p>
            <w:pPr>
              <w:pStyle w:val="Normal6a"/>
            </w:pPr>
            <w:r>
              <w:t xml:space="preserve">Odchylně od článků 42 až </w:t>
            </w:r>
            <w:r>
              <w:rPr>
                <w:b/>
                <w:i/>
              </w:rPr>
              <w:t>45a</w:t>
            </w:r>
            <w:r>
              <w:t xml:space="preserve"> se v případě, že člen skupiny BEFIT vykonává svou hlavní činnost v oblasti těžebních činností, jeho příjmy, výdaje a další odečitatelné položky, které z těchto činností vyplývají, se přisuzují členu skupiny BEFIT se sídlem v členském státě, v němž probíhá těžba.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374</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46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Odchylně od článků 42 až </w:t>
            </w:r>
            <w:r>
              <w:rPr>
                <w:b/>
                <w:i/>
              </w:rPr>
              <w:t>45</w:t>
            </w:r>
            <w:r>
              <w:t xml:space="preserve"> se v případě, že v členském státě těžby se nenachází žádný člen skupiny BEFIT nebo těžba probíhá v jurisdikci třetí země, příjmy, výdaje a jiné odečitatelné položky, které z těchto činností vyplývají, přisuzují tomu členu skupiny BEFIT, kterému vznikly.</w:t>
            </w:r>
          </w:p>
        </w:tc>
        <w:tc>
          <w:tcPr>
            <w:tcW w:w="4876" w:type="dxa"/>
            <w:tcBorders>
              <w:top w:val="nil"/>
              <w:left w:val="nil"/>
              <w:bottom w:val="nil"/>
              <w:right w:val="nil"/>
            </w:tcBorders>
          </w:tcPr>
          <w:p>
            <w:pPr>
              <w:pStyle w:val="Normal6a"/>
            </w:pPr>
            <w:r>
              <w:t>2.</w:t>
            </w:r>
            <w:r>
              <w:tab/>
            </w:r>
            <w:r>
              <w:t xml:space="preserve">Odchylně od článků 42 až </w:t>
            </w:r>
            <w:r>
              <w:rPr>
                <w:b/>
                <w:i/>
              </w:rPr>
              <w:t>45a</w:t>
            </w:r>
            <w:r>
              <w:t xml:space="preserve"> se v případě, že v členském státě těžby se nenachází žádný člen skupiny BEFIT nebo těžba probíhá v jurisdikci třetí země, příjmy, výdaje a jiné odečitatelné položky, které z těchto činností vyplývají, přisuzují tomu členu skupiny BEFIT, kterému vznikly.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375</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Článek 47</w:t>
            </w:r>
            <w:r>
              <w:tab/>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Výjimka pro lodní dopravu, na kterou se nevztahuje režim daně z tonáže, vnitrozemskou vodní dopravu a leteckou dopravu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Odchylně od článků 42 až 45, a aniž je dotčen článek 15, jsou ze základu daně BEFIT vyloučeny příjmy, výdaje a jiné odečitatelné položky, které pocházejí z následujících činností, v kterémkoli z následujících případů:</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provozování lodí v mezinárodní dopravě, pokud se na zdanitelný výsledek nevztahuje režim daně z tonáže;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provozování letadel v mezinárodní dopravě;</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provozování lodí ve vnitrozemské vodní dopravě.</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Příjmy, výdaje a další odečitatelné položky uvedené v prvním pododstavci se přisoudí uvedenému členu skupiny BEFIT na základě jednotlivých transakcí a podléhají úpravám cen v souladu se zásadou obvyklých tržních podmínek.</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Pro účely článku 5 se zohlední jakákoli účast člena skupiny BEFIT uvedená v odstavci 1.</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376</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Článek 47</w:t>
            </w:r>
            <w:r>
              <w:tab/>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Výjimka pro lodní dopravu, na kterou se nevztahuje režim daně z tonáže, vnitrozemskou vodní dopravu a leteckou dopravu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Odchylně od článků 42 až 45, a aniž je dotčen článek 15, jsou ze základu daně BEFIT vyloučeny příjmy, výdaje a jiné odečitatelné položky, které pocházejí z následujících činností, v kterémkoli z následujících případů:</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provozování lodí v mezinárodní dopravě, pokud se na zdanitelný výsledek nevztahuje režim daně z tonáže;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provozování letadel v mezinárodní dopravě;</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provozování lodí ve vnitrozemské vodní dopravě.</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Příjmy, výdaje a další odečitatelné položky uvedené v prvním pododstavci se přisoudí uvedenému členu skupiny BEFIT na základě jednotlivých transakcí a podléhají úpravám cen v souladu se zásadou obvyklých tržních podmínek.</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Pro účely článku 5 se zohlední jakákoli účast člena skupiny BEFIT uvedená v odstavci 1.</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47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Výjimka pro lodní dopravu, na kterou se nevztahuje režim daně z tonáže, vnitrozemskou vodní dopravu </w:t>
            </w:r>
            <w:r>
              <w:rPr>
                <w:b/>
                <w:i/>
              </w:rPr>
              <w:t>a</w:t>
            </w:r>
            <w:r>
              <w:t xml:space="preserve"> leteckou dopravu</w:t>
            </w:r>
          </w:p>
        </w:tc>
        <w:tc>
          <w:tcPr>
            <w:tcW w:w="4876" w:type="dxa"/>
            <w:tcBorders>
              <w:top w:val="nil"/>
              <w:left w:val="nil"/>
              <w:bottom w:val="nil"/>
              <w:right w:val="nil"/>
            </w:tcBorders>
          </w:tcPr>
          <w:p>
            <w:pPr>
              <w:pStyle w:val="Normal6a"/>
            </w:pPr>
            <w:r>
              <w:t>Výjimka pro lodní dopravu, na kterou se nevztahuje režim daně z tonáže, vnitrozemskou vodní dopravu</w:t>
            </w:r>
            <w:r>
              <w:rPr>
                <w:b/>
                <w:i/>
              </w:rPr>
              <w:t>,</w:t>
            </w:r>
            <w:r>
              <w:t xml:space="preserve"> leteckou dopravu </w:t>
            </w:r>
            <w:r>
              <w:rPr>
                <w:b/>
                <w:i/>
              </w:rPr>
              <w:t>a finanční služby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47 – odst. 1 – pododstavec 1 – písm. c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finanční služby.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48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Kromě úprav uvedených v odstavci 1 může členský stát povolit zvýšení nebo snížení přidělené části členů skupiny BEFIT, kteří jsou daňovými rezidenty v daném členském státě nebo v něm mají stálou provozovnu, prostřednictvím dalších položek.</w:t>
            </w:r>
          </w:p>
        </w:tc>
        <w:tc>
          <w:tcPr>
            <w:tcW w:w="4876" w:type="dxa"/>
            <w:tcBorders>
              <w:top w:val="nil"/>
              <w:left w:val="nil"/>
              <w:bottom w:val="nil"/>
              <w:right w:val="nil"/>
            </w:tcBorders>
          </w:tcPr>
          <w:p>
            <w:pPr>
              <w:pStyle w:val="Normal6a"/>
            </w:pPr>
            <w:r>
              <w:t>2.</w:t>
            </w:r>
            <w:r>
              <w:tab/>
            </w:r>
            <w:r>
              <w:t xml:space="preserve">Kromě úprav uvedených v odstavci 1 může členský stát povolit zvýšení nebo snížení přidělené části členů skupiny BEFIT, kteří jsou daňovými rezidenty v daném členském státě nebo v něm mají stálou provozovnu, prostřednictvím dalších položek. </w:t>
            </w:r>
            <w:r>
              <w:rPr>
                <w:b/>
                <w:i/>
              </w:rPr>
              <w:t>Tyto dodatečné položky mohou zahrnovat odpočty, úlevy, daňové úlevy nebo jiná vnitrostátní opatření v oblasti daně z příjmu právnických osob, včetně opatření na podporu výzkumu a vývoje nebo jiných politických cílů, za předpokladu, že se tato opatření vztahují pouze na přidělený podíl základu daně a nemají vliv na konsolidovaný základ daně nebo mechanismus přidělování podle této směrnice.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48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Kromě úprav uvedených v odstavci 1 může členský stát povolit zvýšení nebo snížení přidělené části členů skupiny BEFIT, kteří jsou daňovými rezidenty v daném členském státě nebo v něm mají stálou provozovnu, prostřednictvím dalších položek.</w:t>
            </w:r>
          </w:p>
        </w:tc>
        <w:tc>
          <w:tcPr>
            <w:tcW w:w="4876" w:type="dxa"/>
            <w:tcBorders>
              <w:top w:val="nil"/>
              <w:left w:val="nil"/>
              <w:bottom w:val="nil"/>
              <w:right w:val="nil"/>
            </w:tcBorders>
          </w:tcPr>
          <w:p>
            <w:pPr>
              <w:pStyle w:val="Normal6a"/>
            </w:pPr>
            <w:r>
              <w:t>2.</w:t>
            </w:r>
            <w:r>
              <w:tab/>
            </w:r>
            <w:r>
              <w:t>Kromě úprav uvedených v odstavci 1 může členský stát povolit zvýšení nebo snížení přidělené části členů skupiny BEFIT, kteří jsou daňovými rezidenty v daném členském státě nebo v něm mají stálou provozovnu, prostřednictvím dalších položek</w:t>
            </w:r>
            <w:r>
              <w:rPr>
                <w:b/>
                <w:i/>
              </w:rPr>
              <w:t>, s výhradou ustanovení směrnice (EU) 2022/2523</w:t>
            </w:r>
            <w:r>
              <w:t xml:space="preserve">. </w:t>
            </w:r>
            <w:r>
              <w:rPr>
                <w:b/>
                <w:i/>
              </w:rPr>
              <w:t>Úpravy, které ve skutečnosti vedou k ušlým příjmům, musí být každoročně zveřejňovány, jak je stanoveno ve směrnici 2011/85/EU ve formě zprávy o daňových výdajích.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48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Aby se zabránilo dvojímu zdanění vyplývajícímu ze vzájemného působení této směrnice a dvoustranných daňových smluv se třetími zeměmi, členské státy případně provedou odpovídající úpravy v souladu se svými smluvními závazky.</w:t>
            </w:r>
            <w:r>
              <w:t xml:space="preserve"> </w:t>
            </w:r>
            <w:r>
              <w:rPr>
                <w:b/>
                <w:i/>
              </w:rPr>
              <w:t>Komise může usnadnit koordinaci a případně vydat pokyny na podporu jednotného uplatňování ve všech členských státech.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48 – odst.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Komise vypracuje podrobnou výroční zprávu o úpravách provedených v členských státech podle odstavce 2.</w:t>
            </w:r>
            <w:r>
              <w:t xml:space="preserve"> </w:t>
            </w:r>
            <w:r>
              <w:rPr>
                <w:b/>
                <w:i/>
              </w:rPr>
              <w:t>Tato zpráva se zveřejní.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48 – odst. 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Do šesti měsíců od vstupu této směrnice v platnost vydá Komise pokyny k každoročnímu zveřejňování ušlých příjmů podle směrnice 2011/85/EU, jak je stanoveno v odstavci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48a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Pobídky založené na výstupech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Členský stát poskytující pobídky pro výzkum a vývoj by neměl nabízet pobídky založené na výstupech, jako jsou daňové režimy pro příjmy z patentů, které by snížily přidělenou část členů skupiny BEFIT, kteří jsou daňovými rezidenty nebo se nacházejí ve formě stálé provozovny v daném členském státě.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49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49a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Dočasná vnitrostátní opatření v případě neexistence BEFIT nebo prvního pilíře provádění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V případě, že tato směrnice nebyla přijata nebo není v platnosti, a do přijetí globálního rámce, jako je první pilíř inkluzivního rámce OECD/G20 nebo vytvoření stálého mechanismu na úrovni EU pro rozdělování zisku, mohou členské státy zavést dočasná vnitrostátní opatření k zajištění spravedlivého zdanění nadnárodních podniků působících na jejich území.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Tato dočasná opatření dodržují zásady práva Unie, včetně vnitřního trhu a zákazu diskriminace mezi členskými státy nebo hospodářskými subjekty.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Členské státy oznámí Komisi veškerá taková opatření přijatá podle tohoto článku do tří měsíců od jejich vstupu v platnost.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Guillaume Peltier</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Kapitola IV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Zjednodušený přístup k dodržování pravidel stanovování převodních cen</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50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51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Článek 51</w:t>
            </w:r>
            <w:r>
              <w:tab/>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Rámec pro dodržování předpisů</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Členské státy strukturují svůj rámec pro posuzování rizik pro činnosti uvedené v článku 50 tak, aby se skládal ze tří rizikových zón převodních cen.</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Rizikové zóny se stanoví pomocí mezikvartilového rozpětí ziskovosti, jež vyplývá z veřejných referenčních hodnot Unie uvedených v článku 53.</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Činnosti uvedené v článku 50 se hodnotí jako nízkorizikové, středně rizikové nebo vysoce rizikové v závislosti na srovnání jejich ziskovosti v daném roce, stanovené podle článku 52, s mezikvartilovým rozpětím posledního souboru veřejných referenčních hodnot připravených před koncem daného roku.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Členské státy uplatňují tento rámec rizik:</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Riziková zóna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rPr>
                <w:b/>
                <w:i/>
              </w:rPr>
              <w:t xml:space="preserve"> </w:t>
            </w:r>
            <w:r>
              <w:rPr>
                <w:b/>
                <w:i/>
              </w:rPr>
              <w:t>Členské státy přijmou vhodná opatření, aby svůj přístup k riziku nedodržení pravidel strukturovaly v souladu s následujícími zásadami: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Zóna s nízkým rizikem:</w:t>
            </w:r>
            <w:r>
              <w:rPr>
                <w:b/>
                <w:i/>
              </w:rPr>
              <w:t xml:space="preserve"> </w:t>
            </w:r>
            <w:r>
              <w:rPr>
                <w:b/>
                <w:i/>
              </w:rPr>
              <w:t>příslušné orgány členských států nemohou vyčlenit další prostředky na dodržování předpisů, aby dále přezkoumaly výsledky stanovení převodních cen.</w:t>
            </w:r>
            <w:r>
              <w:rPr>
                <w:b/>
                <w:i/>
              </w:rPr>
              <w:t xml:space="preserve"> </w:t>
            </w:r>
            <w:r>
              <w:rPr>
                <w:b/>
                <w:i/>
              </w:rPr>
              <w:t>Bez ohledu na to si příslušné orgány členských států ponechávají právo provádět úpravy stanovení převodních cen ziskových rozpětí daňového poplatníka, který spadá do zóny s nízkým rizikem.</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Zóna se středním rizikem:</w:t>
            </w:r>
            <w:r>
              <w:rPr>
                <w:b/>
                <w:i/>
              </w:rPr>
              <w:t xml:space="preserve"> </w:t>
            </w:r>
            <w:r>
              <w:rPr>
                <w:b/>
                <w:i/>
              </w:rPr>
              <w:t>příslušné orgány členských států mohou na základě dostupných údajů sledovat výsledky a kontaktovat daňového poplatníka, aby lépe porozuměly jeho situaci, než se rozhodnou, zda vyčlení prostředky na dodržování předpisů, aby provedly posouzení rizik a audity.</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Zóna s vysokým rizikem:</w:t>
            </w:r>
            <w:r>
              <w:rPr>
                <w:b/>
                <w:i/>
              </w:rPr>
              <w:t xml:space="preserve"> </w:t>
            </w:r>
            <w:r>
              <w:rPr>
                <w:b/>
                <w:i/>
              </w:rPr>
              <w:t>příslušné orgány členských států mohou doporučit, aby daňový poplatník přezkoumal svou politiku stanovování převodních cen, a mohou rozhodnout o zahájení přezkumu nebo auditu.</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52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Článek 52</w:t>
            </w:r>
            <w:r>
              <w:tab/>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Měření ziskovosti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Členské státy stanoví vhodný právní rámec, aby jejich příslušné orgány měřily ziskovost distribuční činnosti uvedené v čl. 50 odst. 2 pomocí ukazatele zisku před úroky a zdaněním v poměru k tržbám.</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Členské státy stanoví vhodný právní rámec, aby jejich příslušné orgány měřily ziskovost výrobní činnosti uvedené v čl. 50 odst. 3 pomocí ukazatele zisku před úroky a zdaněním v poměru k celkovým nákladům.</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53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Článek 53</w:t>
            </w:r>
            <w:r>
              <w:tab/>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Veřejné referenční hodnoty</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Riziková zóna pro činnosti uvedené v článku 50 se stanoví prostřednictvím veřejných referenčních hodnot pro distribuční a výrobní činnosti.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Veřejné referenční hodnoty pro distribuční činnost jsou reprezentativní pro ziskovost nezávislých subjektů působících na vnitřním trhu a vykonávajících převážně distribuční činnost, jež má podobné charakteristiky jako činnost popsaná v čl. 50 odst. 2.</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Veřejné referenční hodnoty pro výrobní činnost jsou reprezentativní pro ziskovost nezávislých subjektů působících na vnitřním trhu a vykonávajících převážně výrobní činnost, jež má podobné charakteristiky jako činnost popsaná v čl. 50 odst. 3.</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Riziková zóna se stanoví pomocí mezikvartilového rozpětí pětiletého průměru ziskovosti nezávislých subjektů vyplývajícího z veřejných referenčních hodnot.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rPr>
                <w:b/>
                <w:i/>
              </w:rPr>
              <w:t xml:space="preserve"> </w:t>
            </w:r>
            <w:r>
              <w:rPr>
                <w:b/>
                <w:i/>
              </w:rPr>
              <w:t>Komise prostřednictvím prováděcího aktu, kterým stanoví nezbytná praktická opatření, určí kritéria pro vyhledávání srovnatelných údajů za účelem stanovení vhodných referenčních hodnot pro nízkorizikové distribuční a smluvní výrobní činnosti.</w:t>
            </w:r>
            <w:r>
              <w:rPr>
                <w:b/>
                <w:i/>
              </w:rPr>
              <w:t xml:space="preserve"> </w:t>
            </w:r>
            <w:r>
              <w:rPr>
                <w:b/>
                <w:i/>
              </w:rPr>
              <w:t>Výsledky srovnávacích kritérií se zveřejňují na internetových stránkách Komise, aby daňoví poplatníci mohli určit rizikovou zónu svých činností.</w:t>
            </w:r>
            <w:r>
              <w:rPr>
                <w:b/>
                <w:i/>
              </w:rPr>
              <w:t xml:space="preserve"> </w:t>
            </w:r>
            <w:r>
              <w:rPr>
                <w:b/>
                <w:i/>
              </w:rPr>
              <w:t>Referenční hodnoty se aktualizují každé tři roky.</w:t>
            </w:r>
            <w:r>
              <w:rPr>
                <w:b/>
                <w:i/>
              </w:rPr>
              <w:t xml:space="preserve"> </w:t>
            </w:r>
            <w:r>
              <w:rPr>
                <w:b/>
                <w:i/>
              </w:rPr>
              <w:t>Tyto prováděcí akty se přijímají přezkumným postupem podle článku 73.</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56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Podávající subjekt </w:t>
            </w:r>
            <w:r>
              <w:rPr>
                <w:b/>
                <w:i/>
              </w:rPr>
              <w:t>nelze změnit, ledaže by přestal splňovat podmínky uvedené v čl. 3 bodě 10</w:t>
            </w:r>
            <w:r>
              <w:t>. Skupina pak určí nový podávající subjekt v souladu s podmínkami čl. 3 bodu 10. Pokud skupina neurčí podávající subjekt do dvou měsíců poté, co předchozí podávající subjekt přestal splňovat podmínky, určí podávající subjekt pro skupinu BEFIT tým BEFIT uvedený v článku 60.</w:t>
            </w:r>
          </w:p>
        </w:tc>
        <w:tc>
          <w:tcPr>
            <w:tcW w:w="4876" w:type="dxa"/>
            <w:tcBorders>
              <w:top w:val="nil"/>
              <w:left w:val="nil"/>
              <w:bottom w:val="nil"/>
              <w:right w:val="nil"/>
            </w:tcBorders>
          </w:tcPr>
          <w:p>
            <w:pPr>
              <w:pStyle w:val="Normal6a"/>
            </w:pPr>
            <w:r>
              <w:t xml:space="preserve">Podávající subjekt </w:t>
            </w:r>
            <w:r>
              <w:rPr>
                <w:b/>
                <w:i/>
              </w:rPr>
              <w:t>může být změněn, pokud to skupina považuje za vhodné, a to s dvouměsíční výpovědní lhůtou příslušným orgánům, a to z opodstatněných důvodů</w:t>
            </w:r>
            <w:r>
              <w:t xml:space="preserve">. Skupina pak určí nový podávající subjekt v souladu s podmínkami čl. 3 bodu 10. Pokud skupina neurčí podávající subjekt do dvou měsíců poté, co předchozí podávající subjekt přestal splňovat podmínky, </w:t>
            </w:r>
            <w:r>
              <w:rPr>
                <w:b/>
                <w:i/>
              </w:rPr>
              <w:t>nebo z vlastního podnětu,</w:t>
            </w:r>
            <w:r>
              <w:t xml:space="preserve"> určí podávající subjekt pro skupinu BEFIT tým BEFIT uvedený v článku 60.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57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Informační přehled BEFIT se podává orgánu daňového přiznání nejpozději </w:t>
            </w:r>
            <w:r>
              <w:rPr>
                <w:b/>
                <w:i/>
              </w:rPr>
              <w:t>čtyři měsíce</w:t>
            </w:r>
            <w:r>
              <w:t xml:space="preserve"> po skončení účetního roku.</w:t>
            </w:r>
          </w:p>
        </w:tc>
        <w:tc>
          <w:tcPr>
            <w:tcW w:w="4876" w:type="dxa"/>
            <w:tcBorders>
              <w:top w:val="nil"/>
              <w:left w:val="nil"/>
              <w:bottom w:val="nil"/>
              <w:right w:val="nil"/>
            </w:tcBorders>
          </w:tcPr>
          <w:p>
            <w:pPr>
              <w:pStyle w:val="Normal6a"/>
            </w:pPr>
            <w:r>
              <w:t>2.</w:t>
            </w:r>
            <w:r>
              <w:tab/>
            </w:r>
            <w:r>
              <w:t xml:space="preserve">Informační přehled BEFIT se podává orgánu daňového přiznání nejpozději </w:t>
            </w:r>
            <w:r>
              <w:rPr>
                <w:b/>
                <w:i/>
              </w:rPr>
              <w:t>deset měsíců</w:t>
            </w:r>
            <w:r>
              <w:t xml:space="preserve"> po skončení účetního roku.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57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Informační přehled BEFIT se podává orgánu daňového přiznání nejpozději </w:t>
            </w:r>
            <w:r>
              <w:rPr>
                <w:b/>
                <w:i/>
              </w:rPr>
              <w:t>čtyři měsíce</w:t>
            </w:r>
            <w:r>
              <w:t xml:space="preserve"> po skončení účetního roku.</w:t>
            </w:r>
          </w:p>
        </w:tc>
        <w:tc>
          <w:tcPr>
            <w:tcW w:w="4876" w:type="dxa"/>
            <w:tcBorders>
              <w:top w:val="nil"/>
              <w:left w:val="nil"/>
              <w:bottom w:val="nil"/>
              <w:right w:val="nil"/>
            </w:tcBorders>
          </w:tcPr>
          <w:p>
            <w:pPr>
              <w:pStyle w:val="Normal6a"/>
            </w:pPr>
            <w:r>
              <w:t>2.</w:t>
            </w:r>
            <w:r>
              <w:tab/>
            </w:r>
            <w:r>
              <w:t xml:space="preserve">Informační přehled BEFIT se podává orgánu daňového přiznání nejpozději </w:t>
            </w:r>
            <w:r>
              <w:rPr>
                <w:b/>
                <w:i/>
              </w:rPr>
              <w:t>šest měsíců</w:t>
            </w:r>
            <w:r>
              <w:t xml:space="preserve"> po skončení účetního roku.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57 – odst. 3 – písm. d – bod 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ii)</w:t>
            </w:r>
            <w:r>
              <w:tab/>
            </w:r>
            <w:r>
              <w:t>základ daně BEFIT;</w:t>
            </w:r>
          </w:p>
        </w:tc>
        <w:tc>
          <w:tcPr>
            <w:tcW w:w="4876" w:type="dxa"/>
            <w:tcBorders>
              <w:top w:val="nil"/>
              <w:left w:val="nil"/>
              <w:bottom w:val="nil"/>
              <w:right w:val="nil"/>
            </w:tcBorders>
          </w:tcPr>
          <w:p>
            <w:pPr>
              <w:pStyle w:val="Normal6a"/>
            </w:pPr>
            <w:r>
              <w:t>ii)</w:t>
            </w:r>
            <w:r>
              <w:tab/>
            </w:r>
            <w:r>
              <w:t xml:space="preserve">základ daně BEFIT </w:t>
            </w:r>
            <w:r>
              <w:rPr>
                <w:b/>
                <w:i/>
              </w:rPr>
              <w:t>EU a celosvětový základ daně BEFIT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57 – odst.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Veškerá podkladová dokumentace, která byla použita k vytvoření základu daně BEFIT podle odst. 3 písm. d) bodu ii), se uchovává po dobu nejméně deseti let, aby byla zpřístupněna příslušným orgánům všech členských států, v nichž jsou členové skupiny BEFIT daňovými rezidenty nebo se nacházejí ve formě stálé provozovny.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57 – odst.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Týmy BEFIT plně využívají stávajících postupů a správních ujednání zavedených podle směrnice 2011/16/EU o správní spolupráci (DAC) k zajištění účinné výměny informací a koordinovaného provádění.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Podávající subjekt oznámí orgánu daňového přiznání chyby v informačním přehledu BEFIT do </w:t>
            </w:r>
            <w:r>
              <w:rPr>
                <w:b/>
                <w:i/>
              </w:rPr>
              <w:t>dvou</w:t>
            </w:r>
            <w:r>
              <w:t xml:space="preserve"> měsíců od včasného podání přehledu.</w:t>
            </w:r>
          </w:p>
        </w:tc>
        <w:tc>
          <w:tcPr>
            <w:tcW w:w="4876" w:type="dxa"/>
            <w:tcBorders>
              <w:top w:val="nil"/>
              <w:left w:val="nil"/>
              <w:bottom w:val="nil"/>
              <w:right w:val="nil"/>
            </w:tcBorders>
          </w:tcPr>
          <w:p>
            <w:pPr>
              <w:pStyle w:val="Normal6a"/>
            </w:pPr>
            <w:r>
              <w:t>1.</w:t>
            </w:r>
            <w:r>
              <w:tab/>
            </w:r>
            <w:r>
              <w:t xml:space="preserve">Podávající subjekt oznámí orgánu daňového přiznání chyby v informačním přehledu BEFIT do </w:t>
            </w:r>
            <w:r>
              <w:rPr>
                <w:b/>
                <w:i/>
              </w:rPr>
              <w:t>tří</w:t>
            </w:r>
            <w:r>
              <w:t xml:space="preserve"> měsíců od včasného podání přehledu.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58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Podávající subjekt oznámí orgánu daňového přiznání chyby v informačním přehledu BEFIT do </w:t>
            </w:r>
            <w:r>
              <w:rPr>
                <w:b/>
                <w:i/>
              </w:rPr>
              <w:t>dvou</w:t>
            </w:r>
            <w:r>
              <w:t xml:space="preserve"> měsíců od včasného podání přehledu.</w:t>
            </w:r>
          </w:p>
        </w:tc>
        <w:tc>
          <w:tcPr>
            <w:tcW w:w="4876" w:type="dxa"/>
            <w:tcBorders>
              <w:top w:val="nil"/>
              <w:left w:val="nil"/>
              <w:bottom w:val="nil"/>
              <w:right w:val="nil"/>
            </w:tcBorders>
          </w:tcPr>
          <w:p>
            <w:pPr>
              <w:pStyle w:val="Normal6a"/>
            </w:pPr>
            <w:r>
              <w:t>1.</w:t>
            </w:r>
            <w:r>
              <w:tab/>
            </w:r>
            <w:r>
              <w:t xml:space="preserve">Podávající subjekt oznámí orgánu daňového přiznání chyby v informačním přehledu BEFIT do </w:t>
            </w:r>
            <w:r>
              <w:rPr>
                <w:b/>
                <w:i/>
              </w:rPr>
              <w:t>tří</w:t>
            </w:r>
            <w:r>
              <w:t xml:space="preserve"> měsíců od včasného podání přehledu.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Do </w:t>
            </w:r>
            <w:r>
              <w:rPr>
                <w:b/>
                <w:i/>
              </w:rPr>
              <w:t>jednoho měsíce</w:t>
            </w:r>
            <w:r>
              <w:t xml:space="preserve"> po podání informačního přehledu BEFIT podle článku 57 se svolá tým BEFIT, aby provedl úkoly stanovené v článku 61. Kromě toho tým BEFIT poskytuje rámec pro komunikaci a konzultace mezi příslušnými orgány členských států, v nichž jsou členové téže skupiny BEFIT daňovými rezidenty nebo v nichž mají stálou provozovnu. Pokud člen týmu BEFIT vede konzultace s ostatními členy, obdrží odpověď v přiměřené lhůtě.</w:t>
            </w:r>
          </w:p>
        </w:tc>
        <w:tc>
          <w:tcPr>
            <w:tcW w:w="4876" w:type="dxa"/>
            <w:tcBorders>
              <w:top w:val="nil"/>
              <w:left w:val="nil"/>
              <w:bottom w:val="nil"/>
              <w:right w:val="nil"/>
            </w:tcBorders>
          </w:tcPr>
          <w:p>
            <w:pPr>
              <w:pStyle w:val="Normal6a"/>
            </w:pPr>
            <w:r>
              <w:t>1.</w:t>
            </w:r>
            <w:r>
              <w:tab/>
            </w:r>
            <w:r>
              <w:t xml:space="preserve">Do </w:t>
            </w:r>
            <w:r>
              <w:rPr>
                <w:b/>
                <w:i/>
              </w:rPr>
              <w:t>tří měsíců</w:t>
            </w:r>
            <w:r>
              <w:t xml:space="preserve"> po podání informačního přehledu BEFIT podle článku 57 se svolá tým BEFIT, aby provedl úkoly stanovené v článku 61. Kromě toho tým BEFIT poskytuje rámec pro komunikaci a konzultace mezi příslušnými orgány členských států, v nichž jsou členové téže skupiny BEFIT daňovými rezidenty nebo v nichž mají stálou provozovnu. Pokud člen týmu BEFIT vede konzultace s ostatními členy, obdrží odpověď v přiměřené lhůtě.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Jaroslava Pokorná Jermanová, Ondřej Knotek, Jaroslav Bžoch, Tomáš Kubín, Jana Nagyová, Enikő Győri, Jorge Martín Frías, Klara Dostalova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60 – odst.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Týmy BEFIT fungují výhradně jako nezávazná fóra pro výměnu informací a koordinaci mezi daňovými správami členských států.</w:t>
            </w:r>
            <w:r>
              <w:t xml:space="preserve"> </w:t>
            </w:r>
            <w:r>
              <w:rPr>
                <w:b/>
                <w:i/>
              </w:rPr>
              <w:t>Nemají pravomoc přijímat závazná rozhodnutí o rozdělení základu daně, daňových výměrech, daňových auditech, donucovacích opatřeních nebo jakýchkoli jiných aktech s právními účinky na daňové poplatníky.</w:t>
            </w:r>
            <w:r>
              <w:t xml:space="preserve"> </w:t>
            </w:r>
            <w:r>
              <w:rPr>
                <w:b/>
                <w:i/>
              </w:rPr>
              <w:t>Všechna taková rozhodnutí zůstávají ve výlučné pravomoci příslušných orgánů dotčených členských států.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61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Pokud tým BEFIT není schopen dosáhnout shody podle odstavce 2 do </w:t>
            </w:r>
            <w:r>
              <w:rPr>
                <w:b/>
                <w:i/>
              </w:rPr>
              <w:t>čtyř</w:t>
            </w:r>
            <w:r>
              <w:t xml:space="preserve"> měsíců ode dne, kdy byly oznámeny všechny informace požadované podle článku 57, má se za to, že shody bylo dosaženo, pokud členové týmu BEFIT prostou většinou přítomných členů v souladu s odstavcem 5 odsouhlasí informační přehled BEFIT na konci pátého měsíce ode dne, kdy byly informace oznámeny. Orgán daňového přiznání, kterému byl podán informační přehled BEFIT, oznámí informační přehled BEFIT podávajícímu subjektu.</w:t>
            </w:r>
          </w:p>
        </w:tc>
        <w:tc>
          <w:tcPr>
            <w:tcW w:w="4876" w:type="dxa"/>
            <w:tcBorders>
              <w:top w:val="nil"/>
              <w:left w:val="nil"/>
              <w:bottom w:val="nil"/>
              <w:right w:val="nil"/>
            </w:tcBorders>
          </w:tcPr>
          <w:p>
            <w:pPr>
              <w:pStyle w:val="Normal6a"/>
            </w:pPr>
            <w:r>
              <w:t>4.</w:t>
            </w:r>
            <w:r>
              <w:tab/>
            </w:r>
            <w:r>
              <w:t xml:space="preserve">Pokud tým BEFIT není schopen dosáhnout shody podle odstavce 2 do </w:t>
            </w:r>
            <w:r>
              <w:rPr>
                <w:b/>
                <w:i/>
              </w:rPr>
              <w:t>šesti</w:t>
            </w:r>
            <w:r>
              <w:t xml:space="preserve"> měsíců ode dne, kdy byly oznámeny všechny informace požadované podle článku 57, má se za to, že shody bylo dosaženo, pokud členové týmu BEFIT prostou většinou přítomných členů v souladu s odstavcem 5 odsouhlasí informační přehled BEFIT na konci pátého měsíce ode dne, kdy byly informace oznámeny. Orgán daňového přiznání, kterému byl podán informační přehled BEFIT, oznámí informační přehled BEFIT podávajícímu subjektu.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Kapitola V – oddíl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62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Každý člen skupiny BEFIT podá své individuální daňové přiznání příslušnému orgánu členského státu, v němž je tento člen skupiny BEFIT daňovým rezidentem nebo v němž má stálou provozovnu, a to</w:t>
            </w:r>
            <w:r>
              <w:t xml:space="preserve"> nejpozději </w:t>
            </w:r>
            <w:r>
              <w:rPr>
                <w:b/>
                <w:i/>
              </w:rPr>
              <w:t>do tří</w:t>
            </w:r>
            <w:r>
              <w:t xml:space="preserve"> měsíců </w:t>
            </w:r>
            <w:r>
              <w:rPr>
                <w:b/>
                <w:i/>
              </w:rPr>
              <w:t>od</w:t>
            </w:r>
            <w:r>
              <w:t xml:space="preserve"> obdržení </w:t>
            </w:r>
            <w:r>
              <w:rPr>
                <w:b/>
                <w:i/>
              </w:rPr>
              <w:t>oznámení orgánu daňového</w:t>
            </w:r>
            <w:r>
              <w:t xml:space="preserve"> přiznání podle čl. 61 odst. 3, 4 nebo 5, nebo v případě </w:t>
            </w:r>
            <w:r>
              <w:rPr>
                <w:b/>
                <w:i/>
              </w:rPr>
              <w:t>vnitrostátní</w:t>
            </w:r>
            <w:r>
              <w:t xml:space="preserve"> skupiny nejpozději do </w:t>
            </w:r>
            <w:r>
              <w:rPr>
                <w:b/>
                <w:i/>
              </w:rPr>
              <w:t>osmi</w:t>
            </w:r>
            <w:r>
              <w:t xml:space="preserve"> měsíců </w:t>
            </w:r>
            <w:r>
              <w:rPr>
                <w:b/>
                <w:i/>
              </w:rPr>
              <w:t>od konce účetního roku</w:t>
            </w:r>
            <w:r>
              <w:t>.</w:t>
            </w:r>
          </w:p>
        </w:tc>
        <w:tc>
          <w:tcPr>
            <w:tcW w:w="4876" w:type="dxa"/>
            <w:tcBorders>
              <w:top w:val="nil"/>
              <w:left w:val="nil"/>
              <w:bottom w:val="nil"/>
              <w:right w:val="nil"/>
            </w:tcBorders>
          </w:tcPr>
          <w:p>
            <w:pPr>
              <w:pStyle w:val="Normal6a"/>
            </w:pPr>
            <w:r>
              <w:t>1.</w:t>
            </w:r>
            <w:r>
              <w:tab/>
            </w:r>
            <w:r>
              <w:rPr>
                <w:b/>
                <w:i/>
              </w:rPr>
              <w:t>Skupina rozhodne, ve kterém státě podá konsolidovaný výkaz</w:t>
            </w:r>
            <w:r>
              <w:t xml:space="preserve"> nejpozději </w:t>
            </w:r>
            <w:r>
              <w:rPr>
                <w:b/>
                <w:i/>
              </w:rPr>
              <w:t>pět</w:t>
            </w:r>
            <w:r>
              <w:t xml:space="preserve"> měsíců </w:t>
            </w:r>
            <w:r>
              <w:rPr>
                <w:b/>
                <w:i/>
              </w:rPr>
              <w:t>po</w:t>
            </w:r>
            <w:r>
              <w:t xml:space="preserve"> obdržení </w:t>
            </w:r>
            <w:r>
              <w:rPr>
                <w:b/>
                <w:i/>
              </w:rPr>
              <w:t>konsolidovaného</w:t>
            </w:r>
            <w:r>
              <w:t xml:space="preserve"> přiznání </w:t>
            </w:r>
            <w:r>
              <w:rPr>
                <w:b/>
                <w:i/>
              </w:rPr>
              <w:t>od orgánu podávajícího žádost</w:t>
            </w:r>
            <w:r>
              <w:t xml:space="preserve"> podle čl. 61 odst. 3, 4 nebo 5, nebo v případě </w:t>
            </w:r>
            <w:r>
              <w:rPr>
                <w:b/>
                <w:i/>
              </w:rPr>
              <w:t>domácí</w:t>
            </w:r>
            <w:r>
              <w:t xml:space="preserve"> skupiny</w:t>
            </w:r>
            <w:r>
              <w:rPr>
                <w:b/>
                <w:i/>
              </w:rPr>
              <w:t>,</w:t>
            </w:r>
            <w:r>
              <w:t xml:space="preserve"> nejpozději do </w:t>
            </w:r>
            <w:r>
              <w:rPr>
                <w:b/>
                <w:i/>
              </w:rPr>
              <w:t>deseti</w:t>
            </w:r>
            <w:r>
              <w:t xml:space="preserve"> měsíců </w:t>
            </w:r>
            <w:r>
              <w:rPr>
                <w:b/>
                <w:i/>
              </w:rPr>
              <w:t>po účetním období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62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Aby se zabránilo nárůstu byrokratické zátěže, měly by být skupiny vyloučeny z povinnosti předkládat prohlášení v každé zemi a následně konsolidované prohlášení.</w:t>
            </w:r>
            <w:r>
              <w:t xml:space="preserve"> </w:t>
            </w:r>
            <w:r>
              <w:rPr>
                <w:b/>
                <w:i/>
              </w:rPr>
              <w:t>Přiznání se podávají prostřednictvím jednotného kontaktního místa, které konsoliduje všechny skupinové daně z příjmů právnických osob v jediném daňovém přiznání.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63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 skupiny BEFIT oznámí příslušnému orgánu členského státu, v němž je daňovým rezidentem nebo v němž má stálou provozovnu, chyby v individuálním daňovém přiznání do </w:t>
            </w:r>
            <w:r>
              <w:rPr>
                <w:b/>
                <w:i/>
              </w:rPr>
              <w:t>dvou</w:t>
            </w:r>
            <w:r>
              <w:t xml:space="preserve"> měsíců od včasného podání tohoto přiznání.</w:t>
            </w:r>
          </w:p>
        </w:tc>
        <w:tc>
          <w:tcPr>
            <w:tcW w:w="4876" w:type="dxa"/>
            <w:tcBorders>
              <w:top w:val="nil"/>
              <w:left w:val="nil"/>
              <w:bottom w:val="nil"/>
              <w:right w:val="nil"/>
            </w:tcBorders>
          </w:tcPr>
          <w:p>
            <w:pPr>
              <w:pStyle w:val="Normal6a"/>
            </w:pPr>
            <w:r>
              <w:t>1.</w:t>
            </w:r>
            <w:r>
              <w:tab/>
            </w:r>
            <w:r>
              <w:t xml:space="preserve">Člen skupiny BEFIT oznámí příslušnému orgánu členského státu, v němž je daňovým rezidentem nebo v němž má stálou provozovnu, chyby v individuálním daňovém přiznání do </w:t>
            </w:r>
            <w:r>
              <w:rPr>
                <w:b/>
                <w:i/>
              </w:rPr>
              <w:t>čtyř</w:t>
            </w:r>
            <w:r>
              <w:t xml:space="preserve"> měsíců od včasného podání tohoto přiznání.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63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 skupiny BEFIT oznámí příslušnému orgánu členského státu, v němž je daňovým rezidentem nebo v němž má stálou provozovnu, chyby v individuálním daňovém přiznání do </w:t>
            </w:r>
            <w:r>
              <w:rPr>
                <w:b/>
                <w:i/>
              </w:rPr>
              <w:t>dvou</w:t>
            </w:r>
            <w:r>
              <w:t xml:space="preserve"> měsíců od včasného podání tohoto přiznání.</w:t>
            </w:r>
          </w:p>
        </w:tc>
        <w:tc>
          <w:tcPr>
            <w:tcW w:w="4876" w:type="dxa"/>
            <w:tcBorders>
              <w:top w:val="nil"/>
              <w:left w:val="nil"/>
              <w:bottom w:val="nil"/>
              <w:right w:val="nil"/>
            </w:tcBorders>
          </w:tcPr>
          <w:p>
            <w:pPr>
              <w:pStyle w:val="Normal6a"/>
            </w:pPr>
            <w:r>
              <w:t>1.</w:t>
            </w:r>
            <w:r>
              <w:tab/>
            </w:r>
            <w:r>
              <w:t xml:space="preserve">Člen skupiny BEFIT oznámí příslušnému orgánu členského státu, v němž je daňovým rezidentem nebo v němž má stálou provozovnu, chyby v individuálním daňovém přiznání do </w:t>
            </w:r>
            <w:r>
              <w:rPr>
                <w:b/>
                <w:i/>
              </w:rPr>
              <w:t>čtyř</w:t>
            </w:r>
            <w:r>
              <w:t xml:space="preserve"> měsíců od včasného podání tohoto přiznání.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63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 skupiny BEFIT oznámí příslušnému orgánu členského státu, v němž je daňovým rezidentem nebo v němž má stálou provozovnu, chyby v individuálním daňovém přiznání do </w:t>
            </w:r>
            <w:r>
              <w:rPr>
                <w:b/>
                <w:i/>
              </w:rPr>
              <w:t>dvou</w:t>
            </w:r>
            <w:r>
              <w:t xml:space="preserve"> měsíců od včasného podání tohoto přiznání.</w:t>
            </w:r>
          </w:p>
        </w:tc>
        <w:tc>
          <w:tcPr>
            <w:tcW w:w="4876" w:type="dxa"/>
            <w:tcBorders>
              <w:top w:val="nil"/>
              <w:left w:val="nil"/>
              <w:bottom w:val="nil"/>
              <w:right w:val="nil"/>
            </w:tcBorders>
          </w:tcPr>
          <w:p>
            <w:pPr>
              <w:pStyle w:val="Normal6a"/>
            </w:pPr>
            <w:r>
              <w:t>1.</w:t>
            </w:r>
            <w:r>
              <w:tab/>
            </w:r>
            <w:r>
              <w:t xml:space="preserve">Člen skupiny BEFIT oznámí příslušnému orgánu členského státu, v němž je daňovým rezidentem nebo v němž má stálou provozovnu, chyby v individuálním daňovém přiznání do </w:t>
            </w:r>
            <w:r>
              <w:rPr>
                <w:b/>
                <w:i/>
              </w:rPr>
              <w:t>čtyř</w:t>
            </w:r>
            <w:r>
              <w:t xml:space="preserve"> měsíců od včasného podání tohoto přiznání.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409</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65 – odst.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Aniž je dotčen odstavec 5, opravný daňový výměr se za účelem úpravy základu daně BEFIT nevydá, pokud rozdíl mezi původně přiznaným základem daně BEFIT a revidovaným základem daně BEFIT nepřesáhne </w:t>
            </w:r>
            <w:r>
              <w:rPr>
                <w:b/>
                <w:i/>
              </w:rPr>
              <w:t>10 000</w:t>
            </w:r>
            <w:r>
              <w:t xml:space="preserve"> EUR nebo </w:t>
            </w:r>
            <w:r>
              <w:rPr>
                <w:b/>
                <w:i/>
              </w:rPr>
              <w:t>1</w:t>
            </w:r>
            <w:r>
              <w:t xml:space="preserve"> % základu daně BEFIT, podle toho, která z částek je nižší.</w:t>
            </w:r>
          </w:p>
        </w:tc>
        <w:tc>
          <w:tcPr>
            <w:tcW w:w="4876" w:type="dxa"/>
            <w:tcBorders>
              <w:top w:val="nil"/>
              <w:left w:val="nil"/>
              <w:bottom w:val="nil"/>
              <w:right w:val="nil"/>
            </w:tcBorders>
          </w:tcPr>
          <w:p>
            <w:pPr>
              <w:pStyle w:val="Normal6a"/>
            </w:pPr>
            <w:r>
              <w:t>6.</w:t>
            </w:r>
            <w:r>
              <w:tab/>
            </w:r>
            <w:r>
              <w:t xml:space="preserve">Aniž je dotčen odstavec 5, opravný daňový výměr se za účelem úpravy základu daně BEFIT nevydá, pokud rozdíl mezi původně přiznaným základem daně BEFIT a revidovaným základem daně BEFIT nepřesáhne </w:t>
            </w:r>
            <w:r>
              <w:rPr>
                <w:b/>
                <w:i/>
              </w:rPr>
              <w:t>2 000</w:t>
            </w:r>
            <w:r>
              <w:t xml:space="preserve"> EUR nebo </w:t>
            </w:r>
            <w:r>
              <w:rPr>
                <w:b/>
                <w:i/>
              </w:rPr>
              <w:t>0,5</w:t>
            </w:r>
            <w:r>
              <w:t> % základu daně BEFIT, podle toho, která z částek je nižší.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410</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66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Podávající subjekt může proti obsahu informačního přehledu BEFIT podat opravný prostředek v souladu s článkem 59 do </w:t>
            </w:r>
            <w:r>
              <w:rPr>
                <w:b/>
                <w:i/>
              </w:rPr>
              <w:t>dvou</w:t>
            </w:r>
            <w:r>
              <w:t xml:space="preserve"> měsíců od vydání nebo oznámení tohoto přehledu. Opravný prostředek projednává správní orgán, který je v souladu s právem členského státu orgánu členského státu příslušný k projednávání opravných prostředků v prvním stupni. Správní opravné prostředky se řídí právem členského státu orgánu daňového přiznání. Pokud takový správní orgán v členském státě orgánu daňového přiznání neexistuje, může člen skupiny BEFIT podat opravný prostředek přímo u soudu.</w:t>
            </w:r>
          </w:p>
        </w:tc>
        <w:tc>
          <w:tcPr>
            <w:tcW w:w="4876" w:type="dxa"/>
            <w:tcBorders>
              <w:top w:val="nil"/>
              <w:left w:val="nil"/>
              <w:bottom w:val="nil"/>
              <w:right w:val="nil"/>
            </w:tcBorders>
          </w:tcPr>
          <w:p>
            <w:pPr>
              <w:pStyle w:val="Normal6a"/>
            </w:pPr>
            <w:r>
              <w:t>1.</w:t>
            </w:r>
            <w:r>
              <w:tab/>
            </w:r>
            <w:r>
              <w:t xml:space="preserve">Podávající subjekt může proti obsahu informačního přehledu BEFIT podat opravný prostředek v souladu s článkem 59 do </w:t>
            </w:r>
            <w:r>
              <w:rPr>
                <w:b/>
                <w:i/>
              </w:rPr>
              <w:t>čtyř</w:t>
            </w:r>
            <w:r>
              <w:t xml:space="preserve"> měsíců od vydání nebo oznámení tohoto přehledu. Opravný prostředek projednává správní orgán, který je v souladu s právem členského státu orgánu členského státu příslušný k projednávání opravných prostředků v prvním stupni. Správní opravné prostředky se řídí právem členského státu orgánu daňového přiznání. Pokud takový správní orgán v členském státě orgánu daňového přiznání neexistuje, může člen skupiny BEFIT podat opravný prostředek přímo u soudu.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411</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67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 skupiny BEFIT může podat opravný prostředek proti obsahu individuálního daňového výměru provedeného podle článku 64 u příslušného orgánu členského státu, v němž je tento člen skupiny BEFIT daňovým rezidentem nebo v němž má stálou provozovnu, a to do </w:t>
            </w:r>
            <w:r>
              <w:rPr>
                <w:b/>
                <w:i/>
              </w:rPr>
              <w:t>dvou</w:t>
            </w:r>
            <w:r>
              <w:t xml:space="preserve"> měsíců poté, co mu byl výměr oznámen. Správní opravné prostředky projednává správní orgán, který je v souladu s právem členského státu člena skupiny BEFIT příslušný k projednávání opraných prostředků v prvním stupni. Správní opravné prostředky se řídí právem členského státu, v němž je člen skupiny BEFIT daňovým rezidentem nebo v němž má stálou provozovnu. Pokud v členském státě, v němž je člen skupiny BEFIT daňovým rezidentem nebo v němž má stálou provozovnu, takový správní orgán neexistuje, může člen skupiny BEFIT podat opravný prostředek přímo u soudu.</w:t>
            </w:r>
          </w:p>
        </w:tc>
        <w:tc>
          <w:tcPr>
            <w:tcW w:w="4876" w:type="dxa"/>
            <w:tcBorders>
              <w:top w:val="nil"/>
              <w:left w:val="nil"/>
              <w:bottom w:val="nil"/>
              <w:right w:val="nil"/>
            </w:tcBorders>
          </w:tcPr>
          <w:p>
            <w:pPr>
              <w:pStyle w:val="Normal6a"/>
            </w:pPr>
            <w:r>
              <w:t>1.</w:t>
            </w:r>
            <w:r>
              <w:tab/>
            </w:r>
            <w:r>
              <w:t xml:space="preserve">Člen skupiny BEFIT může podat opravný prostředek proti obsahu individuálního daňového výměru provedeného podle článku 64 u příslušného orgánu členského státu, v němž je tento člen skupiny BEFIT daňovým rezidentem nebo v němž má stálou provozovnu, a to do </w:t>
            </w:r>
            <w:r>
              <w:rPr>
                <w:b/>
                <w:i/>
              </w:rPr>
              <w:t>čtyř</w:t>
            </w:r>
            <w:r>
              <w:t xml:space="preserve"> měsíců poté, co mu byl výměr oznámen. Správní opravné prostředky projednává správní orgán, který je v souladu s právem členského státu člena skupiny BEFIT příslušný k projednávání opraných prostředků v prvním stupni. Správní opravné prostředky se řídí právem členského státu, v němž je člen skupiny BEFIT daňovým rezidentem nebo v němž má stálou provozovnu. Pokud v členském státě, v němž je člen skupiny BEFIT daňovým rezidentem nebo v němž má stálou provozovnu, takový správní orgán neexistuje, může člen skupiny BEFIT podat opravný prostředek přímo u soudu.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412</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67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 skupiny BEFIT může podat opravný prostředek proti obsahu individuálního daňového výměru provedeného podle článku 64 u příslušného orgánu členského státu, v němž je tento člen skupiny BEFIT daňovým rezidentem nebo v němž má stálou provozovnu, a to do </w:t>
            </w:r>
            <w:r>
              <w:rPr>
                <w:b/>
                <w:i/>
              </w:rPr>
              <w:t>dvou</w:t>
            </w:r>
            <w:r>
              <w:t xml:space="preserve"> měsíců poté, co mu byl výměr oznámen. Správní opravné prostředky projednává správní orgán, který je v souladu s právem členského státu člena skupiny BEFIT příslušný k projednávání opraných prostředků v prvním stupni. Správní opravné prostředky se řídí právem členského státu, v němž je člen skupiny BEFIT daňovým rezidentem nebo v němž má stálou provozovnu. Pokud v členském státě, v němž je člen skupiny BEFIT daňovým rezidentem nebo v němž má stálou provozovnu, takový správní orgán neexistuje, může člen skupiny BEFIT podat opravný prostředek přímo u soudu.</w:t>
            </w:r>
          </w:p>
        </w:tc>
        <w:tc>
          <w:tcPr>
            <w:tcW w:w="4876" w:type="dxa"/>
            <w:tcBorders>
              <w:top w:val="nil"/>
              <w:left w:val="nil"/>
              <w:bottom w:val="nil"/>
              <w:right w:val="nil"/>
            </w:tcBorders>
          </w:tcPr>
          <w:p>
            <w:pPr>
              <w:pStyle w:val="Normal6a"/>
            </w:pPr>
            <w:r>
              <w:t>1.</w:t>
            </w:r>
            <w:r>
              <w:tab/>
            </w:r>
            <w:r>
              <w:t xml:space="preserve">Člen skupiny BEFIT může podat opravný prostředek proti obsahu individuálního daňového výměru provedeného podle článku 64 u příslušného orgánu členského státu, v němž je tento člen skupiny BEFIT daňovým rezidentem nebo v němž má stálou provozovnu, a to do </w:t>
            </w:r>
            <w:r>
              <w:rPr>
                <w:b/>
                <w:i/>
              </w:rPr>
              <w:t>čtyř</w:t>
            </w:r>
            <w:r>
              <w:t xml:space="preserve"> měsíců poté, co mu byl výměr oznámen. Správní opravné prostředky projednává správní orgán, který je v souladu s právem členského státu člena skupiny BEFIT příslušný k projednávání opraných prostředků v prvním stupni. Správní opravné prostředky se řídí právem členského státu, v němž je člen skupiny BEFIT daňovým rezidentem nebo v němž má stálou provozovnu. Pokud v členském státě, v němž je člen skupiny BEFIT daňovým rezidentem nebo v němž má stálou provozovnu, takový správní orgán neexistuje, může člen skupiny BEFIT podat opravný prostředek přímo u soudu.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Pokud bylo rozhodnutí podle článku 66 potvrzeno nebo změněno, má podávající subjekt právo podat opravný prostředek přímo u soudu členského státu, v němž je daňovým rezidentem nebo v němž má stálou provozovnu, a to do </w:t>
            </w:r>
            <w:r>
              <w:rPr>
                <w:b/>
                <w:i/>
              </w:rPr>
              <w:t>dvou</w:t>
            </w:r>
            <w:r>
              <w:t xml:space="preserve"> měsíců od obdržení rozhodnutí odvolacího správního orgánu. Soudní opravné prostředky se řídí právem členského státu, v němž je podávající subjekt daňovým rezidentem nebo v němž má stálou provozovnu.</w:t>
            </w:r>
          </w:p>
        </w:tc>
        <w:tc>
          <w:tcPr>
            <w:tcW w:w="4876" w:type="dxa"/>
            <w:tcBorders>
              <w:top w:val="nil"/>
              <w:left w:val="nil"/>
              <w:bottom w:val="nil"/>
              <w:right w:val="nil"/>
            </w:tcBorders>
          </w:tcPr>
          <w:p>
            <w:pPr>
              <w:pStyle w:val="Normal6a"/>
            </w:pPr>
            <w:r>
              <w:t>1.</w:t>
            </w:r>
            <w:r>
              <w:tab/>
            </w:r>
            <w:r>
              <w:t xml:space="preserve">Pokud bylo rozhodnutí podle článku 66 potvrzeno nebo změněno, má podávající subjekt právo podat opravný prostředek přímo u soudu členského státu, v němž je daňovým rezidentem nebo v němž má stálou provozovnu, a to do </w:t>
            </w:r>
            <w:r>
              <w:rPr>
                <w:b/>
                <w:i/>
              </w:rPr>
              <w:t>čtyř</w:t>
            </w:r>
            <w:r>
              <w:t xml:space="preserve"> měsíců od obdržení rozhodnutí odvolacího správního orgánu. Soudní opravné prostředky se řídí právem členského státu, v němž je podávající subjekt daňovým rezidentem nebo v němž má stálou provozovnu.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414</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68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Aniž je dotčen odstavec </w:t>
            </w:r>
            <w:r>
              <w:rPr>
                <w:b/>
                <w:i/>
              </w:rPr>
              <w:t>3</w:t>
            </w:r>
            <w:r>
              <w:t xml:space="preserve">, opravný daňový výměr za účelem úpravy základu daně BEFIT </w:t>
            </w:r>
            <w:r>
              <w:rPr>
                <w:b/>
                <w:i/>
              </w:rPr>
              <w:t>se</w:t>
            </w:r>
            <w:r>
              <w:t xml:space="preserve"> nevydá, pokud rozdíl mezi původně přiznaným základem daně BEFIT a revidovaným základem daně BEFIT nepřesáhne </w:t>
            </w:r>
            <w:r>
              <w:rPr>
                <w:b/>
                <w:i/>
              </w:rPr>
              <w:t>10 000</w:t>
            </w:r>
            <w:r>
              <w:t xml:space="preserve"> EUR nebo </w:t>
            </w:r>
            <w:r>
              <w:rPr>
                <w:b/>
                <w:i/>
              </w:rPr>
              <w:t>1</w:t>
            </w:r>
            <w:r>
              <w:t xml:space="preserve"> % základu daně BEFIT, podle toho, která z částek je nižší.</w:t>
            </w:r>
          </w:p>
        </w:tc>
        <w:tc>
          <w:tcPr>
            <w:tcW w:w="4876" w:type="dxa"/>
            <w:tcBorders>
              <w:top w:val="nil"/>
              <w:left w:val="nil"/>
              <w:bottom w:val="nil"/>
              <w:right w:val="nil"/>
            </w:tcBorders>
          </w:tcPr>
          <w:p>
            <w:pPr>
              <w:pStyle w:val="Normal6a"/>
            </w:pPr>
            <w:r>
              <w:t>4.</w:t>
            </w:r>
            <w:r>
              <w:tab/>
            </w:r>
            <w:r>
              <w:t xml:space="preserve">Aniž je dotčen odstavec </w:t>
            </w:r>
            <w:r>
              <w:rPr>
                <w:b/>
                <w:i/>
              </w:rPr>
              <w:t>5</w:t>
            </w:r>
            <w:r>
              <w:t xml:space="preserve">, opravný daňový výměr </w:t>
            </w:r>
            <w:r>
              <w:rPr>
                <w:b/>
                <w:i/>
              </w:rPr>
              <w:t>se</w:t>
            </w:r>
            <w:r>
              <w:t xml:space="preserve"> za účelem úpravy základu daně BEFIT nevydá, pokud rozdíl mezi původně přiznaným základem daně BEFIT a revidovaným základem daně BEFIT nepřesáhne </w:t>
            </w:r>
            <w:r>
              <w:rPr>
                <w:b/>
                <w:i/>
              </w:rPr>
              <w:t>2 000</w:t>
            </w:r>
            <w:r>
              <w:t xml:space="preserve"> EUR nebo </w:t>
            </w:r>
            <w:r>
              <w:rPr>
                <w:b/>
                <w:i/>
              </w:rPr>
              <w:t>0,5</w:t>
            </w:r>
            <w:r>
              <w:t> % základu daně BEFIT, podle toho, která z částek je nižší.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415</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69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Pokud bylo rozhodnutí podle článku 67 potvrzeno nebo změněno, má člen skupiny BEFIT právo podat opravný prostředek u soudu členského státu, v němž je daňovým rezidentem nebo v němž má stálou provozovnu, a to do </w:t>
            </w:r>
            <w:r>
              <w:rPr>
                <w:b/>
                <w:i/>
              </w:rPr>
              <w:t>dvou</w:t>
            </w:r>
            <w:r>
              <w:t xml:space="preserve"> měsíců poté, co mu bylo rozhodnutí odvolacího správního orgánu podle článku 67 oznámeno. Soudní opravné prostředky se řídí právem členského státu, v němž je člen skupiny BEFIT daňovým rezidentem nebo v němž má stálou provozovnu.</w:t>
            </w:r>
          </w:p>
        </w:tc>
        <w:tc>
          <w:tcPr>
            <w:tcW w:w="4876" w:type="dxa"/>
            <w:tcBorders>
              <w:top w:val="nil"/>
              <w:left w:val="nil"/>
              <w:bottom w:val="nil"/>
              <w:right w:val="nil"/>
            </w:tcBorders>
          </w:tcPr>
          <w:p>
            <w:pPr>
              <w:pStyle w:val="Normal6a"/>
            </w:pPr>
            <w:r>
              <w:t>1.</w:t>
            </w:r>
            <w:r>
              <w:tab/>
            </w:r>
            <w:r>
              <w:t xml:space="preserve">Pokud bylo rozhodnutí podle článku 67 potvrzeno nebo změněno, má člen skupiny BEFIT právo podat opravný prostředek u soudu členského státu, v němž je daňovým rezidentem nebo v němž má stálou provozovnu, a to do </w:t>
            </w:r>
            <w:r>
              <w:rPr>
                <w:b/>
                <w:i/>
              </w:rPr>
              <w:t>čtyř</w:t>
            </w:r>
            <w:r>
              <w:t xml:space="preserve"> měsíců poté, co mu bylo rozhodnutí odvolacího správního orgánu podle článku 67 oznámeno. Soudní opravné prostředky se řídí právem členského státu, v němž je člen skupiny BEFIT daňovým rezidentem nebo v němž má stálou provozovnu.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416</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69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Pokud bylo rozhodnutí podle článku 67 potvrzeno nebo změněno, má člen skupiny BEFIT právo podat opravný prostředek u soudu členského státu, v němž je daňovým rezidentem nebo v němž má stálou provozovnu, a to do </w:t>
            </w:r>
            <w:r>
              <w:rPr>
                <w:b/>
                <w:i/>
              </w:rPr>
              <w:t>dvou</w:t>
            </w:r>
            <w:r>
              <w:t xml:space="preserve"> měsíců poté, co mu bylo rozhodnutí odvolacího správního orgánu podle článku 67 oznámeno. Soudní opravné prostředky se řídí právem členského státu, v němž je člen skupiny BEFIT daňovým rezidentem nebo v němž má stálou provozovnu.</w:t>
            </w:r>
          </w:p>
        </w:tc>
        <w:tc>
          <w:tcPr>
            <w:tcW w:w="4876" w:type="dxa"/>
            <w:tcBorders>
              <w:top w:val="nil"/>
              <w:left w:val="nil"/>
              <w:bottom w:val="nil"/>
              <w:right w:val="nil"/>
            </w:tcBorders>
          </w:tcPr>
          <w:p>
            <w:pPr>
              <w:pStyle w:val="Normal6a"/>
            </w:pPr>
            <w:r>
              <w:t>1.</w:t>
            </w:r>
            <w:r>
              <w:tab/>
            </w:r>
            <w:r>
              <w:t xml:space="preserve">Pokud bylo rozhodnutí podle článku 67 potvrzeno nebo změněno, má člen skupiny BEFIT právo podat opravný prostředek u soudu členského státu, v němž je daňovým rezidentem nebo v němž má stálou provozovnu, a to do </w:t>
            </w:r>
            <w:r>
              <w:rPr>
                <w:b/>
                <w:i/>
              </w:rPr>
              <w:t>čtyř</w:t>
            </w:r>
            <w:r>
              <w:t xml:space="preserve"> měsíců poté, co mu bylo rozhodnutí odvolacího správního orgánu podle článku 67 oznámeno. Soudní opravné prostředky se řídí právem členského státu, v němž je člen skupiny BEFIT daňovým rezidentem nebo v němž má stálou provozovnu.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417</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Pokud výsledek správního nebo soudního opravného prostředku vyžaduje změny </w:t>
            </w:r>
            <w:r>
              <w:rPr>
                <w:b/>
                <w:i/>
              </w:rPr>
              <w:t>individuálního</w:t>
            </w:r>
            <w:r>
              <w:t xml:space="preserve"> daňového výměru </w:t>
            </w:r>
            <w:r>
              <w:rPr>
                <w:b/>
                <w:i/>
              </w:rPr>
              <w:t>jednoho nebo více členů</w:t>
            </w:r>
            <w:r>
              <w:t xml:space="preserve"> skupiny BEFIT, přijmou členské státy vhodná opatření, aby </w:t>
            </w:r>
            <w:r>
              <w:rPr>
                <w:b/>
                <w:i/>
              </w:rPr>
              <w:t>zajistily, že</w:t>
            </w:r>
            <w:r>
              <w:t xml:space="preserve"> tyto změny </w:t>
            </w:r>
            <w:r>
              <w:rPr>
                <w:b/>
                <w:i/>
              </w:rPr>
              <w:t>budou</w:t>
            </w:r>
            <w:r>
              <w:t xml:space="preserve"> možné </w:t>
            </w:r>
            <w:r>
              <w:rPr>
                <w:b/>
                <w:i/>
              </w:rPr>
              <w:t>bez ohledu na lhůty stanovené ve vnitrostátních právních předpisech členských států</w:t>
            </w:r>
            <w:r>
              <w:t>.</w:t>
            </w:r>
          </w:p>
        </w:tc>
        <w:tc>
          <w:tcPr>
            <w:tcW w:w="4876" w:type="dxa"/>
            <w:tcBorders>
              <w:top w:val="nil"/>
              <w:left w:val="nil"/>
              <w:bottom w:val="nil"/>
              <w:right w:val="nil"/>
            </w:tcBorders>
          </w:tcPr>
          <w:p>
            <w:pPr>
              <w:pStyle w:val="Normal6a"/>
            </w:pPr>
            <w:r>
              <w:t xml:space="preserve">Pokud výsledek správního nebo soudního opravného prostředku vyžaduje změny daňového výměru skupiny BEFIT, přijmou členské státy vhodná opatření </w:t>
            </w:r>
            <w:r>
              <w:rPr>
                <w:b/>
                <w:i/>
              </w:rPr>
              <w:t>k zajištění toho</w:t>
            </w:r>
            <w:r>
              <w:t xml:space="preserve">, aby tyto změny </w:t>
            </w:r>
            <w:r>
              <w:rPr>
                <w:b/>
                <w:i/>
              </w:rPr>
              <w:t>zůstaly</w:t>
            </w:r>
            <w:r>
              <w:t xml:space="preserve"> možné </w:t>
            </w:r>
            <w:r>
              <w:rPr>
                <w:b/>
                <w:i/>
              </w:rPr>
              <w:t>ve lhůtě deseti let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418</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70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Pokud výsledek správního nebo soudního opravného prostředku vyžaduje změny individuálního daňového výměru jednoho nebo více členů skupiny BEFIT, přijmou členské státy vhodná opatření, aby zajistily, že tyto změny budou možné bez ohledu na lhůty stanovené ve vnitrostátních právních předpisech členských států.</w:t>
            </w:r>
          </w:p>
        </w:tc>
        <w:tc>
          <w:tcPr>
            <w:tcW w:w="4876" w:type="dxa"/>
            <w:tcBorders>
              <w:top w:val="nil"/>
              <w:left w:val="nil"/>
              <w:bottom w:val="nil"/>
              <w:right w:val="nil"/>
            </w:tcBorders>
          </w:tcPr>
          <w:p>
            <w:pPr>
              <w:pStyle w:val="Normal6a"/>
            </w:pPr>
            <w:r>
              <w:t>Pokud výsledek správního nebo soudního opravného prostředku vyžaduje změny individuálního daňového výměru jednoho nebo více členů skupiny BEFIT, přijmou členské státy vhodná opatření, aby zajistily, že tyto změny budou možné bez ohledu na lhůty stanovené ve vnitrostátních právních předpisech členských států</w:t>
            </w:r>
            <w:r>
              <w:rPr>
                <w:b/>
                <w:i/>
              </w:rPr>
              <w:t>, přičemž správní nebo soudní opravný prostředek má přednost před těmito omezeními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419</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72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Členské státy stanoví pravidla pro sankce za porušení vnitrostátních předpisů přijatých podle této směrnice a přijmou veškerá nezbytná opatření k zajištění jejich provádění a vymáhání. Stanovené sankce a opatření pro dodržování předpisů musí být účinné, přiměřené a odrazující.</w:t>
            </w:r>
          </w:p>
        </w:tc>
        <w:tc>
          <w:tcPr>
            <w:tcW w:w="4876" w:type="dxa"/>
            <w:tcBorders>
              <w:top w:val="nil"/>
              <w:left w:val="nil"/>
              <w:bottom w:val="nil"/>
              <w:right w:val="nil"/>
            </w:tcBorders>
          </w:tcPr>
          <w:p>
            <w:pPr>
              <w:pStyle w:val="Normal6a"/>
            </w:pPr>
            <w:r>
              <w:t>Členské státy stanoví pravidla pro sankce za porušení vnitrostátních předpisů přijatých podle této směrnice a přijmou veškerá nezbytná opatření k zajištění jejich provádění a vymáhání. Stanovené sankce a opatření pro dodržování předpisů musí být účinné, přiměřené a odrazující.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Sankce se stanoví v minimální výši 0,1 % obratu skupiny BEFIT v případě nepodání informačního přiznání BEFIT podle článku 59 a v případě potvrzení toho, že informační přehled byl úmyslně vykázán nesprávně.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420</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72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Členské státy stanoví pravidla pro sankce za porušení vnitrostátních předpisů přijatých podle této směrnice a přijmou veškerá nezbytná opatření k zajištění jejich provádění a vymáhání. Stanovené sankce a opatření pro dodržování předpisů musí být účinné, přiměřené a odrazující.</w:t>
            </w:r>
          </w:p>
        </w:tc>
        <w:tc>
          <w:tcPr>
            <w:tcW w:w="4876" w:type="dxa"/>
            <w:tcBorders>
              <w:top w:val="nil"/>
              <w:left w:val="nil"/>
              <w:bottom w:val="nil"/>
              <w:right w:val="nil"/>
            </w:tcBorders>
          </w:tcPr>
          <w:p>
            <w:pPr>
              <w:pStyle w:val="Normal6a"/>
            </w:pPr>
            <w:r>
              <w:t xml:space="preserve">Členské státy stanoví pravidla pro sankce za porušení vnitrostátních předpisů přijatých podle této směrnice a přijmou veškerá nezbytná opatření k zajištění jejich provádění a vymáhání. Stanovené sankce a opatření pro dodržování předpisů musí být účinné, přiměřené a odrazující. </w:t>
            </w:r>
            <w:r>
              <w:rPr>
                <w:b/>
                <w:i/>
              </w:rPr>
              <w:t>Veškeré změny těchto sankcí by měly být včas a vhodným způsobem sděleny skupinám působícím v členských státech.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421</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72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Sankce se stanoví ve výši nejméně 0,5 % obratu skupiny BEFIT v případě nepředložení informačního výkazu BEFIT v souladu s článkem 59.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422</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74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Akty v přenesené pravomoci přijaté podle tohoto článku se nepoužijí k rozšíření, omezení nebo novému výkladu oblasti působnosti této směrnice, jak je definována v článku 2.</w:t>
            </w:r>
            <w:r>
              <w:t xml:space="preserve"> </w:t>
            </w:r>
            <w:r>
              <w:rPr>
                <w:b/>
                <w:i/>
              </w:rPr>
              <w:t>Omezují se na čistě technické úpravy nezbytné k zohlednění změn forem společností a daní z příjmů právnických osob uvedených v přílohách I a 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423</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74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Pravomoc přijímat akty v přenesené pravomoci uvedená v čl. 2 odst. 8 </w:t>
            </w:r>
            <w:r>
              <w:rPr>
                <w:b/>
                <w:i/>
              </w:rPr>
              <w:t>a</w:t>
            </w:r>
            <w:r>
              <w:t xml:space="preserve"> čl. 14 odst. 3 je svěřena Komisi na dobu neurčitou od data [datum vstupu této směrnice v platnost].</w:t>
            </w:r>
          </w:p>
        </w:tc>
        <w:tc>
          <w:tcPr>
            <w:tcW w:w="4876" w:type="dxa"/>
            <w:tcBorders>
              <w:top w:val="nil"/>
              <w:left w:val="nil"/>
              <w:bottom w:val="nil"/>
              <w:right w:val="nil"/>
            </w:tcBorders>
          </w:tcPr>
          <w:p>
            <w:pPr>
              <w:pStyle w:val="Normal6a"/>
            </w:pPr>
            <w:r>
              <w:t>2.</w:t>
            </w:r>
            <w:r>
              <w:tab/>
            </w:r>
            <w:r>
              <w:t>Pravomoc přijímat akty v přenesené pravomoci uvedená v čl. 2 odst. 8</w:t>
            </w:r>
            <w:r>
              <w:rPr>
                <w:b/>
                <w:i/>
              </w:rPr>
              <w:t>,</w:t>
            </w:r>
            <w:r>
              <w:t xml:space="preserve"> čl. 14 odst. 3 </w:t>
            </w:r>
            <w:r>
              <w:rPr>
                <w:b/>
                <w:i/>
              </w:rPr>
              <w:t>a čl. 45 odst. 2a</w:t>
            </w:r>
            <w:r>
              <w:t xml:space="preserve"> je svěřena Komisi na dobu neurčitou od data [datum vstupu této směrnice v platnost].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424</w:t>
      </w:r>
      <w:r>
        <w:rPr>
          <w:rStyle w:val="HideTWBExt"/>
        </w:rPr>
        <w:t>&lt;/NumAm&gt;</w:t>
      </w:r>
    </w:p>
    <w:p>
      <w:pPr>
        <w:pStyle w:val="NormalBold"/>
      </w:pPr>
      <w:r>
        <w:rPr>
          <w:rStyle w:val="HideTWBExt"/>
          <w:b w:val="0"/>
        </w:rPr>
        <w:t>&lt;RepeatBlock-By&gt;</w:t>
      </w:r>
      <w:r>
        <w:rPr>
          <w:rStyle w:val="HideTWBExt"/>
          <w:b w:val="0"/>
        </w:rPr>
        <w:t>&lt;Members&gt;</w:t>
      </w:r>
      <w:r>
        <w:t>Jaroslava Pokorná Jermanová, Ondřej Knotek, Jaroslav Bžoch, Tomáš Kubín, Jana Nagyová, Enikő Győri, Jorge Martín Frías, Pierre Pimpie, Klara Dostalova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74 – odst. 3 – bod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Akty v přenesené pravomoci přijaté podle tohoto článku nesmí: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rozšířit oblast působnosti této směrnice nad rámec záležitostí výslovně stanovených v této směrnici;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změnit rozdělení pravomocí mezi Unií a členskými státy v oblasti daní;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zavést nebo usnadnit vytvoření nových vlastních zdrojů Unie;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ovlivnit daňovou suverenitu členských států, a to i v oblasti daňových sazeb, výběru daní a vymáhání daní.“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425</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Přezkum fungování BEFIT ze strany</w:t>
            </w:r>
            <w:r>
              <w:t xml:space="preserve"> Komise</w:t>
            </w:r>
          </w:p>
        </w:tc>
        <w:tc>
          <w:tcPr>
            <w:tcW w:w="4876" w:type="dxa"/>
            <w:tcBorders>
              <w:top w:val="nil"/>
              <w:left w:val="nil"/>
              <w:bottom w:val="nil"/>
              <w:right w:val="nil"/>
            </w:tcBorders>
          </w:tcPr>
          <w:p>
            <w:pPr>
              <w:pStyle w:val="Normal6a"/>
            </w:pPr>
            <w:r>
              <w:rPr>
                <w:b/>
                <w:i/>
              </w:rPr>
              <w:t>Zpráva</w:t>
            </w:r>
            <w:r>
              <w:t xml:space="preserve"> Komise </w:t>
            </w:r>
            <w:r>
              <w:rPr>
                <w:b/>
                <w:i/>
              </w:rPr>
              <w:t>a doložka o zachování stávajícího stavu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426</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Tři roky poté, co se tato směrnice začne uplatňovat, předloží Komise legislativní návrh na změnu této směrnice tak, aby byl tento systém povinný pro společnosti s ročními kombinovanými příjmy ve výši 40 000 000 EUR nebo více v nejméně dvou z posledních čtyř účetních období v souladu s definicí velkých skupin ve smyslu směrnice Evropského parlamentu a Rady 2013/34/EU.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427</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Pět let po zahájení</w:t>
            </w:r>
            <w:r>
              <w:t xml:space="preserve"> uplatňování této směrnice Komise </w:t>
            </w:r>
            <w:r>
              <w:rPr>
                <w:b/>
                <w:i/>
              </w:rPr>
              <w:t>přezkoumá a vyhodnotí její fungování a podá o tom zprávu Evropskému parlamentu a Radě.</w:t>
            </w:r>
            <w:r>
              <w:t xml:space="preserve"> </w:t>
            </w:r>
            <w:r>
              <w:rPr>
                <w:b/>
                <w:i/>
              </w:rPr>
              <w:t>Ke zprávě se případně připojí návrh na změnu této</w:t>
            </w:r>
            <w:r>
              <w:t xml:space="preserve"> směrnice.</w:t>
            </w:r>
          </w:p>
        </w:tc>
        <w:tc>
          <w:tcPr>
            <w:tcW w:w="4876" w:type="dxa"/>
            <w:tcBorders>
              <w:top w:val="nil"/>
              <w:left w:val="nil"/>
              <w:bottom w:val="nil"/>
              <w:right w:val="nil"/>
            </w:tcBorders>
          </w:tcPr>
          <w:p>
            <w:pPr>
              <w:pStyle w:val="Normal6a"/>
            </w:pPr>
            <w:r>
              <w:t>1.</w:t>
            </w:r>
            <w:r>
              <w:tab/>
            </w:r>
            <w:r>
              <w:rPr>
                <w:b/>
                <w:i/>
              </w:rPr>
              <w:t>Vzhledem k současným nejistotám spojeným s mezinárodním prováděním inkluzivního rámce OECD/G20 pro pilíř II se</w:t>
            </w:r>
            <w:r>
              <w:t xml:space="preserve"> uplatňování této směrnice </w:t>
            </w:r>
            <w:r>
              <w:rPr>
                <w:b/>
                <w:i/>
              </w:rPr>
              <w:t>pozastavuje.</w:t>
            </w:r>
            <w:r>
              <w:t xml:space="preserve"> </w:t>
            </w:r>
            <w:r>
              <w:rPr>
                <w:b/>
                <w:i/>
              </w:rPr>
              <w:t>Před jakýmikoli dalšími kroky provede</w:t>
            </w:r>
            <w:r>
              <w:t xml:space="preserve"> Komise </w:t>
            </w:r>
            <w:r>
              <w:rPr>
                <w:b/>
                <w:i/>
              </w:rPr>
              <w:t>komplexní posouzení slučitelnosti</w:t>
            </w:r>
            <w:r>
              <w:t xml:space="preserve"> směrnice </w:t>
            </w:r>
            <w:r>
              <w:rPr>
                <w:b/>
                <w:i/>
              </w:rPr>
              <w:t>s globálními standardy, jejího dopadu na daňovou jistotu a konkurenceschopnost podniků a administrativní zátěže pro členské státy a daňové poplatníky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428</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Pět let po zahájení uplatňování této směrnice Komise přezkoumá a vyhodnotí její fungování a podá o tom zprávu Evropskému parlamentu a Radě. </w:t>
            </w:r>
            <w:r>
              <w:rPr>
                <w:b/>
                <w:i/>
              </w:rPr>
              <w:t>Ke zprávě se případně připojí návrh na změnu této směrnice.</w:t>
            </w:r>
          </w:p>
        </w:tc>
        <w:tc>
          <w:tcPr>
            <w:tcW w:w="4876" w:type="dxa"/>
            <w:tcBorders>
              <w:top w:val="nil"/>
              <w:left w:val="nil"/>
              <w:bottom w:val="nil"/>
              <w:right w:val="nil"/>
            </w:tcBorders>
          </w:tcPr>
          <w:p>
            <w:pPr>
              <w:pStyle w:val="Normal6a"/>
            </w:pPr>
            <w:r>
              <w:t>1.</w:t>
            </w:r>
            <w:r>
              <w:tab/>
            </w:r>
            <w:r>
              <w:t>Pět let po zahájení uplatňování této směrnice Komise přezkoumá a vyhodnotí její fungování a podá o tom zprávu Evropskému parlamentu a Radě.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429</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Pět let</w:t>
            </w:r>
            <w:r>
              <w:t xml:space="preserve"> po zahájení uplatňování této směrnice Komise přezkoumá a vyhodnotí její fungování a podá o tom zprávu Evropskému parlamentu a Radě. Ke zprávě se případně připojí návrh na změnu této směrnice.</w:t>
            </w:r>
          </w:p>
        </w:tc>
        <w:tc>
          <w:tcPr>
            <w:tcW w:w="4876" w:type="dxa"/>
            <w:tcBorders>
              <w:top w:val="nil"/>
              <w:left w:val="nil"/>
              <w:bottom w:val="nil"/>
              <w:right w:val="nil"/>
            </w:tcBorders>
          </w:tcPr>
          <w:p>
            <w:pPr>
              <w:pStyle w:val="Normal6a"/>
            </w:pPr>
            <w:r>
              <w:t>1.</w:t>
            </w:r>
            <w:r>
              <w:tab/>
            </w:r>
            <w:r>
              <w:rPr>
                <w:b/>
                <w:i/>
              </w:rPr>
              <w:t>Čtyři roky</w:t>
            </w:r>
            <w:r>
              <w:t xml:space="preserve"> po zahájení uplatňování této směrnice Komise přezkoumá a vyhodnotí její fungování a podá o tom zprávu Evropskému parlamentu a Radě. Ke zprávě se případně připojí návrh na změnu této směrnice.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Dva roky po vstupu této směrnice v platnost zveřejní Komise komplexní posouzení dopadů, v němž vyhodnotí, jak směrnice plní své cíle a jak je v souladu s mezinárodními jednáními o daňových pravidlech.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430</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Pět let po zahájení uplatňování této směrnice Komise přezkoumá a vyhodnotí její fungování a podá o tom zprávu Evropskému parlamentu a Radě. Ke zprávě se případně připojí návrh na změnu této směrnice.</w:t>
            </w:r>
          </w:p>
        </w:tc>
        <w:tc>
          <w:tcPr>
            <w:tcW w:w="4876" w:type="dxa"/>
            <w:tcBorders>
              <w:top w:val="nil"/>
              <w:left w:val="nil"/>
              <w:bottom w:val="nil"/>
              <w:right w:val="nil"/>
            </w:tcBorders>
          </w:tcPr>
          <w:p>
            <w:pPr>
              <w:pStyle w:val="Normal6a"/>
            </w:pPr>
            <w:r>
              <w:t>1.</w:t>
            </w:r>
            <w:r>
              <w:tab/>
            </w:r>
            <w:r>
              <w:t xml:space="preserve">Pět let po zahájení uplatňování této směrnice Komise přezkoumá a vyhodnotí její fungování a podá o tom zprávu Evropskému parlamentu a Radě. Ke zprávě se případně připojí návrh na změnu této směrnice. </w:t>
            </w:r>
            <w:r>
              <w:rPr>
                <w:b/>
                <w:i/>
              </w:rPr>
              <w:t>Tento přezkum zahrnuje posouzení dopadu rozdělení základu daně na příjmy členských států a vývoje nákladů na dodržování předpisů pro společnosti, na něž se směrnice vztahuje.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431</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Osm let poté, co se tato směrnice začne uplatňovat, posoudí Komise dopad zavedení tohoto systému jako povinného pro všechny společnosti s přeshraniční činností a případně předloží legislativní návrh na odpovídající změnu této směrnice.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432</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Členské státy sdělí Komisi informace s významem pro hodnocení</w:t>
            </w:r>
            <w:r>
              <w:t xml:space="preserve"> směrnice v </w:t>
            </w:r>
            <w:r>
              <w:rPr>
                <w:b/>
                <w:i/>
              </w:rPr>
              <w:t>souladu s odstavcem 3, včetně souhrnných údajů o členech skupiny BEFIT, kteří jsou daňovými rezidenty v jejich jurisdikci, a o jejich stálých provozovnách působících v jejich jurisdikci, aby bylo možné řádně posoudit dopad přechodného pravidla pro přidělování a směrnice (EU) 2022/2523 a rovněž vyhodnotit situaci týkající se prvního pilíře podle prohlášení o dvoupilířovém řešení pro řešení výzev v oblasti zdanění vyplývajících z digitalizace ekonomiky, které bylo dohodnuto inkluzivním rámcem OECD/G20 pro řešení eroze základu daně a přesouvání zisku dne 8</w:t>
            </w:r>
            <w:r>
              <w:t xml:space="preserve">. </w:t>
            </w:r>
            <w:r>
              <w:rPr>
                <w:b/>
                <w:i/>
              </w:rPr>
              <w:t>října 2021.</w:t>
            </w:r>
          </w:p>
        </w:tc>
        <w:tc>
          <w:tcPr>
            <w:tcW w:w="4876" w:type="dxa"/>
            <w:tcBorders>
              <w:top w:val="nil"/>
              <w:left w:val="nil"/>
              <w:bottom w:val="nil"/>
              <w:right w:val="nil"/>
            </w:tcBorders>
          </w:tcPr>
          <w:p>
            <w:pPr>
              <w:pStyle w:val="Normal6a"/>
            </w:pPr>
            <w:r>
              <w:t>2.</w:t>
            </w:r>
            <w:r>
              <w:tab/>
            </w:r>
            <w:r>
              <w:rPr>
                <w:b/>
                <w:i/>
              </w:rPr>
              <w:t>Komise předloží Evropskému parlamentu a Radě podrobnou zprávu nejpozději do 1. ledna 2027.</w:t>
            </w:r>
            <w:r>
              <w:t xml:space="preserve"> </w:t>
            </w:r>
            <w:r>
              <w:rPr>
                <w:b/>
                <w:i/>
              </w:rPr>
              <w:t>V této zprávě se posoudí, zda je vhodné přistoupit k provádění této směrnice, nebo zda by měl být návrh stažen nebo podstatně revidován s ohledem na mezinárodní vývoj v oblasti daní.</w:t>
            </w:r>
            <w:r>
              <w:t xml:space="preserve"> </w:t>
            </w:r>
            <w:r>
              <w:rPr>
                <w:b/>
                <w:i/>
              </w:rPr>
              <w:t>K témuž datu 1. ledna 2027 Komise případně předloží Evropskému parlamentu a Radě legislativní návrh na změnu vstupu této</w:t>
            </w:r>
            <w:r>
              <w:t xml:space="preserve"> směrnice v </w:t>
            </w:r>
            <w:r>
              <w:rPr>
                <w:b/>
                <w:i/>
              </w:rPr>
              <w:t>platnost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433</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Členské státy sdělí Komisi </w:t>
            </w:r>
            <w:r>
              <w:rPr>
                <w:b/>
                <w:i/>
              </w:rPr>
              <w:t>informace</w:t>
            </w:r>
            <w:r>
              <w:t xml:space="preserve"> s významem pro hodnocení směrnice v souladu s odstavcem 3, včetně souhrnných údajů o členech skupiny BEFIT, kteří jsou daňovými rezidenty v jejich jurisdikci, a </w:t>
            </w:r>
            <w:r>
              <w:rPr>
                <w:b/>
                <w:i/>
              </w:rPr>
              <w:t>o jejich</w:t>
            </w:r>
            <w:r>
              <w:t xml:space="preserve"> stálých provozovnách </w:t>
            </w:r>
            <w:r>
              <w:rPr>
                <w:b/>
                <w:i/>
              </w:rPr>
              <w:t>působících</w:t>
            </w:r>
            <w:r>
              <w:t xml:space="preserve"> v jejich jurisdikci, </w:t>
            </w:r>
            <w:r>
              <w:rPr>
                <w:b/>
                <w:i/>
              </w:rPr>
              <w:t>aby bylo možné</w:t>
            </w:r>
            <w:r>
              <w:t xml:space="preserve"> řádně posoudit dopad </w:t>
            </w:r>
            <w:r>
              <w:rPr>
                <w:b/>
                <w:i/>
              </w:rPr>
              <w:t>přechodného</w:t>
            </w:r>
            <w:r>
              <w:t xml:space="preserve"> pravidla pro </w:t>
            </w:r>
            <w:r>
              <w:rPr>
                <w:b/>
                <w:i/>
              </w:rPr>
              <w:t>přidělování</w:t>
            </w:r>
            <w:r>
              <w:t xml:space="preserve"> a směrnice (EU) 2022/2523 a </w:t>
            </w:r>
            <w:r>
              <w:rPr>
                <w:b/>
                <w:i/>
              </w:rPr>
              <w:t>rovněž</w:t>
            </w:r>
            <w:r>
              <w:t xml:space="preserve"> vyhodnotit situaci týkající se prvního pilíře podle prohlášení o dvoupilířovém řešení pro řešení výzev v oblasti zdanění vyplývajících z digitalizace ekonomiky, které bylo dohodnuto inkluzivním rámcem OECD/G20 pro řešení eroze základu daně a přesouvání zisku dne 8. října 2021.</w:t>
            </w:r>
          </w:p>
        </w:tc>
        <w:tc>
          <w:tcPr>
            <w:tcW w:w="4876" w:type="dxa"/>
            <w:tcBorders>
              <w:top w:val="nil"/>
              <w:left w:val="nil"/>
              <w:bottom w:val="nil"/>
              <w:right w:val="nil"/>
            </w:tcBorders>
          </w:tcPr>
          <w:p>
            <w:pPr>
              <w:pStyle w:val="Normal6a"/>
            </w:pPr>
            <w:r>
              <w:t>2.</w:t>
            </w:r>
            <w:r>
              <w:tab/>
            </w:r>
            <w:r>
              <w:t xml:space="preserve">Členské státy sdělí Komisi </w:t>
            </w:r>
            <w:r>
              <w:rPr>
                <w:b/>
                <w:i/>
              </w:rPr>
              <w:t>a Evropskému parlamentuinformace</w:t>
            </w:r>
            <w:r>
              <w:t xml:space="preserve"> s významem pro hodnocení směrnice v souladu s odstavcem 3, včetně souhrnných údajů o členech skupiny BEFIT, kteří jsou daňovými rezidenty v jejich jurisdikci, a stálých provozovnách</w:t>
            </w:r>
            <w:r>
              <w:rPr>
                <w:b/>
                <w:i/>
              </w:rPr>
              <w:t>, které působí</w:t>
            </w:r>
            <w:r>
              <w:t xml:space="preserve"> v jejich jurisdikci, </w:t>
            </w:r>
            <w:r>
              <w:rPr>
                <w:b/>
                <w:i/>
              </w:rPr>
              <w:t>s cílem</w:t>
            </w:r>
            <w:r>
              <w:t xml:space="preserve"> řádně posoudit dopad pravidla pro </w:t>
            </w:r>
            <w:r>
              <w:rPr>
                <w:b/>
                <w:i/>
              </w:rPr>
              <w:t>rozdělení přechodu</w:t>
            </w:r>
            <w:r>
              <w:t xml:space="preserve"> a směrnice (EU) 2022/2523 a </w:t>
            </w:r>
            <w:r>
              <w:rPr>
                <w:b/>
                <w:i/>
              </w:rPr>
              <w:t>předložit posouzení dodatečných nákladů, které vznikly společnostem spadajícím do působnosti obou směrnic, a dále</w:t>
            </w:r>
            <w:r>
              <w:t xml:space="preserve"> vyhodnotit situaci týkající se prvního pilíře podle prohlášení o dvoupilířovém řešení pro řešení výzev v oblasti zdanění vyplývajících z digitalizace ekonomiky, které bylo dohodnuto inkluzivním rámcem OECD/G20 pro řešení eroze základu daně a přesouvání zisku dne 8. října 2021.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434</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Členské státy sdělí Komisi informace s významem pro hodnocení směrnice v souladu s odstavcem 3, včetně souhrnných údajů o členech skupiny BEFIT, kteří jsou daňovými rezidenty v jejich jurisdikci, a o jejich stálých provozovnách působících v jejich jurisdikci, aby bylo možné řádně posoudit dopad </w:t>
            </w:r>
            <w:r>
              <w:rPr>
                <w:b/>
                <w:i/>
              </w:rPr>
              <w:t>přechodného pravidla pro přidělování a</w:t>
            </w:r>
            <w:r>
              <w:t xml:space="preserve"> směrnice (EU) 2022/2523 a rovněž vyhodnotit situaci týkající se prvního pilíře podle prohlášení o dvoupilířovém řešení pro řešení výzev v oblasti zdanění vyplývajících z digitalizace ekonomiky, které bylo dohodnuto inkluzivním rámcem OECD/G20 pro řešení eroze základu daně a přesouvání zisku dne 8. října 2021.</w:t>
            </w:r>
          </w:p>
        </w:tc>
        <w:tc>
          <w:tcPr>
            <w:tcW w:w="4876" w:type="dxa"/>
            <w:tcBorders>
              <w:top w:val="nil"/>
              <w:left w:val="nil"/>
              <w:bottom w:val="nil"/>
              <w:right w:val="nil"/>
            </w:tcBorders>
          </w:tcPr>
          <w:p>
            <w:pPr>
              <w:pStyle w:val="Normal6a"/>
            </w:pPr>
            <w:r>
              <w:t>2.</w:t>
            </w:r>
            <w:r>
              <w:tab/>
            </w:r>
            <w:r>
              <w:t>Členské státy sdělí Komisi informace s významem pro hodnocení směrnice v souladu s odstavcem 3, včetně souhrnných údajů o členech skupiny BEFIT, kteří jsou daňovými rezidenty v jejich jurisdikci, a o jejich stálých provozovnách působících v jejich jurisdikci, aby bylo možné řádně posoudit dopad směrnice (EU) 2022/2523 a rovněž vyhodnotit situaci týkající se prvního pilíře podle prohlášení o dvoupilířovém řešení pro řešení výzev v oblasti zdanění vyplývajících z digitalizace ekonomiky, které bylo dohodnuto inkluzivním rámcem OECD/G20 pro řešení eroze základu daně a přesouvání zisku dne 8. října 2021.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435</w:t>
      </w:r>
      <w:r>
        <w:rPr>
          <w:rStyle w:val="HideTWBExt"/>
        </w:rPr>
        <w:t>&lt;/NumAm&gt;</w:t>
      </w:r>
    </w:p>
    <w:p>
      <w:pPr>
        <w:pStyle w:val="NormalBold"/>
      </w:pPr>
      <w:r>
        <w:rPr>
          <w:rStyle w:val="HideTWBExt"/>
          <w:b w:val="0"/>
        </w:rPr>
        <w:t>&lt;RepeatBlock-By&gt;</w:t>
      </w:r>
      <w:r>
        <w:rPr>
          <w:rStyle w:val="HideTWBExt"/>
          <w:b w:val="0"/>
        </w:rPr>
        <w:t>&lt;Members&gt;</w:t>
      </w:r>
      <w:r>
        <w:t>Rasmus Andresen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Členské státy sdělí Komisi informace s významem pro hodnocení směrnice v souladu s odstavcem 3, včetně souhrnných údajů o členech skupiny BEFIT, kteří jsou daňovými rezidenty v jejich jurisdikci, a o jejich stálých provozovnách působících v jejich jurisdikci, aby bylo možné řádně posoudit dopad </w:t>
            </w:r>
            <w:r>
              <w:rPr>
                <w:b/>
                <w:i/>
              </w:rPr>
              <w:t>přechodného pravidla pro přidělování a</w:t>
            </w:r>
            <w:r>
              <w:t xml:space="preserve"> směrnice (EU) 2022/2523 a rovněž vyhodnotit situaci týkající se prvního pilíře podle prohlášení o dvoupilířovém řešení pro řešení výzev v oblasti zdanění vyplývajících z digitalizace ekonomiky, které bylo dohodnuto inkluzivním rámcem OECD/G20 pro řešení eroze základu daně a přesouvání zisku dne 8. října 2021.</w:t>
            </w:r>
          </w:p>
        </w:tc>
        <w:tc>
          <w:tcPr>
            <w:tcW w:w="4876" w:type="dxa"/>
            <w:tcBorders>
              <w:top w:val="nil"/>
              <w:left w:val="nil"/>
              <w:bottom w:val="nil"/>
              <w:right w:val="nil"/>
            </w:tcBorders>
          </w:tcPr>
          <w:p>
            <w:pPr>
              <w:pStyle w:val="Normal6a"/>
            </w:pPr>
            <w:r>
              <w:t>2.</w:t>
            </w:r>
            <w:r>
              <w:tab/>
            </w:r>
            <w:r>
              <w:t>Členské státy sdělí Komisi informace s významem pro hodnocení směrnice v souladu s odstavcem 3, včetně souhrnných údajů o členech skupiny BEFIT, kteří jsou daňovými rezidenty v jejich jurisdikci, a o jejich stálých provozovnách působících v jejich jurisdikci, aby bylo možné řádně posoudit dopad směrnice (EU) 2022/2523 a rovněž vyhodnotit situaci týkající se prvního pilíře podle prohlášení o dvoupilířovém řešení pro řešení výzev v oblasti zdanění vyplývajících z digitalizace ekonomiky, které bylo dohodnuto inkluzivním rámcem OECD/G20 pro řešení eroze základu daně a přesouvání zisku dne 8. října 2021.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436</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Členské státy sdělí Komisi informace s významem pro hodnocení směrnice v souladu s odstavcem 3, včetně souhrnných údajů o členech skupiny BEFIT, kteří jsou daňovými rezidenty v jejich jurisdikci, a o jejich stálých provozovnách působících v jejich jurisdikci, aby bylo možné řádně posoudit dopad přechodného pravidla pro přidělování a směrnice (EU) 2022/2523 a rovněž vyhodnotit situaci týkající se prvního pilíře podle prohlášení o dvoupilířovém řešení pro řešení výzev v oblasti zdanění vyplývajících z digitalizace ekonomiky, které bylo dohodnuto inkluzivním rámcem OECD/G20 pro řešení eroze základu daně a přesouvání zisku dne 8. října 2021.</w:t>
            </w:r>
          </w:p>
        </w:tc>
        <w:tc>
          <w:tcPr>
            <w:tcW w:w="4876" w:type="dxa"/>
            <w:tcBorders>
              <w:top w:val="nil"/>
              <w:left w:val="nil"/>
              <w:bottom w:val="nil"/>
              <w:right w:val="nil"/>
            </w:tcBorders>
          </w:tcPr>
          <w:p>
            <w:pPr>
              <w:pStyle w:val="Normal6a"/>
            </w:pPr>
            <w:r>
              <w:t>2.</w:t>
            </w:r>
            <w:r>
              <w:tab/>
            </w:r>
            <w:r>
              <w:t xml:space="preserve">Členské státy sdělí Komisi </w:t>
            </w:r>
            <w:r>
              <w:rPr>
                <w:b/>
                <w:i/>
              </w:rPr>
              <w:t>a Evropskému parlamentu</w:t>
            </w:r>
            <w:r>
              <w:t xml:space="preserve"> informace s významem pro hodnocení směrnice v souladu s odstavcem 3, včetně souhrnných údajů o členech skupiny BEFIT, kteří jsou daňovými rezidenty v jejich jurisdikci, a o jejich stálých provozovnách působících v jejich jurisdikci, aby bylo možné řádně posoudit dopad přechodného pravidla pro přidělování a směrnice (EU) 2022/2523 a rovněž vyhodnotit situaci týkající se prvního pilíře podle prohlášení o dvoupilířovém řešení pro řešení výzev v oblasti zdanění vyplývajících z digitalizace ekonomiky, které bylo dohodnuto inkluzivním rámcem OECD/G20 pro řešení eroze základu daně a přesouvání zisku dne 8. října 2021.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437</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Komise prostřednictvím prováděcích aktů upřesní informace, které mají</w:t>
            </w:r>
            <w:r>
              <w:t xml:space="preserve"> členské státy </w:t>
            </w:r>
            <w:r>
              <w:rPr>
                <w:b/>
                <w:i/>
              </w:rPr>
              <w:t>poskytovat pro účely hodnocení fungování</w:t>
            </w:r>
            <w:r>
              <w:t xml:space="preserve"> této směrnice</w:t>
            </w:r>
            <w:r>
              <w:rPr>
                <w:b/>
                <w:i/>
              </w:rPr>
              <w:t>, jak je uvedeno v odstavci 2, jakož i formát a podmínky pro předávání těchto informací</w:t>
            </w:r>
            <w:r>
              <w:t>.</w:t>
            </w:r>
          </w:p>
        </w:tc>
        <w:tc>
          <w:tcPr>
            <w:tcW w:w="4876" w:type="dxa"/>
            <w:tcBorders>
              <w:top w:val="nil"/>
              <w:left w:val="nil"/>
              <w:bottom w:val="nil"/>
              <w:right w:val="nil"/>
            </w:tcBorders>
          </w:tcPr>
          <w:p>
            <w:pPr>
              <w:pStyle w:val="Normal6a"/>
            </w:pPr>
            <w:r>
              <w:t>3.</w:t>
            </w:r>
            <w:r>
              <w:tab/>
            </w:r>
            <w:r>
              <w:rPr>
                <w:b/>
                <w:i/>
              </w:rPr>
              <w:t>Dokud nebude přezkum uvedený v odstavci 2 dokončen a Rada po konzultaci s Evropským parlamentem nepřijme formální rozhodnutí o tom, zda postupovat, nepřijmou</w:t>
            </w:r>
            <w:r>
              <w:t xml:space="preserve"> členské státy </w:t>
            </w:r>
            <w:r>
              <w:rPr>
                <w:b/>
                <w:i/>
              </w:rPr>
              <w:t>žádné další legislativní, správní nebo prováděcí kroky podle</w:t>
            </w:r>
            <w:r>
              <w:t xml:space="preserve"> této směrnice.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438</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Komise nakládá s informacemi, které jí jsou poskytnuty podle odstavce 2, jako s důvěrnými v souladu s předpisy platnými pro orgány Unie a s článkem 76 této směrnice.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439</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77 – odst.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Informace, které Komisi poskytl některý členský stát podle odstavce 2, a veškeré zprávy či dokumenty vypracované Komisí na jejich základě mohou být předány jiným členským státům.</w:t>
            </w:r>
            <w:r>
              <w:t xml:space="preserve"> </w:t>
            </w:r>
            <w:r>
              <w:rPr>
                <w:b/>
                <w:i/>
              </w:rPr>
              <w:t>Tyto předané informace podléhají úřednímu tajemství, jak je pro podobné informace stanoveno ve vnitrostátních právních předpisech členského státu (členských států), který je obdržel.</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440</w:t>
      </w:r>
      <w:r>
        <w:rPr>
          <w:rStyle w:val="HideTWBExt"/>
        </w:rPr>
        <w:t>&lt;/NumAm&gt;</w:t>
      </w:r>
    </w:p>
    <w:p>
      <w:pPr>
        <w:pStyle w:val="NormalBold"/>
      </w:pPr>
      <w:r>
        <w:rPr>
          <w:rStyle w:val="HideTWBExt"/>
          <w:b w:val="0"/>
        </w:rPr>
        <w:t>&lt;RepeatBlock-By&gt;</w:t>
      </w:r>
      <w:r>
        <w:rPr>
          <w:rStyle w:val="HideTWBExt"/>
          <w:b w:val="0"/>
        </w:rPr>
        <w:t>&lt;Members&gt;</w:t>
      </w:r>
      <w:r>
        <w:t>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Článek 77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Článek 77a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Příjmový příspěvek BEFIT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 souladu s právně závazným plánem pro nové vlastní zdroje stanoveným v interinstitucionální dohodě ze dne 16. prosince 2020</w:t>
            </w:r>
            <w:r>
              <w:rPr>
                <w:b/>
                <w:i/>
                <w:vertAlign w:val="superscript"/>
              </w:rPr>
              <w:t>1a</w:t>
            </w:r>
            <w:r>
              <w:t xml:space="preserve"> </w:t>
            </w:r>
            <w:r>
              <w:rPr>
                <w:b/>
                <w:i/>
              </w:rPr>
              <w:t>a ve sdělení Komise z roku 2021 „Upravený balíček pro novou generaci vlastních zdrojů“ může být část příjmů získaných uplatňováním této směrnice přidělena do souhrnného rozpočtu Unie v souladu s platnými postupy podle rozhodnutí o vlastních zdrojích.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Interinstitucionální dohoda mezi Evropským parlamentem, Radou Evropské unie a Evropskou komisí o rozpočtové kázni, spolupráci v rozpočtových záležitostech a řádném finančním řízení, jakož i o nových vlastních zdrojích, včetně plánu zavádění nových vlastních zdrojů (Úř. věst. L, 433I, 22.12.2020, s. 28-46).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441</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78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Provedení ve vnitrostátním právu</w:t>
            </w:r>
          </w:p>
        </w:tc>
        <w:tc>
          <w:tcPr>
            <w:tcW w:w="4876" w:type="dxa"/>
            <w:tcBorders>
              <w:top w:val="nil"/>
              <w:left w:val="nil"/>
              <w:bottom w:val="nil"/>
              <w:right w:val="nil"/>
            </w:tcBorders>
          </w:tcPr>
          <w:p>
            <w:pPr>
              <w:pStyle w:val="Normal6a"/>
            </w:pPr>
            <w:r>
              <w:rPr>
                <w:b/>
                <w:i/>
              </w:rPr>
              <w:t>Pozastavení</w:t>
            </w:r>
            <w:r>
              <w:t xml:space="preserve"> provedení ve vnitrostátním právu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442</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Členské státy </w:t>
            </w:r>
            <w:r>
              <w:rPr>
                <w:b/>
                <w:i/>
              </w:rPr>
              <w:t>přijmou a zveřejní právní a správní předpisy nezbytné pro dosažení souladu s touto směrnicí nejpozději do 1. ledna 2028.</w:t>
            </w:r>
            <w:r>
              <w:t xml:space="preserve"> </w:t>
            </w:r>
            <w:r>
              <w:rPr>
                <w:b/>
                <w:i/>
              </w:rPr>
              <w:t>Neprodleně sdělí Komisi znění těchto ustanovení</w:t>
            </w:r>
            <w:r>
              <w:t>.</w:t>
            </w:r>
          </w:p>
        </w:tc>
        <w:tc>
          <w:tcPr>
            <w:tcW w:w="4876" w:type="dxa"/>
            <w:tcBorders>
              <w:top w:val="nil"/>
              <w:left w:val="nil"/>
              <w:bottom w:val="nil"/>
              <w:right w:val="nil"/>
            </w:tcBorders>
          </w:tcPr>
          <w:p>
            <w:pPr>
              <w:pStyle w:val="Normal6a"/>
            </w:pPr>
            <w:r>
              <w:t>1.</w:t>
            </w:r>
            <w:r>
              <w:tab/>
            </w:r>
            <w:r>
              <w:rPr>
                <w:b/>
                <w:i/>
              </w:rPr>
              <w:t>Odchylně od původního harmonogramu</w:t>
            </w:r>
            <w:r>
              <w:t xml:space="preserve"> členské státy </w:t>
            </w:r>
            <w:r>
              <w:rPr>
                <w:b/>
                <w:i/>
              </w:rPr>
              <w:t>tuto směrnici neprovedou, dokud nebude pozastavení podle čl. 77 odst. 1 zrušeno formálním legislativním aktem Rady po konzultaci s Evropským parlamentem poté, co Komise posoudí význam a proveditelnost směrnice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443</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Členské státy přijmou a zveřejní právní a správní předpisy nezbytné pro dosažení souladu s touto směrnicí nejpozději do 1. ledna </w:t>
            </w:r>
            <w:r>
              <w:rPr>
                <w:b/>
                <w:i/>
              </w:rPr>
              <w:t>2028</w:t>
            </w:r>
            <w:r>
              <w:t>. Neprodleně sdělí Komisi znění těchto ustanovení.</w:t>
            </w:r>
          </w:p>
        </w:tc>
        <w:tc>
          <w:tcPr>
            <w:tcW w:w="4876" w:type="dxa"/>
            <w:tcBorders>
              <w:top w:val="nil"/>
              <w:left w:val="nil"/>
              <w:bottom w:val="nil"/>
              <w:right w:val="nil"/>
            </w:tcBorders>
          </w:tcPr>
          <w:p>
            <w:pPr>
              <w:pStyle w:val="Normal6a"/>
            </w:pPr>
            <w:r>
              <w:t>1.</w:t>
            </w:r>
            <w:r>
              <w:tab/>
            </w:r>
            <w:r>
              <w:t xml:space="preserve">Členské státy přijmou a zveřejní právní a správní předpisy nezbytné pro dosažení souladu s touto směrnicí nejpozději do 1. ledna </w:t>
            </w:r>
            <w:r>
              <w:rPr>
                <w:b/>
                <w:i/>
              </w:rPr>
              <w:t>2030</w:t>
            </w:r>
            <w:r>
              <w:t>. Neprodleně sdělí Komisi znění těchto ustanovení.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444</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78 – odst.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Členské státy přijmou a zveřejní právní a správní předpisy nezbytné pro dosažení souladu s touto směrnicí nejpozději do 1. ledna </w:t>
            </w:r>
            <w:r>
              <w:rPr>
                <w:b/>
                <w:i/>
              </w:rPr>
              <w:t>2028</w:t>
            </w:r>
            <w:r>
              <w:t>. Neprodleně sdělí Komisi znění těchto ustanovení.</w:t>
            </w:r>
          </w:p>
        </w:tc>
        <w:tc>
          <w:tcPr>
            <w:tcW w:w="4876" w:type="dxa"/>
            <w:tcBorders>
              <w:top w:val="nil"/>
              <w:left w:val="nil"/>
              <w:bottom w:val="nil"/>
              <w:right w:val="nil"/>
            </w:tcBorders>
          </w:tcPr>
          <w:p>
            <w:pPr>
              <w:pStyle w:val="Normal6a"/>
            </w:pPr>
            <w:r>
              <w:t>1.</w:t>
            </w:r>
            <w:r>
              <w:tab/>
            </w:r>
            <w:r>
              <w:t xml:space="preserve">Členské státy přijmou a zveřejní právní a správní předpisy nezbytné pro dosažení souladu s touto směrnicí nejpozději do 1. ledna </w:t>
            </w:r>
            <w:r>
              <w:rPr>
                <w:b/>
                <w:i/>
              </w:rPr>
              <w:t>2027</w:t>
            </w:r>
            <w:r>
              <w:t>. Neprodleně sdělí Komisi znění těchto ustanovení.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445</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78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Tato ustanovení použijí od</w:t>
            </w:r>
            <w:r>
              <w:t xml:space="preserve"> 1. července 2028.</w:t>
            </w:r>
          </w:p>
        </w:tc>
        <w:tc>
          <w:tcPr>
            <w:tcW w:w="4876" w:type="dxa"/>
            <w:tcBorders>
              <w:top w:val="nil"/>
              <w:left w:val="nil"/>
              <w:bottom w:val="nil"/>
              <w:right w:val="nil"/>
            </w:tcBorders>
          </w:tcPr>
          <w:p>
            <w:pPr>
              <w:pStyle w:val="Normal6a"/>
            </w:pPr>
            <w:r>
              <w:t>2.</w:t>
            </w:r>
            <w:r>
              <w:tab/>
            </w:r>
            <w:r>
              <w:rPr>
                <w:b/>
                <w:i/>
              </w:rPr>
              <w:t>Původní data provedení ve vnitrostátním právu a data použitelnosti, tj. 1. ledna 2028 a</w:t>
            </w:r>
            <w:r>
              <w:t xml:space="preserve"> 1. července 2028</w:t>
            </w:r>
            <w:r>
              <w:rPr>
                <w:b/>
                <w:i/>
              </w:rPr>
              <w:t>, se pozastavují</w:t>
            </w:r>
            <w:r>
              <w:t xml:space="preserve">. </w:t>
            </w:r>
            <w:r>
              <w:rPr>
                <w:b/>
                <w:i/>
              </w:rPr>
              <w:t>Případná nová data se stanoví na základě výsledku zprávy Komise o opětovném posouzení uvedené v čl. 77 odst.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446</w:t>
      </w:r>
      <w:r>
        <w:rPr>
          <w:rStyle w:val="HideTWBExt"/>
        </w:rPr>
        <w:t>&lt;/NumAm&gt;</w:t>
      </w:r>
    </w:p>
    <w:p>
      <w:pPr>
        <w:pStyle w:val="NormalBold"/>
      </w:pPr>
      <w:r>
        <w:rPr>
          <w:rStyle w:val="HideTWBExt"/>
          <w:b w:val="0"/>
        </w:rPr>
        <w:t>&lt;RepeatBlock-By&gt;</w:t>
      </w:r>
      <w:r>
        <w:rPr>
          <w:rStyle w:val="HideTWBExt"/>
          <w:b w:val="0"/>
        </w:rPr>
        <w:t>&lt;Members&gt;</w:t>
      </w:r>
      <w:r>
        <w:t>Michalis Hadjipantela, 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78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Tato ustanovení použijí od 1. července </w:t>
            </w:r>
            <w:r>
              <w:rPr>
                <w:b/>
                <w:i/>
              </w:rPr>
              <w:t>2028</w:t>
            </w:r>
            <w:r>
              <w:t>.</w:t>
            </w:r>
          </w:p>
        </w:tc>
        <w:tc>
          <w:tcPr>
            <w:tcW w:w="4876" w:type="dxa"/>
            <w:tcBorders>
              <w:top w:val="nil"/>
              <w:left w:val="nil"/>
              <w:bottom w:val="nil"/>
              <w:right w:val="nil"/>
            </w:tcBorders>
          </w:tcPr>
          <w:p>
            <w:pPr>
              <w:pStyle w:val="Normal6a"/>
            </w:pPr>
            <w:r>
              <w:t>2.</w:t>
            </w:r>
            <w:r>
              <w:tab/>
            </w:r>
            <w:r>
              <w:t xml:space="preserve">Tato ustanovení použijí od 1. července </w:t>
            </w:r>
            <w:r>
              <w:rPr>
                <w:b/>
                <w:i/>
              </w:rPr>
              <w:t>2030</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447</w:t>
      </w:r>
      <w:r>
        <w:rPr>
          <w:rStyle w:val="HideTWBExt"/>
        </w:rPr>
        <w:t>&lt;/NumAm&gt;</w:t>
      </w:r>
    </w:p>
    <w:p>
      <w:pPr>
        <w:pStyle w:val="NormalBold"/>
      </w:pPr>
      <w:r>
        <w:rPr>
          <w:rStyle w:val="HideTWBExt"/>
          <w:b w:val="0"/>
        </w:rPr>
        <w:t>&lt;RepeatBlock-By&gt;</w:t>
      </w:r>
      <w:r>
        <w:rPr>
          <w:rStyle w:val="HideTWBExt"/>
          <w:b w:val="0"/>
        </w:rPr>
        <w:t>&lt;Members&gt;</w:t>
      </w:r>
      <w:r>
        <w:t>Manon Aubry</w:t>
      </w:r>
      <w:r>
        <w:rPr>
          <w:rStyle w:val="HideTWBExt"/>
          <w:b w:val="0"/>
        </w:rPr>
        <w:t>&lt;/Members&gt;</w:t>
      </w:r>
    </w:p>
    <w:p>
      <w:r>
        <w:rPr>
          <w:rStyle w:val="HideTWBExt"/>
          <w:b w:val="0"/>
        </w:rPr>
        <w:t>&lt;AuNomDe&gt;</w:t>
      </w:r>
      <w:r>
        <w:rPr>
          <w:rStyle w:val="HideTWBInt"/>
        </w:rPr>
        <w:t>{The Left}</w:t>
      </w:r>
      <w:r>
        <w:t>za skupinu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78 – odst.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Tato ustanovení použijí od 1. července </w:t>
            </w:r>
            <w:r>
              <w:rPr>
                <w:b/>
                <w:i/>
              </w:rPr>
              <w:t>2028</w:t>
            </w:r>
            <w:r>
              <w:t>.</w:t>
            </w:r>
          </w:p>
        </w:tc>
        <w:tc>
          <w:tcPr>
            <w:tcW w:w="4876" w:type="dxa"/>
            <w:tcBorders>
              <w:top w:val="nil"/>
              <w:left w:val="nil"/>
              <w:bottom w:val="nil"/>
              <w:right w:val="nil"/>
            </w:tcBorders>
          </w:tcPr>
          <w:p>
            <w:pPr>
              <w:pStyle w:val="Normal6a"/>
            </w:pPr>
            <w:r>
              <w:t>2.</w:t>
            </w:r>
            <w:r>
              <w:tab/>
            </w:r>
            <w:r>
              <w:t xml:space="preserve">Tato ustanovení použijí od 1. července </w:t>
            </w:r>
            <w:r>
              <w:rPr>
                <w:b/>
                <w:i/>
              </w:rPr>
              <w:t>2027</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448</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78 – odst.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Tyto předpisy přijaté členskými státy obsahují odkaz na tuto směrnici nebo je takový odkaz učiněn při jejich úředním vyhlášení.</w:t>
            </w:r>
            <w:r>
              <w:t xml:space="preserve"> </w:t>
            </w:r>
            <w:r>
              <w:rPr>
                <w:b/>
                <w:i/>
              </w:rPr>
              <w:t>Způsob odkazu si stanoví členské státy.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449</w:t>
      </w:r>
      <w:r>
        <w:rPr>
          <w:rStyle w:val="HideTWBExt"/>
        </w:rPr>
        <w:t>&lt;/NumAm&gt;</w:t>
      </w:r>
    </w:p>
    <w:p>
      <w:pPr>
        <w:pStyle w:val="NormalBold"/>
      </w:pPr>
      <w:r>
        <w:rPr>
          <w:rStyle w:val="HideTWBExt"/>
          <w:b w:val="0"/>
        </w:rPr>
        <w:t>&lt;RepeatBlock-By&gt;</w:t>
      </w:r>
      <w:r>
        <w:rPr>
          <w:rStyle w:val="HideTWBExt"/>
          <w:b w:val="0"/>
        </w:rPr>
        <w:t>&lt;Members&gt;</w:t>
      </w:r>
      <w:r>
        <w:t>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směrnice</w:t>
      </w:r>
      <w:r>
        <w:rPr>
          <w:rStyle w:val="HideTWBExt"/>
        </w:rPr>
        <w:t>&lt;/DocAmend&gt;</w:t>
      </w:r>
    </w:p>
    <w:p>
      <w:pPr>
        <w:pStyle w:val="NormalBold"/>
      </w:pPr>
      <w:r>
        <w:rPr>
          <w:rStyle w:val="HideTWBExt"/>
        </w:rPr>
        <w:t>&lt;Article&gt;</w:t>
      </w:r>
      <w:r>
        <w:t>Čl. 78 – odst.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Znění navržené Komisí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Po vstupu této směrnice v platnost uvědomí členské státy Komisi včas o všech návrzích právních nebo správních předpisů, které hodlají přijmout v oblasti působnosti této směrnice, aby se k nim Komise mohla vyjádřit.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774.491</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202</w:t>
    </w:r>
    <w:r>
      <w:fldChar w:fldCharType="end"/>
    </w:r>
    <w:r>
      <w:t>/</w:t>
    </w:r>
    <w:r>
      <w:fldChar w:fldCharType="begin"/>
    </w:r>
    <w:r>
      <w:instrText xml:space="preserve"> NUMPAGES </w:instrText>
    </w:r>
    <w:r>
      <w:fldChar w:fldCharType="separate"/>
    </w:r>
    <w:r>
      <w:t>203</w:t>
    </w:r>
    <w:r>
      <w:fldChar w:fldCharType="end"/>
    </w:r>
    <w:r>
      <w:tab/>
    </w:r>
    <w:r>
      <w:rPr>
        <w:rStyle w:val="HideTWBExt"/>
      </w:rPr>
      <w:t>&lt;PathFdR&gt;</w:t>
    </w:r>
    <w:r>
      <w:t>AM\1323141CS.docx</w:t>
    </w:r>
    <w:r>
      <w:rPr>
        <w:rStyle w:val="HideTWBExt"/>
      </w:rPr>
      <w:t>&lt;/PathFdR&gt;</w:t>
    </w:r>
  </w:p>
  <w:p>
    <w:pPr>
      <w:pStyle w:val="EPFooter2"/>
    </w:pPr>
    <w:r>
      <w:t>CS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AM\1323141CS.docx</w:t>
    </w:r>
    <w:r>
      <w:rPr>
        <w:rStyle w:val="HideTWBExt"/>
      </w:rPr>
      <w:t>&lt;/PathFdR&gt;</w:t>
    </w:r>
    <w:r>
      <w:tab/>
    </w:r>
    <w:r>
      <w:fldChar w:fldCharType="begin"/>
    </w:r>
    <w:r>
      <w:instrText xml:space="preserve"> PAGE </w:instrText>
    </w:r>
    <w:r>
      <w:fldChar w:fldCharType="separate"/>
    </w:r>
    <w:r>
      <w:t>203</w:t>
    </w:r>
    <w:r>
      <w:fldChar w:fldCharType="end"/>
    </w:r>
    <w:r>
      <w:t>/</w:t>
    </w:r>
    <w:r>
      <w:fldChar w:fldCharType="begin"/>
    </w:r>
    <w:r>
      <w:instrText xml:space="preserve"> NUMPAGES </w:instrText>
    </w:r>
    <w:r>
      <w:fldChar w:fldCharType="separate"/>
    </w:r>
    <w:r>
      <w:t>203</w:t>
    </w:r>
    <w:r>
      <w:fldChar w:fldCharType="end"/>
    </w:r>
    <w:r>
      <w:tab/>
    </w:r>
    <w:r>
      <w:t>PE</w:t>
    </w:r>
    <w:r>
      <w:rPr>
        <w:rStyle w:val="HideTWBExt"/>
      </w:rPr>
      <w:t>&lt;NoPE&gt;</w:t>
    </w:r>
    <w:r>
      <w:t>774.491</w:t>
    </w:r>
    <w:r>
      <w:rPr>
        <w:rStyle w:val="HideTWBExt"/>
      </w:rPr>
      <w:t>&lt;/NoPE&gt;</w:t>
    </w:r>
    <w:r>
      <w:rPr>
        <w:rStyle w:val="HideTWBExt"/>
      </w:rPr>
      <w:t>&lt;Version&gt;</w:t>
    </w:r>
    <w:r>
      <w:t>v01-00</w:t>
    </w:r>
    <w:r>
      <w:rPr>
        <w:rStyle w:val="HideTWBExt"/>
      </w:rPr>
      <w:t>&lt;/Version&gt;</w:t>
    </w:r>
  </w:p>
  <w:p>
    <w:pPr>
      <w:pStyle w:val="EPFooter2"/>
    </w:pPr>
    <w:r>
      <w:tab/>
    </w:r>
    <w:r>
      <w:tab/>
    </w:r>
    <w:r>
      <w:t>CS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AM\1323141CS.docx</w:t>
    </w:r>
    <w:r>
      <w:rPr>
        <w:rStyle w:val="HideTWBExt"/>
      </w:rPr>
      <w:t>&lt;/PathFdR&gt;</w:t>
    </w:r>
    <w:r>
      <w:tab/>
    </w:r>
    <w:r>
      <w:tab/>
    </w:r>
    <w:r>
      <w:t>PE</w:t>
    </w:r>
    <w:r>
      <w:rPr>
        <w:rStyle w:val="HideTWBExt"/>
      </w:rPr>
      <w:t>&lt;NoPE&gt;</w:t>
    </w:r>
    <w:r>
      <w:t>774.491</w:t>
    </w:r>
    <w:r>
      <w:rPr>
        <w:rStyle w:val="HideTWBExt"/>
      </w:rPr>
      <w:t>&lt;/NoPE&gt;</w:t>
    </w:r>
    <w:r>
      <w:rPr>
        <w:rStyle w:val="HideTWBExt"/>
      </w:rPr>
      <w:t>&lt;Version&gt;</w:t>
    </w:r>
    <w:r>
      <w:t>v01-00</w:t>
    </w:r>
    <w:r>
      <w:rPr>
        <w:rStyle w:val="HideTWBExt"/>
      </w:rPr>
      <w:t>&lt;/Version&gt;</w:t>
    </w:r>
  </w:p>
  <w:p>
    <w:pPr>
      <w:pStyle w:val="EPFooter2"/>
    </w:pPr>
    <w:r>
      <w:t>CS</w:t>
    </w:r>
    <w:r>
      <w:tab/>
    </w:r>
    <w:r>
      <w:rPr>
        <w:rStyle w:val="EPFooter2Motto"/>
      </w:rPr>
      <w:t>Jednotná v rozmanitosti</w:t>
    </w:r>
    <w:r>
      <w:tab/>
    </w:r>
    <w:r>
      <w:t>CS</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203</Pages>
  <Words>47282</Words>
  <Characters>268618</Characters>
  <Application>Microsoft Office Word</Application>
  <DocSecurity>0</DocSecurity>
  <Lines>1</Lines>
  <Paragraphs>3483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1323141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215029</vt:lpwstr>
  </property>
  <property fmtid="{D5CDD505-2E9C-101B-9397-08002B2CF9AE}" pid="7" name="dmxml.render.traceId">
    <vt:lpwstr>68789f750256a28c2c4765ca5a900e6a</vt:lpwstr>
  </property>
  <property fmtid="{D5CDD505-2E9C-101B-9397-08002B2CF9AE}" pid="8" name="FooterPath">
    <vt:lpwstr>AM\1323141CS.docx</vt:lpwstr>
  </property>
  <property fmtid="{D5CDD505-2E9C-101B-9397-08002B2CF9AE}" pid="9" name="PE Number">
    <vt:lpwstr>774.491</vt:lpwstr>
  </property>
  <property fmtid="{D5CDD505-2E9C-101B-9397-08002B2CF9AE}" pid="10" name="UID">
    <vt:lpwstr>eu.europa.europarl-DIN1-2025-0000121627_02.00-cs-01.00_text-xml</vt:lpwstr>
  </property>
</Properties>
</file>