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25C3C" w:rsidRPr="00163620" w:rsidTr="00432CD7">
        <w:trPr>
          <w:trHeight w:hRule="exact" w:val="1418"/>
        </w:trPr>
        <w:tc>
          <w:tcPr>
            <w:tcW w:w="6804" w:type="dxa"/>
            <w:shd w:val="clear" w:color="auto" w:fill="auto"/>
            <w:vAlign w:val="center"/>
          </w:tcPr>
          <w:p w:rsidR="00BE5062" w:rsidRPr="00163620" w:rsidRDefault="00163620" w:rsidP="00432CD7">
            <w:pPr>
              <w:pStyle w:val="EPName"/>
            </w:pPr>
            <w:r w:rsidRPr="00163620">
              <w:t>Europees Parlement</w:t>
            </w:r>
          </w:p>
          <w:p w:rsidR="00BE5062" w:rsidRPr="00163620" w:rsidRDefault="00163620" w:rsidP="007030E5">
            <w:pPr>
              <w:pStyle w:val="EPTerm"/>
            </w:pPr>
            <w:r w:rsidRPr="00163620">
              <w:t>2024-2029</w:t>
            </w:r>
          </w:p>
        </w:tc>
        <w:tc>
          <w:tcPr>
            <w:tcW w:w="2268" w:type="dxa"/>
            <w:shd w:val="clear" w:color="auto" w:fill="auto"/>
          </w:tcPr>
          <w:p w:rsidR="00BE5062" w:rsidRPr="00163620" w:rsidRDefault="00163620" w:rsidP="00432CD7">
            <w:pPr>
              <w:pStyle w:val="EPLogo"/>
            </w:pPr>
            <w:r w:rsidRPr="001636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63620" w:rsidRDefault="000E7234" w:rsidP="000E7234">
      <w:pPr>
        <w:pStyle w:val="LineTop"/>
      </w:pPr>
    </w:p>
    <w:p w:rsidR="000E7234" w:rsidRPr="00163620" w:rsidRDefault="00163620" w:rsidP="000E7234">
      <w:pPr>
        <w:pStyle w:val="EPBody"/>
      </w:pPr>
      <w:r w:rsidRPr="00163620">
        <w:rPr>
          <w:rStyle w:val="HideTWBExt"/>
          <w:i w:val="0"/>
          <w:szCs w:val="20"/>
        </w:rPr>
        <w:t>&lt;Commission&gt;</w:t>
      </w:r>
      <w:r w:rsidRPr="00163620">
        <w:rPr>
          <w:rStyle w:val="HideTWBInt"/>
          <w:i w:val="0"/>
          <w:szCs w:val="20"/>
        </w:rPr>
        <w:t>{ECON}</w:t>
      </w:r>
      <w:r w:rsidRPr="00163620">
        <w:t>Commissie economische en monetaire zaken</w:t>
      </w:r>
      <w:r w:rsidRPr="00163620">
        <w:rPr>
          <w:rStyle w:val="HideTWBExt"/>
          <w:i w:val="0"/>
          <w:szCs w:val="20"/>
        </w:rPr>
        <w:t>&lt;/Commission&gt;</w:t>
      </w:r>
    </w:p>
    <w:p w:rsidR="000E7234" w:rsidRPr="00163620" w:rsidRDefault="000E7234" w:rsidP="000E7234">
      <w:pPr>
        <w:pStyle w:val="LineBottom"/>
      </w:pPr>
    </w:p>
    <w:p w:rsidR="00B85286" w:rsidRPr="00163620" w:rsidRDefault="00163620">
      <w:pPr>
        <w:pStyle w:val="CoverReference"/>
      </w:pPr>
      <w:r w:rsidRPr="00163620">
        <w:rPr>
          <w:rStyle w:val="HideTWBExt"/>
          <w:b w:val="0"/>
        </w:rPr>
        <w:t>&lt;RefProc&gt;</w:t>
      </w:r>
      <w:r w:rsidRPr="00163620">
        <w:t>2021/0213</w:t>
      </w:r>
      <w:r w:rsidRPr="00163620">
        <w:rPr>
          <w:rStyle w:val="HideTWBExt"/>
          <w:b w:val="0"/>
        </w:rPr>
        <w:t>&lt;/RefProc&gt;&lt;RefTypeProc&gt;</w:t>
      </w:r>
      <w:r w:rsidRPr="00163620">
        <w:t>(CNS)</w:t>
      </w:r>
      <w:r w:rsidRPr="00163620">
        <w:rPr>
          <w:rStyle w:val="HideTWBExt"/>
          <w:b w:val="0"/>
        </w:rPr>
        <w:t>&lt;/RefTypeProc&gt;</w:t>
      </w:r>
    </w:p>
    <w:p w:rsidR="00B85286" w:rsidRPr="00163620" w:rsidRDefault="00163620">
      <w:pPr>
        <w:pStyle w:val="CoverDate"/>
      </w:pPr>
      <w:r w:rsidRPr="00163620">
        <w:rPr>
          <w:rStyle w:val="HideTWBExt"/>
        </w:rPr>
        <w:t>&lt;Date&gt;</w:t>
      </w:r>
      <w:r w:rsidRPr="00163620">
        <w:rPr>
          <w:rStyle w:val="HideTWBInt"/>
        </w:rPr>
        <w:t>{23/06/2025}</w:t>
      </w:r>
      <w:r w:rsidRPr="00163620">
        <w:t>23.6.2025</w:t>
      </w:r>
      <w:r w:rsidRPr="00163620">
        <w:rPr>
          <w:rStyle w:val="HideTWBExt"/>
        </w:rPr>
        <w:t>&lt;/Date&gt;</w:t>
      </w:r>
    </w:p>
    <w:p w:rsidR="009B0305" w:rsidRPr="00163620" w:rsidRDefault="00163620" w:rsidP="009B0305">
      <w:pPr>
        <w:pStyle w:val="CoverDocType"/>
      </w:pPr>
      <w:r w:rsidRPr="00163620">
        <w:rPr>
          <w:rStyle w:val="HideTWBExt"/>
          <w:b w:val="0"/>
        </w:rPr>
        <w:t>&lt;TypeAM&gt;</w:t>
      </w:r>
      <w:r w:rsidRPr="00163620">
        <w:t>AMENDEMENTEN</w:t>
      </w:r>
      <w:r w:rsidRPr="00163620">
        <w:rPr>
          <w:rStyle w:val="HideTWBExt"/>
          <w:b w:val="0"/>
        </w:rPr>
        <w:t>&lt;/TypeAM&gt;</w:t>
      </w:r>
    </w:p>
    <w:p w:rsidR="00B85286" w:rsidRPr="00163620" w:rsidRDefault="00163620" w:rsidP="001C2054">
      <w:pPr>
        <w:pStyle w:val="CoverDocType24a"/>
      </w:pPr>
      <w:r w:rsidRPr="00163620">
        <w:rPr>
          <w:rStyle w:val="HideTWBExt"/>
          <w:b w:val="0"/>
        </w:rPr>
        <w:t>&lt;RangeAM&gt;</w:t>
      </w:r>
      <w:r w:rsidRPr="00163620">
        <w:t>102 - 199</w:t>
      </w:r>
      <w:r w:rsidRPr="00163620">
        <w:rPr>
          <w:rStyle w:val="HideTWBExt"/>
          <w:b w:val="0"/>
        </w:rPr>
        <w:t>&lt;/RangeAM&gt;</w:t>
      </w:r>
    </w:p>
    <w:p w:rsidR="001C2054" w:rsidRPr="00163620" w:rsidRDefault="00163620" w:rsidP="00A93F8C">
      <w:pPr>
        <w:pStyle w:val="CoverBold"/>
      </w:pPr>
      <w:r w:rsidRPr="00163620">
        <w:rPr>
          <w:rStyle w:val="HideTWBExt"/>
          <w:b w:val="0"/>
        </w:rPr>
        <w:t>&lt;TitreType&gt;</w:t>
      </w:r>
      <w:r w:rsidRPr="00163620">
        <w:t>Ontwerpverslag</w:t>
      </w:r>
      <w:r w:rsidRPr="00163620">
        <w:rPr>
          <w:rStyle w:val="HideTWBExt"/>
          <w:b w:val="0"/>
        </w:rPr>
        <w:t>&lt;/TitreType&gt;</w:t>
      </w:r>
    </w:p>
    <w:p w:rsidR="00B85286" w:rsidRPr="00163620" w:rsidRDefault="00163620" w:rsidP="00A93F8C">
      <w:pPr>
        <w:pStyle w:val="CoverBold"/>
      </w:pPr>
      <w:r w:rsidRPr="00163620">
        <w:rPr>
          <w:rStyle w:val="HideTWBExt"/>
          <w:b w:val="0"/>
        </w:rPr>
        <w:t>&lt;Rapporteur&gt;</w:t>
      </w:r>
      <w:r w:rsidRPr="00163620">
        <w:t>Johan Van Overtveldt</w:t>
      </w:r>
      <w:r w:rsidRPr="00163620">
        <w:rPr>
          <w:rStyle w:val="HideTWBExt"/>
          <w:b w:val="0"/>
        </w:rPr>
        <w:t>&lt;/Rapporteur&gt;</w:t>
      </w:r>
    </w:p>
    <w:p w:rsidR="00B85286" w:rsidRPr="00163620" w:rsidRDefault="00163620">
      <w:pPr>
        <w:pStyle w:val="CoverNormal24a"/>
      </w:pPr>
      <w:r w:rsidRPr="00163620">
        <w:rPr>
          <w:rStyle w:val="HideTWBExt"/>
        </w:rPr>
        <w:t>&lt;DocRefPE&gt;</w:t>
      </w:r>
      <w:r w:rsidRPr="00163620">
        <w:t>(PE770.060v01-00)</w:t>
      </w:r>
      <w:r w:rsidRPr="00163620">
        <w:rPr>
          <w:rStyle w:val="HideTWBExt"/>
        </w:rPr>
        <w:t>&lt;/DocRefPE&gt;</w:t>
      </w:r>
    </w:p>
    <w:p w:rsidR="00B85286" w:rsidRPr="00163620" w:rsidRDefault="00163620">
      <w:pPr>
        <w:pStyle w:val="CoverNormal24a"/>
      </w:pPr>
      <w:r w:rsidRPr="00163620">
        <w:rPr>
          <w:rStyle w:val="HideTWBExt"/>
        </w:rPr>
        <w:t>&lt;Titre&gt;</w:t>
      </w:r>
      <w:r>
        <w:t xml:space="preserve">Herstructurering van de </w:t>
      </w:r>
      <w:r w:rsidRPr="00163620">
        <w:t>Unieregeling voor de belasting van energieproducten en elektriciteit (herschikking)</w:t>
      </w:r>
      <w:r w:rsidRPr="00163620">
        <w:rPr>
          <w:rStyle w:val="HideTWBExt"/>
        </w:rPr>
        <w:t>&lt;/Titre&gt;</w:t>
      </w:r>
    </w:p>
    <w:p w:rsidR="006337D4" w:rsidRPr="00163620" w:rsidRDefault="00163620" w:rsidP="006337D4">
      <w:pPr>
        <w:pStyle w:val="CoverNormal"/>
      </w:pPr>
      <w:r w:rsidRPr="00163620">
        <w:rPr>
          <w:rStyle w:val="HideTWBExt"/>
        </w:rPr>
        <w:t>&lt;DocAmend&gt;</w:t>
      </w:r>
      <w:r w:rsidRPr="00163620">
        <w:t>Voorstel voor een richtlijn</w:t>
      </w:r>
      <w:r w:rsidRPr="00163620">
        <w:rPr>
          <w:rStyle w:val="HideTWBExt"/>
        </w:rPr>
        <w:t>&lt;/DocAmend&gt;</w:t>
      </w:r>
    </w:p>
    <w:p w:rsidR="00B85286" w:rsidRPr="00163620" w:rsidRDefault="00163620">
      <w:pPr>
        <w:pStyle w:val="CoverNormal24a"/>
      </w:pPr>
      <w:r w:rsidRPr="00163620">
        <w:rPr>
          <w:rStyle w:val="HideTWBExt"/>
        </w:rPr>
        <w:t>&lt;DocRef&gt;</w:t>
      </w:r>
      <w:r w:rsidRPr="00163620">
        <w:t>(COM(2021)0563 – C9</w:t>
      </w:r>
      <w:r w:rsidRPr="00163620">
        <w:noBreakHyphen/>
        <w:t>0362/2021 – 2021/0213(CNS))</w:t>
      </w:r>
      <w:r w:rsidRPr="00163620">
        <w:rPr>
          <w:rStyle w:val="HideTWBExt"/>
        </w:rPr>
        <w:t>&lt;/DocRef&gt;</w:t>
      </w:r>
    </w:p>
    <w:p w:rsidR="00B85286" w:rsidRPr="00163620" w:rsidRDefault="00163620" w:rsidP="00E660E2">
      <w:pPr>
        <w:widowControl/>
        <w:tabs>
          <w:tab w:val="center" w:pos="4677"/>
        </w:tabs>
      </w:pPr>
      <w:r w:rsidRPr="00163620">
        <w:br w:type="page"/>
      </w:r>
      <w:r w:rsidRPr="00163620">
        <w:lastRenderedPageBreak/>
        <w:t>AM_Com_LegReport</w:t>
      </w:r>
    </w:p>
    <w:p w:rsidR="00163620" w:rsidRPr="004A2CF9" w:rsidRDefault="00163620" w:rsidP="00163620">
      <w:pPr>
        <w:pStyle w:val="AMNumberTabs0"/>
        <w:keepNext/>
      </w:pPr>
      <w:r w:rsidRPr="00163620">
        <w:br w:type="page"/>
      </w:r>
      <w:r w:rsidRPr="00163620">
        <w:rPr>
          <w:rStyle w:val="HideTWBExt"/>
          <w:b w:val="0"/>
        </w:rPr>
        <w:lastRenderedPageBreak/>
        <w:t>&lt;RepeatBlock-Amend&gt;</w:t>
      </w:r>
      <w:r w:rsidRPr="004A2CF9">
        <w:rPr>
          <w:rStyle w:val="HideTWBExt"/>
          <w:b w:val="0"/>
        </w:rPr>
        <w:t>&lt;Amend&gt;</w:t>
      </w:r>
      <w:r w:rsidRPr="004A2CF9">
        <w:t>Amendement</w:t>
      </w:r>
      <w:r w:rsidRPr="004A2CF9">
        <w:tab/>
      </w:r>
      <w:r w:rsidRPr="004A2CF9">
        <w:tab/>
      </w:r>
      <w:r w:rsidRPr="004A2CF9">
        <w:rPr>
          <w:rStyle w:val="HideTWBExt"/>
          <w:b w:val="0"/>
        </w:rPr>
        <w:t>&lt;NumAm&gt;</w:t>
      </w:r>
      <w:r w:rsidRPr="004A2CF9">
        <w:t>102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Sirpa Pietikäinen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 bis)</w:t>
            </w:r>
            <w:r w:rsidRPr="004A2CF9">
              <w:rPr>
                <w:b/>
                <w:i/>
              </w:rPr>
              <w:tab/>
              <w:t>Besluiten over belastingheffing vallen onder de bevoegdheid van de lidstaten, die soeverein zijn op dat gebied. De EU-Verdragen en dus ook de bevoegdheden zijn echter niet met de actuele aandachtspunten van Europa mee geëvolueerd; aangezien de thema’s klimaat en energie een centraal onderdeel vormen van de huidige EU-wetgeving en -bevoegdheden, is het gerechtvaardigd om vanuit een geharmoniseerd Europees perspectief regelgeving vast te stellen om de onmiddellijke dreiging van de klimaatverandering en de overschrijding van de grenzen van onze planeet het hoofd te bieden. Europa heeft een volledig geharmoniseerd, wetenschappelijk onderbouwd kader voor energiebelasting nodig. Volgens dezelfde logica als het emissiehandelssysteem (EU-ETS) moet de belasting op fossiele energie de komende tien jaar stapsgewijs stijgen, met een belasting van 40 tot 80 % op fossiele energiebronnen en energiebronnen die schade toebrengen aan het milieu. Dit zou ook een broodnodige verschuiving van langetermijninvesteringen naar hernieuwbare energie mogelijk maken en de transitie versnellen, en tegelijkertijd rechtszekerheid creëren voor ondernemingen en bedrijven.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103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 bis)</w:t>
            </w:r>
            <w:r w:rsidRPr="004A2CF9">
              <w:rPr>
                <w:b/>
                <w:i/>
              </w:rPr>
              <w:tab/>
              <w:t>De herziening van de energiebelastingrichtlijn is van essentieel belang om ervoor te zorgen dat het belastingbeleid in de Unie doeltreffend bijdraagt aan de doelstellingen van de Europese Green Deal, een sociaal rechtvaardige groene transitie en een goed functionerende interne markt die bijdraagt tot de economische groei van de Unie. Het huidige kader, dat gebaseerd is op achterhaalde referenties en inconsistente minimumtarieven, heeft geleid tot aanzienlijke verstoringen op de interne markt en weerspiegelt de werkelijke milieu- en gezondheidskosten van het energieverbruik niet. Een gemoderniseerd systeem van energiebelasting, op basis van energie-inhoud en milieuprestaties, is noodzakelijk om duidelijke prijssignalen te geven, duurzame economische groei te ondersteunen en een gelijk speelveld voor schone technologieën en de Europese industrie te creëren.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104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 ter)</w:t>
            </w:r>
            <w:r w:rsidRPr="004A2CF9">
              <w:rPr>
                <w:b/>
                <w:i/>
              </w:rPr>
              <w:tab/>
              <w:t xml:space="preserve">Hoewel de energieprijzen onlangs zijn gedaald ten opzichte van de pieken van 2022, worden veel huishoudens en bedrijven nog steeds geconfronteerd met uitdagingen op het gebied van betaalbaarheid als gevolg van aanhoudende prijsvolatiliteit en inflatoire druk. Bemoedigend is dat de kosten van </w:t>
            </w:r>
            <w:r w:rsidRPr="004A2CF9">
              <w:rPr>
                <w:b/>
                <w:i/>
              </w:rPr>
              <w:lastRenderedPageBreak/>
              <w:t>duurzame energietechnologieën, zoals zonne- en windenergie, de afgelopen jaren aanzienlijk zijn gedaald, en dat deze bronnen minder blootgesteld zijn aan wereldwijde schokken in de brandstofprijzen, en ook tot veel lagere gezondheids- en milieukosten leiden dan fossiele brandstoffen.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105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 quater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 quater)</w:t>
            </w:r>
            <w:r w:rsidRPr="004A2CF9">
              <w:rPr>
                <w:b/>
                <w:i/>
              </w:rPr>
              <w:tab/>
              <w:t>Om de Europese energiesoevereiniteit te versterken, moet de structurele afhankelijkheid van ingevoerde fossiele brandstoffen worden verminderd. Door de minimumbelastingniveaus af te stemmen op het koolstofgehalte van energieproducten kan de transitie naar intern geproduceerde hernieuwbare energie worden versneld, waardoor de strategische autonomie en veerkracht in alle lidstaten worden vergroot.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106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 quinquies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 quinquies)</w:t>
            </w:r>
            <w:r w:rsidRPr="004A2CF9">
              <w:rPr>
                <w:b/>
                <w:i/>
              </w:rPr>
              <w:tab/>
              <w:t xml:space="preserve">Hoewel besluiten over belastingen onder de bevoegdheid van de lidstaten vallen, heeft de Unie krachtens </w:t>
            </w:r>
            <w:r w:rsidRPr="004A2CF9">
              <w:rPr>
                <w:b/>
                <w:i/>
              </w:rPr>
              <w:lastRenderedPageBreak/>
              <w:t>artikel 113 VWEU de bevoegdheid om de indirecte belastingen te harmoniseren wanneer dat nodig is voor de werking van de interne markt. Dergelijke maatregelen moeten in overeenstemming zijn met de beginselen van subsidiariteit, evenredigheid en efficiëntie.</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107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&lt;AuNomDe&gt;</w:t>
      </w:r>
      <w:r w:rsidRPr="004A2CF9">
        <w:rPr>
          <w:rStyle w:val="HideTWBInt"/>
        </w:rPr>
        <w:t>{Verts/ALE}</w:t>
      </w:r>
      <w:r w:rsidRPr="004A2CF9">
        <w:t>namens de Verts/ALE‐Fractie</w:t>
      </w:r>
      <w:r w:rsidRPr="004A2CF9">
        <w:rPr>
          <w:rStyle w:val="HideTWBExt"/>
        </w:rPr>
        <w:t>&lt;/AuNomDe&gt;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 bis)</w:t>
            </w:r>
            <w:r w:rsidRPr="004A2CF9">
              <w:rPr>
                <w:b/>
                <w:i/>
              </w:rPr>
              <w:tab/>
              <w:t>De primaire doelstelling van energiebelasting is milieugericht, namelijk de consumptie- en investeringspatronen veranderen. Een secundaire maar ook belangrijke doelstelling is het verhogen van de inkomsten. Het nastreven van andere beleidsdoelstellingen via de energiebelasting zou een nadelig effect kunnen hebben op de primaire en secundaire doelstellingen ervan. Hoewel zij wel een dergelijk effect kan hebben, is energiebelasting geen beleidsinstrument voor herverdeling.</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108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 bis)</w:t>
            </w:r>
            <w:r w:rsidRPr="004A2CF9">
              <w:rPr>
                <w:b/>
                <w:i/>
              </w:rPr>
              <w:tab/>
              <w:t xml:space="preserve">De primaire doelstelling van energiebelasting is milieugericht, namelijk de consumptie- en investeringspatronen veranderen. Veranderingen in energiebelasting kunnen evenwel een herverdelend effect hebben, namelijk door de meest kwetsbare huishoudens en huishoudens in energiearmoede te treffen. Hiermee moet rekening worden gehouden in deze richtlijn, om te vermijden dat ongelijkheden worden aangescherpt. </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109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(3)</w:t>
            </w:r>
            <w:r w:rsidRPr="004A2CF9">
              <w:tab/>
              <w:t>Duidelijke regels inzake de belasting op energieproducten en elektriciteit moeten blijven bijdragen tot de soepele werking van de interne markt en tegelijkertijd de klimaat- en milieugerelateerde uitdagingen binnen het kader van de mededeling van de Commissie over de Europese Green Deal aanpakken</w:t>
            </w:r>
            <w:r w:rsidRPr="004A2CF9">
              <w:rPr>
                <w:b/>
                <w:i/>
                <w:vertAlign w:val="superscript"/>
              </w:rPr>
              <w:t>28</w:t>
            </w:r>
            <w:r w:rsidRPr="004A2CF9">
              <w:t xml:space="preserve">. Energiebelasting kan bijdragen tot de ambitie om de broeikasgasemissies </w:t>
            </w:r>
            <w:r w:rsidRPr="004A2CF9">
              <w:rPr>
                <w:b/>
                <w:i/>
              </w:rPr>
              <w:t>voor 2030 netto</w:t>
            </w:r>
            <w:r w:rsidRPr="004A2CF9">
              <w:t xml:space="preserve"> met </w:t>
            </w:r>
            <w:r w:rsidRPr="004A2CF9">
              <w:rPr>
                <w:b/>
                <w:i/>
              </w:rPr>
              <w:t>ten minste 55 % te verminderen ten opzichte van 1990</w:t>
            </w:r>
            <w:r w:rsidRPr="004A2CF9">
              <w:t xml:space="preserve">, en tot de doelstelling om de vervuiling tot nul terug te brengen door toepassing van het beginsel dat de vervuiler betaalt, door te waarborgen dat de gevolgen voor het milieu en de </w:t>
            </w:r>
            <w:r w:rsidRPr="004A2CF9">
              <w:rPr>
                <w:b/>
                <w:i/>
              </w:rPr>
              <w:t>gezondheid beter</w:t>
            </w:r>
            <w:r w:rsidRPr="004A2CF9">
              <w:t xml:space="preserve"> in de belasting op motorbrandstoffen, verwarmingsbrandstoffen en elektriciteit tot uiting komen. De Raad heeft in zijn conclusies over het EU-kader voor </w:t>
            </w:r>
            <w:r w:rsidRPr="004A2CF9">
              <w:lastRenderedPageBreak/>
              <w:t>energiebelasting bekrachtigd dat energiebelasting bijdraagt tot die doelstellingen</w:t>
            </w:r>
            <w:r w:rsidRPr="004A2CF9">
              <w:rPr>
                <w:vertAlign w:val="superscript"/>
              </w:rPr>
              <w:t>29</w:t>
            </w:r>
            <w:r w:rsidRPr="004A2CF9">
              <w:t>.</w:t>
            </w:r>
          </w:p>
        </w:tc>
        <w:tc>
          <w:tcPr>
            <w:tcW w:w="4876" w:type="dxa"/>
          </w:tcPr>
          <w:p w:rsidR="00163620" w:rsidRPr="004A2CF9" w:rsidRDefault="00163620" w:rsidP="006527B0">
            <w:pPr>
              <w:pStyle w:val="Normal6"/>
              <w:rPr>
                <w:szCs w:val="24"/>
              </w:rPr>
            </w:pPr>
            <w:r w:rsidRPr="004A2CF9">
              <w:lastRenderedPageBreak/>
              <w:t>(3)</w:t>
            </w:r>
            <w:r w:rsidRPr="004A2CF9">
              <w:tab/>
              <w:t>Duidelijke regels inzake de belasting op energieproducten en elektriciteit moeten blijven bijdragen tot de soepele werking van de interne markt en tegelijkertijd de klimaat- en milieugerelateerde uitdagingen binnen het kader van de mededeling van de Commissie over de Europese Green Deal</w:t>
            </w:r>
            <w:r w:rsidRPr="004A2CF9">
              <w:rPr>
                <w:b/>
                <w:i/>
                <w:vertAlign w:val="superscript"/>
              </w:rPr>
              <w:t>28</w:t>
            </w:r>
            <w:r w:rsidRPr="004A2CF9">
              <w:rPr>
                <w:b/>
                <w:i/>
              </w:rPr>
              <w:t xml:space="preserve"> en de daaruit voortvloeiende wetgevingsvoorstellen</w:t>
            </w:r>
            <w:r w:rsidRPr="004A2CF9">
              <w:t xml:space="preserve"> aanpakken. Energiebelasting kan</w:t>
            </w:r>
            <w:r w:rsidRPr="004A2CF9">
              <w:rPr>
                <w:b/>
                <w:i/>
              </w:rPr>
              <w:t xml:space="preserve"> aanzienlijk</w:t>
            </w:r>
            <w:r w:rsidRPr="004A2CF9">
              <w:t xml:space="preserve"> bijdragen tot de ambitie om de broeikasgasemissies </w:t>
            </w:r>
            <w:r w:rsidRPr="004A2CF9">
              <w:rPr>
                <w:b/>
                <w:i/>
              </w:rPr>
              <w:t>te verminderen in overeenstemming</w:t>
            </w:r>
            <w:r w:rsidRPr="004A2CF9">
              <w:t xml:space="preserve"> met </w:t>
            </w:r>
            <w:r w:rsidRPr="004A2CF9">
              <w:rPr>
                <w:b/>
                <w:i/>
              </w:rPr>
              <w:t>de klimaatwet, de streefcijfers voor hernieuwbare energie en energie-efficiëntie</w:t>
            </w:r>
            <w:r w:rsidRPr="004A2CF9">
              <w:t>, en tot de doelstelling om de vervuiling tot nul terug te brengen door toepassing van het beginsel dat de vervuiler betaalt, door te waarborgen dat de gevolgen voor het milieu</w:t>
            </w:r>
            <w:r w:rsidRPr="004A2CF9">
              <w:rPr>
                <w:b/>
                <w:i/>
              </w:rPr>
              <w:t>, de gezondheid</w:t>
            </w:r>
            <w:r w:rsidRPr="004A2CF9">
              <w:t xml:space="preserve"> en de </w:t>
            </w:r>
            <w:r w:rsidRPr="004A2CF9">
              <w:rPr>
                <w:b/>
                <w:i/>
              </w:rPr>
              <w:t>biodiversiteit volledig</w:t>
            </w:r>
            <w:r w:rsidRPr="004A2CF9">
              <w:t xml:space="preserve"> in de belasting </w:t>
            </w:r>
            <w:r w:rsidRPr="004A2CF9">
              <w:lastRenderedPageBreak/>
              <w:t>op motorbrandstoffen, verwarmingsbrandstoffen en elektriciteit tot uiting komen</w:t>
            </w:r>
            <w:r w:rsidRPr="004A2CF9">
              <w:rPr>
                <w:b/>
                <w:i/>
              </w:rPr>
              <w:t xml:space="preserve"> en dat deze belasting een voldoende hoog prijssignaal geeft aan consumenten en bedrijven</w:t>
            </w:r>
            <w:r w:rsidRPr="004A2CF9">
              <w:t>. De Raad heeft in zijn conclusies over het EU-kader voor energiebelasting bekrachtigd dat energiebelasting bijdraagt tot die doelstellingen</w:t>
            </w:r>
            <w:r w:rsidRPr="004A2CF9">
              <w:rPr>
                <w:vertAlign w:val="superscript"/>
              </w:rPr>
              <w:t>29</w:t>
            </w:r>
            <w:r w:rsidRPr="004A2CF9">
              <w:t>.</w:t>
            </w:r>
          </w:p>
        </w:tc>
      </w:tr>
      <w:tr w:rsidR="00163620" w:rsidRPr="004A2CF9" w:rsidTr="006527B0">
        <w:trPr>
          <w:jc w:val="center"/>
        </w:trPr>
        <w:tc>
          <w:tcPr>
            <w:tcW w:w="4876" w:type="dxa"/>
          </w:tcPr>
          <w:p w:rsidR="00163620" w:rsidRPr="004A2CF9" w:rsidRDefault="00163620" w:rsidP="006527B0">
            <w:pPr>
              <w:pStyle w:val="Normal6"/>
            </w:pPr>
            <w:r w:rsidRPr="004A2CF9">
              <w:lastRenderedPageBreak/>
              <w:t>__________________</w:t>
            </w:r>
          </w:p>
        </w:tc>
        <w:tc>
          <w:tcPr>
            <w:tcW w:w="4876" w:type="dxa"/>
          </w:tcPr>
          <w:p w:rsidR="00163620" w:rsidRPr="004A2CF9" w:rsidRDefault="00163620" w:rsidP="006527B0">
            <w:pPr>
              <w:pStyle w:val="Normal6"/>
              <w:rPr>
                <w:szCs w:val="24"/>
              </w:rPr>
            </w:pPr>
            <w:r w:rsidRPr="004A2CF9">
              <w:t>__________________</w:t>
            </w:r>
          </w:p>
        </w:tc>
      </w:tr>
      <w:tr w:rsidR="00163620" w:rsidRPr="004A2CF9" w:rsidTr="006527B0">
        <w:trPr>
          <w:jc w:val="center"/>
        </w:trPr>
        <w:tc>
          <w:tcPr>
            <w:tcW w:w="4876" w:type="dxa"/>
          </w:tcPr>
          <w:p w:rsidR="00163620" w:rsidRPr="004A2CF9" w:rsidRDefault="00163620" w:rsidP="006527B0">
            <w:pPr>
              <w:pStyle w:val="Normal6"/>
            </w:pPr>
            <w:r w:rsidRPr="004A2CF9">
              <w:rPr>
                <w:vertAlign w:val="superscript"/>
              </w:rPr>
              <w:t>28</w:t>
            </w:r>
            <w:r w:rsidRPr="004A2CF9">
              <w:t xml:space="preserve"> COM(2019) 640 final van 11 december 2019.</w:t>
            </w:r>
          </w:p>
        </w:tc>
        <w:tc>
          <w:tcPr>
            <w:tcW w:w="4876" w:type="dxa"/>
          </w:tcPr>
          <w:p w:rsidR="00163620" w:rsidRPr="004A2CF9" w:rsidRDefault="00163620" w:rsidP="006527B0">
            <w:pPr>
              <w:pStyle w:val="Normal6"/>
              <w:rPr>
                <w:szCs w:val="24"/>
              </w:rPr>
            </w:pPr>
            <w:r w:rsidRPr="004A2CF9">
              <w:rPr>
                <w:vertAlign w:val="superscript"/>
              </w:rPr>
              <w:t>28</w:t>
            </w:r>
            <w:r w:rsidRPr="004A2CF9">
              <w:t xml:space="preserve"> COM(2019) 640 final van 11 december 2019.</w:t>
            </w:r>
          </w:p>
        </w:tc>
      </w:tr>
      <w:tr w:rsidR="00163620" w:rsidRPr="004A2CF9" w:rsidTr="006527B0">
        <w:trPr>
          <w:jc w:val="center"/>
        </w:trPr>
        <w:tc>
          <w:tcPr>
            <w:tcW w:w="4876" w:type="dxa"/>
          </w:tcPr>
          <w:p w:rsidR="00163620" w:rsidRPr="004A2CF9" w:rsidRDefault="00163620" w:rsidP="006527B0">
            <w:pPr>
              <w:pStyle w:val="Normal6"/>
            </w:pPr>
            <w:r w:rsidRPr="004A2CF9">
              <w:rPr>
                <w:vertAlign w:val="superscript"/>
              </w:rPr>
              <w:t>29</w:t>
            </w:r>
            <w:r w:rsidRPr="004A2CF9">
              <w:t xml:space="preserve"> 14861/19 van 5 december 2019.</w:t>
            </w:r>
          </w:p>
        </w:tc>
        <w:tc>
          <w:tcPr>
            <w:tcW w:w="4876" w:type="dxa"/>
          </w:tcPr>
          <w:p w:rsidR="00163620" w:rsidRPr="004A2CF9" w:rsidRDefault="00163620" w:rsidP="006527B0">
            <w:pPr>
              <w:pStyle w:val="Normal6"/>
              <w:rPr>
                <w:szCs w:val="24"/>
              </w:rPr>
            </w:pPr>
            <w:r w:rsidRPr="004A2CF9">
              <w:rPr>
                <w:vertAlign w:val="superscript"/>
              </w:rPr>
              <w:t>29</w:t>
            </w:r>
            <w:r w:rsidRPr="004A2CF9">
              <w:t xml:space="preserve"> 14861/19 van 5 december 2019.</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(3)</w:t>
            </w:r>
            <w:r w:rsidRPr="004A2CF9">
              <w:tab/>
              <w:t xml:space="preserve">Duidelijke regels inzake de belasting op energieproducten en elektriciteit moeten blijven bijdragen tot </w:t>
            </w:r>
            <w:r w:rsidRPr="004A2CF9">
              <w:rPr>
                <w:b/>
                <w:i/>
              </w:rPr>
              <w:t>de soepele werking</w:t>
            </w:r>
            <w:r w:rsidRPr="004A2CF9">
              <w:t xml:space="preserve"> van</w:t>
            </w:r>
            <w:r w:rsidRPr="004A2CF9">
              <w:rPr>
                <w:b/>
                <w:i/>
              </w:rPr>
              <w:t xml:space="preserve"> de interne markt en tegelijkertijd</w:t>
            </w:r>
            <w:r w:rsidRPr="004A2CF9">
              <w:t xml:space="preserve"> de klimaat- en milieugerelateerde uitdagingen binnen het kader van de mededeling van de Commissie over de Europese Green Deal</w:t>
            </w:r>
            <w:r w:rsidRPr="004A2CF9">
              <w:rPr>
                <w:b/>
                <w:i/>
              </w:rPr>
              <w:t xml:space="preserve"> aanpakken</w:t>
            </w:r>
            <w:r w:rsidRPr="004A2CF9">
              <w:rPr>
                <w:vertAlign w:val="superscript"/>
              </w:rPr>
              <w:t>28</w:t>
            </w:r>
            <w:r w:rsidRPr="004A2CF9">
              <w:t xml:space="preserve">. Energiebelasting </w:t>
            </w:r>
            <w:r w:rsidRPr="004A2CF9">
              <w:rPr>
                <w:b/>
                <w:i/>
              </w:rPr>
              <w:t>kan</w:t>
            </w:r>
            <w:r w:rsidRPr="004A2CF9">
              <w:t xml:space="preserve"> bijdragen tot de </w:t>
            </w:r>
            <w:r w:rsidRPr="004A2CF9">
              <w:rPr>
                <w:b/>
                <w:i/>
              </w:rPr>
              <w:t>ambitie om</w:t>
            </w:r>
            <w:r w:rsidRPr="004A2CF9">
              <w:t xml:space="preserve"> de broeikasgasemissies </w:t>
            </w:r>
            <w:r w:rsidRPr="004A2CF9">
              <w:rPr>
                <w:b/>
                <w:i/>
              </w:rPr>
              <w:t>voor 2030 netto met ten minste 55 % te verminderen ten opzichte van 1990,</w:t>
            </w:r>
            <w:r w:rsidRPr="004A2CF9">
              <w:t xml:space="preserve"> en tot de doelstelling om de vervuiling tot nul terug te brengen door toepassing van het beginsel dat de vervuiler betaalt, door te waarborgen dat de gevolgen voor het milieu en de </w:t>
            </w:r>
            <w:r w:rsidRPr="004A2CF9">
              <w:rPr>
                <w:b/>
                <w:i/>
              </w:rPr>
              <w:t>gezondheid beter</w:t>
            </w:r>
            <w:r w:rsidRPr="004A2CF9">
              <w:t xml:space="preserve"> in de belasting op motorbrandstoffen, verwarmingsbrandstoffen en elektriciteit tot uiting komen. De Raad heeft in zijn conclusies over het EU-kader voor </w:t>
            </w:r>
            <w:r w:rsidRPr="004A2CF9">
              <w:lastRenderedPageBreak/>
              <w:t>energiebelasting bekrachtigd dat energiebelasting bijdraagt tot die doelstellingen</w:t>
            </w:r>
            <w:r w:rsidRPr="004A2CF9">
              <w:rPr>
                <w:vertAlign w:val="superscript"/>
              </w:rPr>
              <w:t>29</w:t>
            </w:r>
            <w:r w:rsidRPr="004A2CF9">
              <w:t>.</w:t>
            </w:r>
          </w:p>
        </w:tc>
        <w:tc>
          <w:tcPr>
            <w:tcW w:w="4876" w:type="dxa"/>
          </w:tcPr>
          <w:p w:rsidR="00163620" w:rsidRPr="004A2CF9" w:rsidRDefault="00163620" w:rsidP="006527B0">
            <w:pPr>
              <w:pStyle w:val="Normal6"/>
              <w:rPr>
                <w:szCs w:val="24"/>
              </w:rPr>
            </w:pPr>
            <w:r w:rsidRPr="004A2CF9">
              <w:lastRenderedPageBreak/>
              <w:t>(3)</w:t>
            </w:r>
            <w:r w:rsidRPr="004A2CF9">
              <w:tab/>
              <w:t xml:space="preserve">Duidelijke regels inzake de belasting op energieproducten en elektriciteit moeten blijven bijdragen tot </w:t>
            </w:r>
            <w:r w:rsidRPr="004A2CF9">
              <w:rPr>
                <w:b/>
                <w:i/>
              </w:rPr>
              <w:t>het aanpakken</w:t>
            </w:r>
            <w:r w:rsidRPr="004A2CF9">
              <w:t xml:space="preserve"> van de klimaat- en milieugerelateerde uitdagingen binnen het kader van de mededeling van de Commissie over de Europese Green Deal</w:t>
            </w:r>
            <w:r w:rsidRPr="004A2CF9">
              <w:rPr>
                <w:vertAlign w:val="superscript"/>
              </w:rPr>
              <w:t>28</w:t>
            </w:r>
            <w:r w:rsidRPr="004A2CF9">
              <w:t xml:space="preserve">. </w:t>
            </w:r>
            <w:r w:rsidRPr="004A2CF9">
              <w:rPr>
                <w:b/>
                <w:i/>
              </w:rPr>
              <w:t>Daarbij moet ervoor worden gezorgd dat alle huishoudens in de Unie, en met name huishoudens met een lager inkomen, toegang hebben tot die producten.</w:t>
            </w:r>
            <w:r w:rsidRPr="004A2CF9">
              <w:t xml:space="preserve"> Energiebelasting </w:t>
            </w:r>
            <w:r w:rsidRPr="004A2CF9">
              <w:rPr>
                <w:b/>
                <w:i/>
              </w:rPr>
              <w:t>moet</w:t>
            </w:r>
            <w:r w:rsidRPr="004A2CF9">
              <w:t xml:space="preserve"> bijdragen tot de </w:t>
            </w:r>
            <w:r w:rsidRPr="004A2CF9">
              <w:rPr>
                <w:b/>
                <w:i/>
              </w:rPr>
              <w:t>vermindering van</w:t>
            </w:r>
            <w:r w:rsidRPr="004A2CF9">
              <w:t xml:space="preserve"> de broeikasgasemissies </w:t>
            </w:r>
            <w:r w:rsidRPr="004A2CF9">
              <w:rPr>
                <w:b/>
                <w:i/>
              </w:rPr>
              <w:t>in overeenstemming met de Europese klimaatwet, het behalen van de streefcijfers voor hernieuwbare energie en energie-efficiëntie</w:t>
            </w:r>
            <w:r w:rsidRPr="004A2CF9">
              <w:t xml:space="preserve"> en tot de doelstelling om de vervuiling tot nul terug te brengen door toepassing van het beginsel dat de vervuiler betaalt, door te waarborgen dat de </w:t>
            </w:r>
            <w:r w:rsidRPr="004A2CF9">
              <w:rPr>
                <w:b/>
                <w:i/>
              </w:rPr>
              <w:t xml:space="preserve">werkelijke </w:t>
            </w:r>
            <w:r w:rsidRPr="004A2CF9">
              <w:t>gevolgen voor het milieu</w:t>
            </w:r>
            <w:r w:rsidRPr="004A2CF9">
              <w:rPr>
                <w:b/>
                <w:i/>
              </w:rPr>
              <w:t xml:space="preserve">, de </w:t>
            </w:r>
            <w:r w:rsidRPr="004A2CF9">
              <w:rPr>
                <w:b/>
                <w:i/>
              </w:rPr>
              <w:lastRenderedPageBreak/>
              <w:t>gezondheid</w:t>
            </w:r>
            <w:r w:rsidRPr="004A2CF9">
              <w:t xml:space="preserve"> en de </w:t>
            </w:r>
            <w:r w:rsidRPr="004A2CF9">
              <w:rPr>
                <w:b/>
                <w:i/>
              </w:rPr>
              <w:t>biodiversiteit</w:t>
            </w:r>
            <w:r w:rsidRPr="004A2CF9">
              <w:t xml:space="preserve"> in de belasting op motorbrandstoffen, verwarmingsbrandstoffen en elektriciteit tot uiting komen. De Raad heeft in zijn conclusies over het EU-kader voor energiebelasting bekrachtigd dat energiebelasting bijdraagt tot die doelstellingen</w:t>
            </w:r>
            <w:r w:rsidRPr="004A2CF9">
              <w:rPr>
                <w:vertAlign w:val="superscript"/>
              </w:rPr>
              <w:t>29</w:t>
            </w:r>
            <w:r w:rsidRPr="004A2CF9">
              <w:t>.</w:t>
            </w:r>
          </w:p>
        </w:tc>
      </w:tr>
      <w:tr w:rsidR="00163620" w:rsidRPr="004A2CF9" w:rsidTr="006527B0">
        <w:trPr>
          <w:jc w:val="center"/>
        </w:trPr>
        <w:tc>
          <w:tcPr>
            <w:tcW w:w="4876" w:type="dxa"/>
          </w:tcPr>
          <w:p w:rsidR="00163620" w:rsidRPr="004A2CF9" w:rsidRDefault="00163620" w:rsidP="006527B0">
            <w:pPr>
              <w:pStyle w:val="Normal6"/>
            </w:pPr>
            <w:r w:rsidRPr="004A2CF9">
              <w:lastRenderedPageBreak/>
              <w:t>__________________</w:t>
            </w:r>
          </w:p>
        </w:tc>
        <w:tc>
          <w:tcPr>
            <w:tcW w:w="4876" w:type="dxa"/>
          </w:tcPr>
          <w:p w:rsidR="00163620" w:rsidRPr="004A2CF9" w:rsidRDefault="00163620" w:rsidP="006527B0">
            <w:pPr>
              <w:pStyle w:val="Normal6"/>
              <w:rPr>
                <w:szCs w:val="24"/>
              </w:rPr>
            </w:pPr>
            <w:r w:rsidRPr="004A2CF9">
              <w:t>__________________</w:t>
            </w:r>
          </w:p>
        </w:tc>
      </w:tr>
      <w:tr w:rsidR="00163620" w:rsidRPr="004A2CF9" w:rsidTr="006527B0">
        <w:trPr>
          <w:jc w:val="center"/>
        </w:trPr>
        <w:tc>
          <w:tcPr>
            <w:tcW w:w="4876" w:type="dxa"/>
          </w:tcPr>
          <w:p w:rsidR="00163620" w:rsidRPr="004A2CF9" w:rsidRDefault="00163620" w:rsidP="006527B0">
            <w:pPr>
              <w:pStyle w:val="Normal6"/>
            </w:pPr>
            <w:r w:rsidRPr="004A2CF9">
              <w:rPr>
                <w:vertAlign w:val="superscript"/>
              </w:rPr>
              <w:t>28</w:t>
            </w:r>
            <w:r w:rsidRPr="004A2CF9">
              <w:t xml:space="preserve"> COM(2019) 640 final van 11 december 2019.</w:t>
            </w:r>
          </w:p>
        </w:tc>
        <w:tc>
          <w:tcPr>
            <w:tcW w:w="4876" w:type="dxa"/>
          </w:tcPr>
          <w:p w:rsidR="00163620" w:rsidRPr="004A2CF9" w:rsidRDefault="00163620" w:rsidP="006527B0">
            <w:pPr>
              <w:pStyle w:val="Normal6"/>
              <w:rPr>
                <w:szCs w:val="24"/>
              </w:rPr>
            </w:pPr>
            <w:r w:rsidRPr="004A2CF9">
              <w:rPr>
                <w:vertAlign w:val="superscript"/>
              </w:rPr>
              <w:t>28</w:t>
            </w:r>
            <w:r w:rsidRPr="004A2CF9">
              <w:t xml:space="preserve"> COM(2019) 640 final van 11 december 2019.</w:t>
            </w:r>
          </w:p>
        </w:tc>
      </w:tr>
      <w:tr w:rsidR="00163620" w:rsidRPr="004A2CF9" w:rsidTr="006527B0">
        <w:trPr>
          <w:jc w:val="center"/>
        </w:trPr>
        <w:tc>
          <w:tcPr>
            <w:tcW w:w="4876" w:type="dxa"/>
          </w:tcPr>
          <w:p w:rsidR="00163620" w:rsidRPr="004A2CF9" w:rsidRDefault="00163620" w:rsidP="006527B0">
            <w:pPr>
              <w:pStyle w:val="Normal6"/>
            </w:pPr>
            <w:r w:rsidRPr="004A2CF9">
              <w:rPr>
                <w:vertAlign w:val="superscript"/>
              </w:rPr>
              <w:t>29</w:t>
            </w:r>
            <w:r w:rsidRPr="004A2CF9">
              <w:t xml:space="preserve"> 14861/19 van 5 december 2019.</w:t>
            </w:r>
          </w:p>
        </w:tc>
        <w:tc>
          <w:tcPr>
            <w:tcW w:w="4876" w:type="dxa"/>
          </w:tcPr>
          <w:p w:rsidR="00163620" w:rsidRPr="004A2CF9" w:rsidRDefault="00163620" w:rsidP="006527B0">
            <w:pPr>
              <w:pStyle w:val="Normal6"/>
              <w:rPr>
                <w:szCs w:val="24"/>
              </w:rPr>
            </w:pPr>
            <w:r w:rsidRPr="004A2CF9">
              <w:rPr>
                <w:vertAlign w:val="superscript"/>
              </w:rPr>
              <w:t>29</w:t>
            </w:r>
            <w:r w:rsidRPr="004A2CF9">
              <w:t xml:space="preserve"> 14861/19 van 5 december 2019.</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953347" w:rsidRDefault="00163620" w:rsidP="00163620">
      <w:pPr>
        <w:pStyle w:val="AMNumberTabs0"/>
        <w:keepNext/>
      </w:pPr>
      <w:r>
        <w:rPr>
          <w:rStyle w:val="HideTWBExt"/>
          <w:b w:val="0"/>
        </w:rPr>
        <w:t>&lt;Amend&gt;</w:t>
      </w:r>
      <w:r>
        <w:t>Amendement</w:t>
      </w:r>
      <w:r>
        <w:tab/>
      </w:r>
      <w:r>
        <w:tab/>
      </w:r>
      <w:r>
        <w:rPr>
          <w:rStyle w:val="HideTWBExt"/>
          <w:b w:val="0"/>
        </w:rPr>
        <w:t>&lt;NumAm&gt;</w:t>
      </w:r>
      <w:r>
        <w:t>111</w:t>
      </w:r>
      <w:r>
        <w:rPr>
          <w:rStyle w:val="HideTWBExt"/>
          <w:b w:val="0"/>
        </w:rPr>
        <w:t>&lt;/NumAm&gt;</w:t>
      </w:r>
    </w:p>
    <w:p w:rsidR="00163620" w:rsidRPr="00953347" w:rsidRDefault="00163620" w:rsidP="00163620">
      <w:pPr>
        <w:pStyle w:val="NormalBold"/>
      </w:pPr>
      <w:r>
        <w:rPr>
          <w:rStyle w:val="HideTWBExt"/>
          <w:b w:val="0"/>
        </w:rPr>
        <w:t>&lt;RepeatBlock-By&gt;&lt;Members&gt;</w:t>
      </w:r>
      <w:r>
        <w:t>Marco Falcone</w:t>
      </w:r>
      <w:r>
        <w:rPr>
          <w:rStyle w:val="HideTWBExt"/>
          <w:b w:val="0"/>
        </w:rPr>
        <w:t>&lt;/Members&gt;</w:t>
      </w:r>
    </w:p>
    <w:p w:rsidR="00163620" w:rsidRPr="00953347" w:rsidRDefault="00163620" w:rsidP="00163620">
      <w:r>
        <w:rPr>
          <w:rStyle w:val="HideTWBExt"/>
        </w:rPr>
        <w:t>&lt;/RepeatBlock-By&gt;</w:t>
      </w:r>
    </w:p>
    <w:p w:rsidR="00163620" w:rsidRPr="00953347" w:rsidRDefault="00163620" w:rsidP="00163620">
      <w:pPr>
        <w:pStyle w:val="NormalBold"/>
        <w:keepNext/>
      </w:pPr>
      <w:r>
        <w:rPr>
          <w:rStyle w:val="HideTWBExt"/>
          <w:b w:val="0"/>
        </w:rPr>
        <w:t>&lt;DocAmend&gt;</w:t>
      </w:r>
      <w:r>
        <w:t>Voorstel voor een richtlijn</w:t>
      </w:r>
      <w:r>
        <w:rPr>
          <w:rStyle w:val="HideTWBExt"/>
          <w:b w:val="0"/>
        </w:rPr>
        <w:t>&lt;/DocAmend&gt;</w:t>
      </w:r>
    </w:p>
    <w:p w:rsidR="00163620" w:rsidRPr="00953347" w:rsidRDefault="00163620" w:rsidP="00163620">
      <w:pPr>
        <w:pStyle w:val="NormalBold"/>
      </w:pPr>
      <w:r>
        <w:rPr>
          <w:rStyle w:val="HideTWBExt"/>
          <w:b w:val="0"/>
        </w:rPr>
        <w:t>&lt;Article&gt;</w:t>
      </w:r>
      <w:r>
        <w:t>Overweging 3 bis (nieuw)</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Tr="006527B0">
        <w:trPr>
          <w:jc w:val="center"/>
        </w:trPr>
        <w:tc>
          <w:tcPr>
            <w:tcW w:w="9752" w:type="dxa"/>
            <w:gridSpan w:val="2"/>
          </w:tcPr>
          <w:p w:rsidR="00163620" w:rsidRPr="00953347" w:rsidRDefault="00163620" w:rsidP="006527B0">
            <w:pPr>
              <w:keepNext/>
            </w:pPr>
          </w:p>
        </w:tc>
      </w:tr>
      <w:tr w:rsidR="00163620" w:rsidTr="006527B0">
        <w:trPr>
          <w:jc w:val="center"/>
        </w:trPr>
        <w:tc>
          <w:tcPr>
            <w:tcW w:w="4876" w:type="dxa"/>
          </w:tcPr>
          <w:p w:rsidR="00163620" w:rsidRPr="00953347" w:rsidRDefault="00163620" w:rsidP="006527B0">
            <w:pPr>
              <w:pStyle w:val="ColumnHeading"/>
              <w:keepNext/>
            </w:pPr>
            <w:r>
              <w:t>Text proposed by the Commission</w:t>
            </w:r>
          </w:p>
        </w:tc>
        <w:tc>
          <w:tcPr>
            <w:tcW w:w="4876" w:type="dxa"/>
          </w:tcPr>
          <w:p w:rsidR="00163620" w:rsidRPr="00953347" w:rsidRDefault="00163620" w:rsidP="006527B0">
            <w:pPr>
              <w:pStyle w:val="ColumnHeading"/>
              <w:keepNext/>
            </w:pPr>
            <w:r>
              <w:t>Amendement</w:t>
            </w:r>
          </w:p>
        </w:tc>
      </w:tr>
      <w:tr w:rsidR="00163620" w:rsidTr="006527B0">
        <w:trPr>
          <w:jc w:val="center"/>
        </w:trPr>
        <w:tc>
          <w:tcPr>
            <w:tcW w:w="4876" w:type="dxa"/>
          </w:tcPr>
          <w:p w:rsidR="00163620" w:rsidRPr="00953347" w:rsidRDefault="00163620" w:rsidP="006527B0">
            <w:pPr>
              <w:pStyle w:val="Normal6"/>
            </w:pPr>
          </w:p>
        </w:tc>
        <w:tc>
          <w:tcPr>
            <w:tcW w:w="4876" w:type="dxa"/>
          </w:tcPr>
          <w:p w:rsidR="00163620" w:rsidRPr="00953347" w:rsidRDefault="00163620" w:rsidP="006527B0">
            <w:pPr>
              <w:pStyle w:val="Normal6"/>
              <w:rPr>
                <w:szCs w:val="24"/>
              </w:rPr>
            </w:pPr>
            <w:r>
              <w:rPr>
                <w:b/>
                <w:i/>
              </w:rPr>
              <w:t>(3 bis)</w:t>
            </w:r>
            <w:r>
              <w:rPr>
                <w:b/>
                <w:i/>
              </w:rPr>
              <w:tab/>
              <w:t xml:space="preserve">Voor de ontwikkeling van hun economisch concurrentievermogen hadden insulaire, perifere en afgelegen gebieden geen andere mogelijkheid dan gebruik te maken van efficiënte luchtvervoersdiensten, die belangrijke economische stromen en andere aanjagers van economische ontwikkeling hebben bevorderd en mogelijk gemaakt. Een betere connectiviteit via de lucht heeft ruimere economische voordelen opgeleverd dan alleen de voordelen voor de onmiddellijke gebruikers van luchtvervoersnetwerken. Bovenop de voordelen van de luchtvaart die als directe economische voordelen kunnen worden beschouwd, fungeert de connectiviteit tussen de lidstaten via de lucht ook als een essentiële katalysator voor economische groei en sociale welvaart. Luchtverbindingen tussen centraal gelegen lidstaten en insulaire, perifere en </w:t>
            </w:r>
            <w:r>
              <w:rPr>
                <w:b/>
                <w:i/>
              </w:rPr>
              <w:lastRenderedPageBreak/>
              <w:t>afgelegen gebieden blijven een cruciale bijdrage leveren aan economische groei. Gelet hierop moet bij de belasting op brandstoffen voor de luchtvaart rekening kunnen worden gehouden, op basis van besluiten van de betrokken lidstaat, met specifieke maatregelen om de prijs van vliegtickets te beperken, met name om de toegankelijkheid en de territoriale continuïteit van de betrokken regio’s te waarborgen.</w:t>
            </w:r>
          </w:p>
        </w:tc>
      </w:tr>
    </w:tbl>
    <w:p w:rsidR="00163620" w:rsidRPr="00953347" w:rsidRDefault="00163620" w:rsidP="00163620">
      <w:pPr>
        <w:pStyle w:val="Olang"/>
      </w:pPr>
      <w:r w:rsidRPr="00953347">
        <w:rPr>
          <w:noProof w:val="0"/>
        </w:rPr>
        <w:lastRenderedPageBreak/>
        <w:t xml:space="preserve">Or. </w:t>
      </w:r>
      <w:r w:rsidRPr="00953347">
        <w:rPr>
          <w:rStyle w:val="HideTWBExt"/>
          <w:noProof w:val="0"/>
        </w:rPr>
        <w:t>&lt;Original&gt;</w:t>
      </w:r>
      <w:r w:rsidRPr="00953347">
        <w:rPr>
          <w:rStyle w:val="HideTWBInt"/>
          <w:rFonts w:eastAsiaTheme="majorEastAsia"/>
          <w:noProof w:val="0"/>
        </w:rPr>
        <w:t>{IT}</w:t>
      </w:r>
      <w:r w:rsidRPr="00953347">
        <w:rPr>
          <w:noProof w:val="0"/>
        </w:rPr>
        <w:t>it</w:t>
      </w:r>
      <w:r w:rsidRPr="00953347">
        <w:rPr>
          <w:rStyle w:val="HideTWBExt"/>
          <w:noProof w:val="0"/>
        </w:rPr>
        <w:t>&lt;/Original&gt;</w:t>
      </w:r>
    </w:p>
    <w:p w:rsidR="00163620" w:rsidRPr="00953347" w:rsidRDefault="00163620" w:rsidP="00163620">
      <w:r>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(3 bis)</w:t>
            </w:r>
            <w:r w:rsidRPr="004A2CF9">
              <w:rPr>
                <w:b/>
                <w:i/>
              </w:rPr>
              <w:tab/>
              <w:t xml:space="preserve">Het is van essentieel belang dat met deze richtlijn uitvoering wordt gegeven aan de beginselen die voortvloeien uit de strategie van de Unie voor een geïntegreerd energiesysteem, zodat in de bepalingen de trapsgewijze prioriteit tot uiting komt om eerst energie-efficiëntie en </w:t>
            </w:r>
            <w:r w:rsidRPr="004A2CF9">
              <w:rPr>
                <w:b/>
                <w:i/>
              </w:rPr>
              <w:noBreakHyphen/>
              <w:t>besparingen in de hele economie, vervolgens rechtstreekse hernieuwbare elektrificatie en, voor toepassingen waarvan de uitstoot niet op een andere manier kan worden teruggedrongen, het gebruik van duurzame, op hernieuwbare energiebronnen gebaseerde brandstoffen te bevorderen, alsook een beter gebruik van warmte en opslag om verdere integratie tussen sectoren te bevorderen zodat de energietransitie wordt ondersteund en de betrokkenheid van burgers wordt gestimuleerd, terwijl de kosten voor de Europese autoriteiten en de Europese burgers betaalbaar blijven.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Thomas Bajada, Costas Mavrides, Carla Tavares, Sérgio Gonçalves, Alex Agius Saliba, André Rodrigues, Francisco Assis, Daniel Attard, Irene Tinagli</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(3 bis)</w:t>
            </w:r>
            <w:r w:rsidRPr="004A2CF9">
              <w:rPr>
                <w:b/>
                <w:i/>
              </w:rPr>
              <w:tab/>
              <w:t>Voor de ontwikkeling van hun economisch concurrentievermogen hebben afgelegen, perifere, ultraperifere en eilandgebieden weinig andere mogelijkheden dan zich te verlaten op luchtvervoer, waardoor belangrijke economische stromen en andere aanjagers van economische ontwikkeling worden bevorderd en mogelijk worden gemaakt. Een betere connectiviteit via de lucht heeft ruimere economische voordelen opgeleverd dan alleen de voordelen voor de onmiddellijke gebruikers van luchtvervoersnetwerken. Tot er milieuvriendelijkere alternatieven beschikbaar zijn, zullen afgelegen, perifere en eilandgebieden in economisch opzicht achterblijven bij centrale gebieden.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(3 bis)</w:t>
            </w:r>
            <w:r w:rsidRPr="004A2CF9">
              <w:rPr>
                <w:b/>
                <w:i/>
              </w:rPr>
              <w:tab/>
              <w:t xml:space="preserve">Luchtvervoer speelt een belangrijke rol bij het waarborgen van territoriale cohesie en toegankelijkheid voor perifere, ultraperifere, bergachtige, </w:t>
            </w:r>
            <w:r w:rsidRPr="004A2CF9">
              <w:rPr>
                <w:b/>
                <w:i/>
              </w:rPr>
              <w:lastRenderedPageBreak/>
              <w:t>dunbevolkte en eilandgebieden. Betere en betaalbare connectiviteit kan de economische ontwikkeling en sociale inclusie in deze gebieden ondersteunen. Tegelijkertijd is uit milieuoverwegingen een evenwichtige aanpak nodig die essentiële connectiviteit waarborgt en waar mogelijk duurzamere vormen van vervoer aanmoedigt.</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Katri Kulmuni, Gilles Boyer</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4</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(4)</w:t>
            </w:r>
            <w:r w:rsidRPr="004A2CF9">
              <w:tab/>
            </w:r>
            <w:r w:rsidRPr="004A2CF9">
              <w:rPr>
                <w:b/>
                <w:i/>
              </w:rPr>
              <w:t>Energiebelasting</w:t>
            </w:r>
            <w:r w:rsidRPr="004A2CF9">
              <w:t xml:space="preserve"> kan voor de lidstaten een kosteneffectief middel zijn om de beoogde verminderingen van broeikasgassen te verwezenlijken. Voor de goede werking van de interne markt zijn gemeenschappelijke regels </w:t>
            </w:r>
            <w:r w:rsidRPr="004A2CF9">
              <w:rPr>
                <w:b/>
                <w:i/>
              </w:rPr>
              <w:t>inzake</w:t>
            </w:r>
            <w:r w:rsidRPr="004A2CF9">
              <w:t xml:space="preserve"> die </w:t>
            </w:r>
            <w:r w:rsidRPr="004A2CF9">
              <w:rPr>
                <w:b/>
                <w:i/>
              </w:rPr>
              <w:t>belasting vereist</w:t>
            </w:r>
            <w:r w:rsidRPr="004A2CF9">
              <w:t>.</w:t>
            </w:r>
          </w:p>
        </w:tc>
        <w:tc>
          <w:tcPr>
            <w:tcW w:w="4876" w:type="dxa"/>
          </w:tcPr>
          <w:p w:rsidR="00163620" w:rsidRPr="004A2CF9" w:rsidRDefault="00163620" w:rsidP="006527B0">
            <w:pPr>
              <w:pStyle w:val="Normal6"/>
              <w:rPr>
                <w:szCs w:val="24"/>
              </w:rPr>
            </w:pPr>
            <w:r w:rsidRPr="004A2CF9">
              <w:t>(4)</w:t>
            </w:r>
            <w:r w:rsidRPr="004A2CF9">
              <w:tab/>
            </w:r>
            <w:r w:rsidRPr="004A2CF9">
              <w:rPr>
                <w:b/>
                <w:i/>
              </w:rPr>
              <w:t>De belasting van energieproducten en elektriciteit</w:t>
            </w:r>
            <w:r w:rsidRPr="004A2CF9">
              <w:t xml:space="preserve"> kan voor de lidstaten</w:t>
            </w:r>
            <w:r w:rsidRPr="004A2CF9">
              <w:rPr>
                <w:b/>
                <w:i/>
              </w:rPr>
              <w:t>, en dus voor de Unie als geheel,</w:t>
            </w:r>
            <w:r w:rsidRPr="004A2CF9">
              <w:t xml:space="preserve"> een kosteneffectief middel zijn om de beoogde verminderingen van broeikasgassen te verwezenlijken</w:t>
            </w:r>
            <w:r w:rsidRPr="004A2CF9">
              <w:rPr>
                <w:b/>
                <w:i/>
              </w:rPr>
              <w:t>, energieonafhankelijkheid te stimuleren en aan te sporen tot het gebruik van niet-fossiele energiebronnen</w:t>
            </w:r>
            <w:r w:rsidRPr="004A2CF9">
              <w:t xml:space="preserve">. Voor de goede werking van de interne markt zijn gemeenschappelijke regels </w:t>
            </w:r>
            <w:r w:rsidRPr="004A2CF9">
              <w:rPr>
                <w:b/>
                <w:i/>
              </w:rPr>
              <w:t>vereist</w:t>
            </w:r>
            <w:r w:rsidRPr="004A2CF9">
              <w:t xml:space="preserve"> die </w:t>
            </w:r>
            <w:r w:rsidRPr="004A2CF9">
              <w:rPr>
                <w:b/>
                <w:i/>
              </w:rPr>
              <w:t>beantwoorden aan de specifieke sociaal-economische kenmerken van de lidstaten</w:t>
            </w:r>
            <w:r w:rsidRPr="004A2CF9">
              <w: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Thomas Bajada, Costas Mavrides, Carla Tavares, Sérgio Gonçalves, Alex Agius Saliba, André Rodrigues, Francisco Assis, Daniel Attard, Irene Tinagli</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4</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(4)</w:t>
            </w:r>
            <w:r w:rsidRPr="004A2CF9">
              <w:tab/>
              <w:t>Energiebelasting kan voor de lidstaten een kosteneffectief middel zijn om de beoogde verminderingen van broeikasgassen te verwezenlijken. Voor de goede werking van de interne markt zijn gemeenschappelijke regels inzake die belasting vereist.</w:t>
            </w:r>
          </w:p>
        </w:tc>
        <w:tc>
          <w:tcPr>
            <w:tcW w:w="4876" w:type="dxa"/>
          </w:tcPr>
          <w:p w:rsidR="00163620" w:rsidRPr="004A2CF9" w:rsidRDefault="00163620" w:rsidP="006527B0">
            <w:pPr>
              <w:pStyle w:val="Normal6"/>
              <w:rPr>
                <w:szCs w:val="24"/>
              </w:rPr>
            </w:pPr>
            <w:r w:rsidRPr="004A2CF9">
              <w:t>(4)</w:t>
            </w:r>
            <w:r w:rsidRPr="004A2CF9">
              <w:tab/>
              <w:t>Energiebelasting kan voor de lidstaten een kosteneffectief middel zijn om de beoogde verminderingen van broeikasgassen te verwezenlijken. Voor de goede werking van de interne markt zijn gemeenschappelijke regels inzake die belasting vereist</w:t>
            </w:r>
            <w:r w:rsidRPr="004A2CF9">
              <w:rPr>
                <w:b/>
                <w:i/>
              </w:rPr>
              <w:t>, waarbij de flexibiliteit van de lidstaten met betrekking tot bepaalde belastingprerogatieven bewaard moet blijven, niet in het minst met het oog op het bevorderen van de economische en sociale ontwikkeling van hun afgelegen, perifere, ultraperifere en eilandgebieden</w:t>
            </w:r>
            <w:r w:rsidRPr="004A2CF9">
              <w: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4</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(4)</w:t>
            </w:r>
            <w:r w:rsidRPr="004A2CF9">
              <w:tab/>
              <w:t xml:space="preserve">Energiebelasting </w:t>
            </w:r>
            <w:r w:rsidRPr="004A2CF9">
              <w:rPr>
                <w:b/>
                <w:i/>
              </w:rPr>
              <w:t>kan</w:t>
            </w:r>
            <w:r w:rsidRPr="004A2CF9">
              <w:t xml:space="preserve"> voor de lidstaten een kosteneffectief middel </w:t>
            </w:r>
            <w:r w:rsidRPr="004A2CF9">
              <w:rPr>
                <w:b/>
                <w:i/>
              </w:rPr>
              <w:t>zijn om</w:t>
            </w:r>
            <w:r w:rsidRPr="004A2CF9">
              <w:t xml:space="preserve"> de beoogde verminderingen van broeikasgassen te verwezenlijken. Voor de goede werking van de interne markt zijn gemeenschappelijke regels inzake die belasting vereist.</w:t>
            </w:r>
          </w:p>
        </w:tc>
        <w:tc>
          <w:tcPr>
            <w:tcW w:w="4876" w:type="dxa"/>
          </w:tcPr>
          <w:p w:rsidR="00163620" w:rsidRPr="004A2CF9" w:rsidRDefault="00163620" w:rsidP="006527B0">
            <w:pPr>
              <w:pStyle w:val="Normal6"/>
              <w:rPr>
                <w:szCs w:val="24"/>
              </w:rPr>
            </w:pPr>
            <w:r w:rsidRPr="004A2CF9">
              <w:t>(4)</w:t>
            </w:r>
            <w:r w:rsidRPr="004A2CF9">
              <w:tab/>
              <w:t xml:space="preserve">Energiebelasting </w:t>
            </w:r>
            <w:r w:rsidRPr="004A2CF9">
              <w:rPr>
                <w:b/>
                <w:i/>
              </w:rPr>
              <w:t>is</w:t>
            </w:r>
            <w:r w:rsidRPr="004A2CF9">
              <w:t xml:space="preserve"> voor de </w:t>
            </w:r>
            <w:r w:rsidRPr="004A2CF9">
              <w:rPr>
                <w:b/>
                <w:i/>
              </w:rPr>
              <w:t xml:space="preserve">Unie en de </w:t>
            </w:r>
            <w:r w:rsidRPr="004A2CF9">
              <w:t xml:space="preserve">lidstaten een kosteneffectief middel </w:t>
            </w:r>
            <w:r w:rsidRPr="004A2CF9">
              <w:rPr>
                <w:b/>
                <w:i/>
              </w:rPr>
              <w:t>om energie-onafhankelijk te worden en</w:t>
            </w:r>
            <w:r w:rsidRPr="004A2CF9">
              <w:t xml:space="preserve"> de beoogde verminderingen van broeikasgassen te verwezenlijken</w:t>
            </w:r>
            <w:r w:rsidRPr="004A2CF9">
              <w:rPr>
                <w:b/>
                <w:i/>
              </w:rPr>
              <w:t>, de energiebesparingen en de energie-efficiëntie te verbeteren en tegelijkertijd het gebruik van hernieuwbare energiebronnen te stimuleren</w:t>
            </w:r>
            <w:r w:rsidRPr="004A2CF9">
              <w:t>. Voor de goede werking van de interne markt zijn gemeenschappelijke regels inzake die belasting vereist.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Sirpa Pietikäinen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lastRenderedPageBreak/>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4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(4 bis)</w:t>
            </w:r>
            <w:r w:rsidRPr="004A2CF9">
              <w:rPr>
                <w:b/>
                <w:i/>
              </w:rPr>
              <w:tab/>
              <w:t>Waterstof is een van de meest veelbelovende opties voor de decarbonisatie van energieproducten, zowel op industriële schaal als op het niveau van de consument. Deze richtlijn moet daarom een duidelijk marktsignaal ten gunste van groene waterstof afgeven door de kosten ervan te verlagen en de beschikbaarheid ervan te vergroten.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119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Sirpa Pietikäinen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4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(4 ter)</w:t>
            </w:r>
            <w:r w:rsidRPr="004A2CF9">
              <w:rPr>
                <w:b/>
                <w:i/>
              </w:rPr>
              <w:tab/>
              <w:t>Vooral met betrekking tot de decarbonisatie van de automobielindustrie is voor groene waterstof een essentiële rol weggelegd. Daarom is het van cruciaal belang ongelijkheden in de belastingheffing op groene waterstof voor wegvoertuigen te beperken, ongeacht of de technologie wordt gebruikt in verbrandingsmotoren of als brandstofcellen.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5</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(5)</w:t>
            </w:r>
            <w:r w:rsidRPr="004A2CF9">
              <w:tab/>
              <w:t>De lidstaten moeten echter in staat zijn om energiebelasting op motorbrandstoffen, verwarmingsbrandstoffen en elektriciteit te gebruiken voor allerlei doeleinden die niet noodzakelijk noch specifiek noch uitsluitend betrekking hebben op de vermindering van broeikasgassen.</w:t>
            </w:r>
          </w:p>
        </w:tc>
        <w:tc>
          <w:tcPr>
            <w:tcW w:w="4876" w:type="dxa"/>
          </w:tcPr>
          <w:p w:rsidR="00163620" w:rsidRPr="004A2CF9" w:rsidRDefault="00163620" w:rsidP="006527B0">
            <w:pPr>
              <w:pStyle w:val="Normal6"/>
              <w:rPr>
                <w:szCs w:val="24"/>
              </w:rPr>
            </w:pPr>
            <w:r w:rsidRPr="004A2CF9">
              <w:t>(5)</w:t>
            </w:r>
            <w:r w:rsidRPr="004A2CF9">
              <w:tab/>
              <w:t>De lidstaten moeten echter in staat zijn om energiebelasting op motorbrandstoffen, verwarmingsbrandstoffen en elektriciteit te gebruiken voor allerlei doeleinden die niet noodzakelijk noch specifiek noch uitsluitend betrekking hebben op de vermindering van broeikasgassen</w:t>
            </w:r>
            <w:r w:rsidRPr="004A2CF9">
              <w:rPr>
                <w:b/>
                <w:i/>
              </w:rPr>
              <w:t xml:space="preserve"> of luchtvervuiling.</w:t>
            </w:r>
            <w:r w:rsidRPr="004A2CF9">
              <w:t xml:space="preserve"> </w:t>
            </w:r>
            <w:r w:rsidRPr="004A2CF9">
              <w:rPr>
                <w:b/>
                <w:i/>
              </w:rPr>
              <w:t>Met name moet de mogelijkheid worden gewaarborgd om de belastingdruk voor huishoudens met een laag inkomen, kwetsbare huishoudens en huishoudens die in energiearmoede verkeren, te verlagen, met name wanneer zij huurders zijn.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121</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5</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(5)</w:t>
            </w:r>
            <w:r w:rsidRPr="004A2CF9">
              <w:tab/>
              <w:t>De lidstaten moeten echter in staat zijn om energiebelasting op motorbrandstoffen, verwarmingsbrandstoffen en elektriciteit te gebruiken voor allerlei doeleinden die niet noodzakelijk noch specifiek noch uitsluitend betrekking hebben op de vermindering van broeikasgassen.</w:t>
            </w:r>
          </w:p>
        </w:tc>
        <w:tc>
          <w:tcPr>
            <w:tcW w:w="4876" w:type="dxa"/>
          </w:tcPr>
          <w:p w:rsidR="00163620" w:rsidRPr="004A2CF9" w:rsidRDefault="00163620" w:rsidP="006527B0">
            <w:pPr>
              <w:pStyle w:val="Normal6"/>
              <w:rPr>
                <w:szCs w:val="24"/>
              </w:rPr>
            </w:pPr>
            <w:r w:rsidRPr="004A2CF9">
              <w:t>(5)</w:t>
            </w:r>
            <w:r w:rsidRPr="004A2CF9">
              <w:tab/>
              <w:t>De lidstaten moeten echter in staat zijn om energiebelasting op motorbrandstoffen, verwarmingsbrandstoffen en elektriciteit te gebruiken voor allerlei doeleinden die niet noodzakelijk noch specifiek noch uitsluitend betrekking hebben op de vermindering van broeikasgassen</w:t>
            </w:r>
            <w:r w:rsidRPr="004A2CF9">
              <w:rPr>
                <w:b/>
                <w:i/>
              </w:rPr>
              <w:t>, zoals het verhogen van de inkomsten</w:t>
            </w:r>
            <w:r w:rsidRPr="004A2CF9">
              <w: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lastRenderedPageBreak/>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5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(5 bis)</w:t>
            </w:r>
            <w:r w:rsidRPr="004A2CF9">
              <w:rPr>
                <w:b/>
                <w:i/>
              </w:rPr>
              <w:tab/>
              <w:t>De COVID-19-pandemie en de geopolitieke ontwikkelingen van de afgelopen jaren hebben het energielandschap in de Unie aanzienlijk veranderd, waardoor de beperkingen zijn blootgelegd van een marktkader dat enkele decennia geleden is opgezet, toen de elektriciteitsopwekking voornamelijk gecentraliseerd en op basis van fossiele bronnen was. De huidige opzet van de groothandelsmarkt voor elektriciteit, waar de prijzen vaak worden bepaald door opwekking op basis van gas, heeft geleid tot prijsvolatiliteit en ook tot te hoge prijzen voor hernieuwbare elektriciteit. Deze situatie ondermijnt de hogere betaalbaarheid en het concurrentievermogen van schone energie en vraagt om zowel noodmaatregelen als structurele hervormingen. In dit verband moet de Unie streven naar een geleidelijke ontkoppeling van de prijzen van hernieuwbare elektriciteit van de gasprijzen op de groothandelsmarkten om de reële kosten van verschillende energiebronnen te weerspiegelen, de bescherming van consumenten en bedrijven te verbeteren en de transitie naar een klimaatneutrale economie en naar de energieonafhankelijkheid van de Unie te ondersteunen.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6</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(6)</w:t>
            </w:r>
            <w:r w:rsidRPr="004A2CF9">
              <w:tab/>
              <w:t>Aanmerkelĳke verschillen tussen de door de lidstaten toegepaste nationale belastingniveaus kunnen nadelig blijken voor de goede werking van de interne markt.</w:t>
            </w:r>
          </w:p>
        </w:tc>
        <w:tc>
          <w:tcPr>
            <w:tcW w:w="4876" w:type="dxa"/>
          </w:tcPr>
          <w:p w:rsidR="00163620" w:rsidRPr="004A2CF9" w:rsidRDefault="00163620" w:rsidP="006527B0">
            <w:pPr>
              <w:pStyle w:val="Normal6"/>
              <w:rPr>
                <w:szCs w:val="24"/>
              </w:rPr>
            </w:pPr>
            <w:r w:rsidRPr="004A2CF9">
              <w:t>(6)</w:t>
            </w:r>
            <w:r w:rsidRPr="004A2CF9">
              <w:tab/>
              <w:t xml:space="preserve">Aanmerkelijke verschillen tussen de door de lidstaten toegepaste nationale belastingniveaus kunnen nadelig blijken voor de goede werking van de interne markt </w:t>
            </w:r>
            <w:r w:rsidRPr="004A2CF9">
              <w:rPr>
                <w:b/>
                <w:i/>
              </w:rPr>
              <w:t>en voor het behalen van de klimaat- en energiedoelstellingen</w:t>
            </w:r>
            <w:r w:rsidRPr="004A2CF9">
              <w:t xml:space="preserve">. </w:t>
            </w:r>
            <w:r w:rsidRPr="004A2CF9">
              <w:rPr>
                <w:b/>
                <w:i/>
              </w:rPr>
              <w:t>De Europese Rekenkamer heeft ook vastgesteld dat de mate van belastingheffing op energiebronnen in de Europese Unie niet strookt met de broeikasgassen die zij uitstoten. Bovendien vormde de prijs van energieproducten geen afspiegeling van de milieukosten van de emissies.</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Thomas Bajada, Costas Mavrides, Carla Tavares, Sérgio Gonçalves, Alex Agius Saliba, André Rodrigues, Francisco Assis, Daniel Attard, Irene Tinagli</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7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(7 bis)</w:t>
            </w:r>
            <w:r w:rsidRPr="004A2CF9">
              <w:rPr>
                <w:b/>
                <w:i/>
              </w:rPr>
              <w:tab/>
              <w:t xml:space="preserve">Voor eilandgebieden zonder weg-, spoor- of brugverbindingen met het Europese vasteland, en voor perifere, ultraperifere en afgelegen gebieden, in het bijzonder die gebieden waarvan de economie sterk afhankelijk is van het toerisme, moeten vluchten van en naar dergelijke gebieden gedurende de eerste vijf jaar worden vrijgesteld van de kerosinebelasting, die vervolgens gedurende de volgende vijf jaar in vijf gelijke jaarlijkse stappen moet worden verhoogd tot de niveaus die voor alle vluchten moeten worden bereikt aan het einde van de tienjarige periode. Alle nodige voorzorgsmaatregelen moeten worden getroffen om een verlegging van het verkeer met betrekking tot </w:t>
            </w:r>
            <w:r w:rsidRPr="004A2CF9">
              <w:rPr>
                <w:b/>
                <w:i/>
              </w:rPr>
              <w:lastRenderedPageBreak/>
              <w:t>kerosinegebruik te voorkomen.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pPr>
        <w:pStyle w:val="JustificationTitle"/>
        <w:rPr>
          <w:noProof w:val="0"/>
        </w:rPr>
      </w:pPr>
      <w:r w:rsidRPr="004A2CF9">
        <w:rPr>
          <w:rStyle w:val="HideTWBExt"/>
          <w:i w:val="0"/>
        </w:rPr>
        <w:t>&lt;TitreJust&gt;</w:t>
      </w:r>
      <w:r w:rsidRPr="004A2CF9">
        <w:t>Motivering</w:t>
      </w:r>
      <w:r w:rsidRPr="004A2CF9">
        <w:rPr>
          <w:rStyle w:val="HideTWBExt"/>
          <w:i w:val="0"/>
        </w:rPr>
        <w:t>&lt;/TitreJust&gt;</w:t>
      </w:r>
    </w:p>
    <w:p w:rsidR="00163620" w:rsidRPr="004A2CF9" w:rsidRDefault="00163620" w:rsidP="00163620">
      <w:pPr>
        <w:pStyle w:val="Normal12Italic"/>
        <w:rPr>
          <w:noProof w:val="0"/>
        </w:rPr>
      </w:pPr>
      <w:r w:rsidRPr="004A2CF9">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Thomas Bajada, Costas Mavrides, Carla Tavares, Sérgio Gonçalves, Alex Agius Saliba, André Rodrigues, Francisco Assis, Daniel Attard, Irene Tinagli</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7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(7 ter)</w:t>
            </w:r>
            <w:r w:rsidRPr="004A2CF9">
              <w:rPr>
                <w:b/>
                <w:i/>
              </w:rPr>
              <w:tab/>
              <w:t>Om een passend niveau van connectiviteit met ultraperifere en eilandgebieden tegen betaalbare prijzen te waa</w:t>
            </w:r>
            <w:r>
              <w:rPr>
                <w:b/>
                <w:i/>
              </w:rPr>
              <w:t>rborgen, biedt Verordening (EU) </w:t>
            </w:r>
            <w:r w:rsidRPr="004A2CF9">
              <w:rPr>
                <w:b/>
                <w:i/>
              </w:rPr>
              <w:t>2023/1805 betreffende het gebruik van hernieuwbare en koolstofarme brandstoffen in het zeevervoer de lidstaten de algemene mogelijkheid om reizen van passagiersschepen, met uitzondering van cruiseschepen, naar eilanden met minder dan 200 000 permanente ingezetenen en binnenlandse reizen naar eilanden die worden uitgevoerd in het kader van een openbaredienstcontract of waarvoor een openbaredienstverplichting geldt, vrij te stellen.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lastRenderedPageBreak/>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8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(8 bis)</w:t>
            </w:r>
            <w:r w:rsidRPr="004A2CF9">
              <w:rPr>
                <w:b/>
                <w:i/>
              </w:rPr>
              <w:tab/>
              <w:t>Er is dringend behoefte aan ambitieuze maatregelen om de klimaatverandering en de milieuproblemen te bestrijden en de opwarming van de aarde te beperken tot 1,5 °C, teneinde de gevolgen van de klimaatverandering voor de aarde, en dus ook voor de visserij en aquacultuur, te beperken tot het minst negatieve scenario. De EU heeft zich ertoe verbonden om uiterlijk in 2050 broeikasgasemissieneutraliteit te bereiken, zoals bevestigd wordt in de Europese Green Deal.</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8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(8 ter)</w:t>
            </w:r>
            <w:r w:rsidRPr="004A2CF9">
              <w:rPr>
                <w:b/>
                <w:i/>
              </w:rPr>
              <w:tab/>
              <w:t>De klimaatverandering tast het mariene milieu wereldwijd aan en vormt een toenemende stressfactor voor ecosystemen die nu al te kampen hebben met een groot aantal andere belastingen, zoals vervuiling, habitatverlies en biodiversiteitsverlies.</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lastRenderedPageBreak/>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8 quater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(8 quater)</w:t>
            </w:r>
            <w:r w:rsidRPr="004A2CF9">
              <w:rPr>
                <w:b/>
                <w:i/>
              </w:rPr>
              <w:tab/>
              <w:t>De stijgende temperatuur van het zeewater is een probleem dat meerdere zeebassins in Europa treft en alle vissers in de gehele sector ondervinden de gevolgen ervan.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129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Markus Ferber</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11</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(11)</w:t>
            </w:r>
            <w:r w:rsidRPr="004A2CF9">
              <w:tab/>
              <w:t xml:space="preserve">De lidstaten moeten ook te allen tijde de rangschikking van de in de bijlage met betrekking tot verschillende producten voor een bepaald gebruik vastgestelde minimumbelastingniveaus overnemen, met het oog op een milieugerichte tariefstructuur. </w:t>
            </w:r>
            <w:r w:rsidRPr="004A2CF9">
              <w:rPr>
                <w:b/>
                <w:i/>
              </w:rPr>
              <w:t>De minimumniveaus van de energiebelasting moeten automatisch jaarlijks worden afgestemd om rekening te houden met de ontwikkeling van de reële waarde ervan, teneinde het huidige niveau van tariefharmonisatie te behouden en de door de energie- en voedselprijzen veroorzaakte volatiliteit te verminderen. Deze afstemming moet gebeuren op basis van de wijzigingen van het Uniebrede geharmoniseerde indexcijfer van consumptieprijzen exclusief energie en onbewerkte voedingsmiddelen, zoals gepubliceerd door Eurostat.</w:t>
            </w:r>
          </w:p>
        </w:tc>
        <w:tc>
          <w:tcPr>
            <w:tcW w:w="4876" w:type="dxa"/>
          </w:tcPr>
          <w:p w:rsidR="00163620" w:rsidRPr="004A2CF9" w:rsidRDefault="00163620" w:rsidP="006527B0">
            <w:pPr>
              <w:pStyle w:val="Normal6"/>
              <w:rPr>
                <w:szCs w:val="24"/>
              </w:rPr>
            </w:pPr>
            <w:r w:rsidRPr="004A2CF9">
              <w:t>(11)</w:t>
            </w:r>
            <w:r w:rsidRPr="004A2CF9">
              <w:tab/>
              <w:t>De lidstaten moeten ook te allen tijde de rangschikking van de in de bijlage met betrekking tot verschillende producten voor een bepaald gebruik vastgestelde minimumbelastingniveaus overnemen, met het oog op een milieugerichte tariefstructuur.</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lastRenderedPageBreak/>
        <w:t>&lt;Amend&gt;</w:t>
      </w:r>
      <w:r w:rsidRPr="004A2CF9">
        <w:t>Amendement</w:t>
      </w:r>
      <w:r w:rsidRPr="004A2CF9">
        <w:tab/>
      </w:r>
      <w:r w:rsidRPr="004A2CF9">
        <w:tab/>
      </w:r>
      <w:r w:rsidRPr="004A2CF9">
        <w:rPr>
          <w:rStyle w:val="HideTWBExt"/>
          <w:b w:val="0"/>
        </w:rPr>
        <w:t>&lt;NumAm&gt;</w:t>
      </w:r>
      <w:r w:rsidRPr="004A2CF9">
        <w:t>130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12</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(12)</w:t>
            </w:r>
            <w:r w:rsidRPr="004A2CF9">
              <w:tab/>
              <w:t xml:space="preserve">Met het oog op een soepele uitvoering van een aantal bepalingen inzake sommige producten </w:t>
            </w:r>
            <w:r w:rsidRPr="004A2CF9">
              <w:rPr>
                <w:b/>
                <w:i/>
              </w:rPr>
              <w:t>is</w:t>
            </w:r>
            <w:r w:rsidRPr="004A2CF9">
              <w:t xml:space="preserve"> een overgangsperiode nodig.</w:t>
            </w:r>
          </w:p>
        </w:tc>
        <w:tc>
          <w:tcPr>
            <w:tcW w:w="4876" w:type="dxa"/>
          </w:tcPr>
          <w:p w:rsidR="00163620" w:rsidRPr="004A2CF9" w:rsidRDefault="00163620" w:rsidP="006527B0">
            <w:pPr>
              <w:pStyle w:val="Normal6"/>
              <w:rPr>
                <w:szCs w:val="24"/>
              </w:rPr>
            </w:pPr>
            <w:r w:rsidRPr="004A2CF9">
              <w:t>(12)</w:t>
            </w:r>
            <w:r w:rsidRPr="004A2CF9">
              <w:tab/>
              <w:t xml:space="preserve">Met het oog op een soepele uitvoering van een aantal bepalingen inzake sommige producten </w:t>
            </w:r>
            <w:r w:rsidRPr="004A2CF9">
              <w:rPr>
                <w:b/>
                <w:i/>
              </w:rPr>
              <w:t>kan</w:t>
            </w:r>
            <w:r w:rsidRPr="004A2CF9">
              <w:t xml:space="preserve"> een overgangsperiode nodig</w:t>
            </w:r>
            <w:r w:rsidRPr="004A2CF9">
              <w:rPr>
                <w:b/>
                <w:i/>
              </w:rPr>
              <w:t xml:space="preserve"> zijn</w:t>
            </w:r>
            <w:r w:rsidRPr="004A2CF9">
              <w:t xml:space="preserve">. </w:t>
            </w:r>
            <w:r w:rsidRPr="004A2CF9">
              <w:rPr>
                <w:b/>
                <w:i/>
              </w:rPr>
              <w:t xml:space="preserve">De klimaatnoodtoestand vereist echter een snelle uitvoering van de bepalingen in deze richtlijn. </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131</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12</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(12)</w:t>
            </w:r>
            <w:r w:rsidRPr="004A2CF9">
              <w:tab/>
              <w:t xml:space="preserve">Met het oog op een soepele uitvoering van een aantal bepalingen inzake sommige producten </w:t>
            </w:r>
            <w:r w:rsidRPr="004A2CF9">
              <w:rPr>
                <w:b/>
                <w:i/>
              </w:rPr>
              <w:t>is</w:t>
            </w:r>
            <w:r w:rsidRPr="004A2CF9">
              <w:t xml:space="preserve"> een overgangsperiode nodig.</w:t>
            </w:r>
          </w:p>
        </w:tc>
        <w:tc>
          <w:tcPr>
            <w:tcW w:w="4876" w:type="dxa"/>
          </w:tcPr>
          <w:p w:rsidR="00163620" w:rsidRPr="004A2CF9" w:rsidRDefault="00163620" w:rsidP="006527B0">
            <w:pPr>
              <w:pStyle w:val="Normal6"/>
              <w:rPr>
                <w:szCs w:val="24"/>
              </w:rPr>
            </w:pPr>
            <w:r w:rsidRPr="004A2CF9">
              <w:t>(12)</w:t>
            </w:r>
            <w:r w:rsidRPr="004A2CF9">
              <w:tab/>
              <w:t xml:space="preserve">Met het oog op een soepele uitvoering van een aantal bepalingen inzake sommige producten </w:t>
            </w:r>
            <w:r w:rsidRPr="004A2CF9">
              <w:rPr>
                <w:b/>
                <w:i/>
              </w:rPr>
              <w:t>kan</w:t>
            </w:r>
            <w:r w:rsidRPr="004A2CF9">
              <w:t xml:space="preserve"> een overgangsperiode nodig</w:t>
            </w:r>
            <w:r w:rsidRPr="004A2CF9">
              <w:rPr>
                <w:b/>
                <w:i/>
              </w:rPr>
              <w:t xml:space="preserve"> zijn</w:t>
            </w:r>
            <w:r w:rsidRPr="004A2CF9">
              <w: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13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(13 bis)</w:t>
            </w:r>
            <w:r w:rsidRPr="004A2CF9">
              <w:rPr>
                <w:b/>
                <w:i/>
              </w:rPr>
              <w:tab/>
              <w:t xml:space="preserve">De EU-regelingen voor de handel in emissierechten (ETS1 en ETS2), die zijn vastgesteld bij Richtlijn 2003/87/EG en Richtlijn (EU) 2023/959, </w:t>
            </w:r>
            <w:r w:rsidRPr="004A2CF9">
              <w:rPr>
                <w:b/>
                <w:i/>
              </w:rPr>
              <w:lastRenderedPageBreak/>
              <w:t>voorzien in robuuste marktgebaseerde mechanismen om de koolstofkosten van het verbruik van fossiele brandstoffen te internaliseren in alle sectoren, waaronder energie, industrie, luchtvaart, zeevervoer, gebouwen en wegvervoer, om te zorgen voor een geleidelijke vermindering van de broeikasgasemissies in overeenstemming met de doelstelling van de Unie inzake klimaatneutraliteit in 2050. Om de efficiëntie van deze systemen te maximaliseren en het sociale en economische weefsel van de Unie te beschermen, is het absoluut noodzakelijk een einde te maken aan overlappende fiscale maatregelen die hetzelfde externe milieueffect belasten en zo de cumulatieve lasten voor burgers en bedrijven te verlichten.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13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(13 ter)</w:t>
            </w:r>
            <w:r w:rsidRPr="004A2CF9">
              <w:rPr>
                <w:b/>
                <w:i/>
              </w:rPr>
              <w:tab/>
              <w:t xml:space="preserve">Door de overlapping tussen koolstofbeprijzing in het kader van ETS1 en ETS2 en energiebelasting in het kader van deze richtlijn bestaat het risico op dubbele belastingheffing, wat onevenredige gevolgen heeft voor huishoudens en het concurrentievermogen van Europese bedrijven in de industrie, het vervoer en binnenlandse sectoren ondermijnt. Het verlagen van de minimumbelastingtarieven voor energieproducten en elektriciteit die daadwerkelijk onder ETS1 of ETS2 vallen, is van essentieel belang om buitensporige kosten te voorkomen en te waarborgen dat de groene transitie </w:t>
            </w:r>
            <w:r w:rsidRPr="004A2CF9">
              <w:rPr>
                <w:b/>
                <w:i/>
              </w:rPr>
              <w:lastRenderedPageBreak/>
              <w:t>betaalbaar en duurzaam is, en zorgt ervoor dat het ETS als alomvattend instrument voor decarbonisatie wordt versterkt.</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13 quater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(13 quater)</w:t>
            </w:r>
            <w:r w:rsidRPr="004A2CF9">
              <w:rPr>
                <w:b/>
                <w:i/>
              </w:rPr>
              <w:tab/>
              <w:t>De lidstaten moeten de flexibiliteit hebben om de energiebelasting aan te passen om het prijssignaal dat voortvloeit uit de toepasselijke ETS-koolstofprijs (ETS1 of ETS2) niet te verstoren. De ETS-inkomsten zijn ook gekoppeld aan energie en helpen bij het in evenwicht brengen van de decarbonisatie- en fiscale doelstellingen, terwijl consumenten worden beschermd tegen prijsvolatiliteit en eerlijke concurrentie in alle sectoren wordt gewaarborgd. Bij deze aanpassingen moet prioriteit worden gegeven aan betaalbaarheid voor burgers en huishoudens en moet het mondiale concurrentievermogen van de Unie worden versterkt, waarbij de beginselen van technologieneutraliteit en marktgestuurde innovatie in acht moeten worden genomen en tegelijkertijd de CO</w:t>
            </w:r>
            <w:r w:rsidRPr="004A2CF9">
              <w:rPr>
                <w:b/>
                <w:i/>
                <w:vertAlign w:val="subscript"/>
              </w:rPr>
              <w:t>2</w:t>
            </w:r>
            <w:r w:rsidRPr="004A2CF9">
              <w:rPr>
                <w:b/>
                <w:i/>
              </w:rPr>
              <w:t>-emissiereductiedoelstelling moet worden verwezenlijkt.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13 quinquies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(13 quinquies)</w:t>
            </w:r>
            <w:r w:rsidRPr="004A2CF9">
              <w:rPr>
                <w:b/>
                <w:i/>
              </w:rPr>
              <w:tab/>
              <w:t>De inzet van de Unie voor een rechtvaardige transitie vereist een billijke verdeling van de economische gevolgen van het klimaatbeleid. Door de energiebelasting af te stemmen op ETS1 en ETS2 vergemakkelijkt deze richtlijn de herinvestering van ETS-inkomsten, onder meer via het Sociaal Klimaatfonds en nationale klimaatinitiatieven, om rechtstreekse steun te verlenen aan burgers en bedrijven, waardoor het draagvlak wordt vergroot en het Europese project wordt versterkt.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14</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(14)</w:t>
            </w:r>
            <w:r w:rsidRPr="004A2CF9">
              <w:tab/>
              <w:t>Het staat elke lidstaat vrĳ te beslissen met welke fiscale regelingen uitvoering wordt gegeven aan dit Uniekader voor de belasting van energieproducten en elektriciteit. Te dien aanzien zouden lidstaten kunnen beslissen de totale belastingdruk niet te verhogen indien zĳ van oordeel zĳn dat toepassing van dit beginsel van belastingneutraliteit tot herstructurering en modernisering van hun belastingstelsels zou kunnen bĳdragen doordat milieubescherming en een betere benutting van de factor arbeid worden aangemoedigd.</w:t>
            </w:r>
          </w:p>
        </w:tc>
        <w:tc>
          <w:tcPr>
            <w:tcW w:w="4876" w:type="dxa"/>
          </w:tcPr>
          <w:p w:rsidR="00163620" w:rsidRPr="004A2CF9" w:rsidRDefault="00163620" w:rsidP="006527B0">
            <w:pPr>
              <w:pStyle w:val="Normal6"/>
              <w:rPr>
                <w:szCs w:val="24"/>
              </w:rPr>
            </w:pPr>
            <w:r w:rsidRPr="004A2CF9">
              <w:t>(14)</w:t>
            </w:r>
            <w:r w:rsidRPr="004A2CF9">
              <w:tab/>
              <w:t>Het staat elke lidstaat vrĳ te beslissen met welke fiscale regelingen uitvoering wordt gegeven aan dit Uniekader voor de belasting van energieproducten en elektriciteit. Te dien aanzien zouden lidstaten kunnen beslissen de totale belastingdruk niet te verhogen indien zĳ van oordeel zĳn dat toepassing van dit beginsel van belastingneutraliteit tot herstructurering en modernisering van hun belastingstelsels zou kunnen bĳdragen doordat milieubescherming</w:t>
            </w:r>
            <w:r w:rsidRPr="004A2CF9">
              <w:rPr>
                <w:b/>
                <w:i/>
              </w:rPr>
              <w:t>, onder meer door energie-efficiëntie en het gebruik van hernieuwbare energie te stimuleren,</w:t>
            </w:r>
            <w:r w:rsidRPr="004A2CF9">
              <w:t xml:space="preserve"> en een betere benutting van de factor arbeid worden aangemoedigd. </w:t>
            </w:r>
            <w:r w:rsidRPr="004A2CF9">
              <w:rPr>
                <w:b/>
                <w:i/>
              </w:rPr>
              <w:t xml:space="preserve">Het wordt sterk aangemoedigd het belastingstelsel zo te ontwerpen dat het potentieel regressieve karakter van de energiebelastingrichtlijn wordt gecompenseerd door een sterke </w:t>
            </w:r>
            <w:r w:rsidRPr="004A2CF9">
              <w:rPr>
                <w:b/>
                <w:i/>
              </w:rPr>
              <w:lastRenderedPageBreak/>
              <w:t>progressiviteit van het belastingstelsel, samen met herverdelend beleid.</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14</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(14)</w:t>
            </w:r>
            <w:r w:rsidRPr="004A2CF9">
              <w:tab/>
              <w:t>Het staat elke lidstaat vrĳ te beslissen met welke fiscale regelingen uitvoering wordt gegeven aan dit Uniekader voor de belasting van energieproducten en elektriciteit. Te dien aanzien zouden lidstaten kunnen beslissen de totale belastingdruk niet te verhogen indien zĳ van oordeel zĳn dat toepassing van dit beginsel van belastingneutraliteit tot herstructurering en modernisering van hun belastingstelsels zou kunnen bĳdragen doordat milieubescherming en een betere benutting van de factor arbeid worden aangemoedigd.</w:t>
            </w:r>
          </w:p>
        </w:tc>
        <w:tc>
          <w:tcPr>
            <w:tcW w:w="4876" w:type="dxa"/>
          </w:tcPr>
          <w:p w:rsidR="00163620" w:rsidRPr="004A2CF9" w:rsidRDefault="00163620" w:rsidP="006527B0">
            <w:pPr>
              <w:pStyle w:val="Normal6"/>
              <w:rPr>
                <w:szCs w:val="24"/>
              </w:rPr>
            </w:pPr>
            <w:r w:rsidRPr="004A2CF9">
              <w:t>(14)</w:t>
            </w:r>
            <w:r w:rsidRPr="004A2CF9">
              <w:tab/>
              <w:t>Het staat elke lidstaat vrĳ te beslissen met welke fiscale regelingen uitvoering wordt gegeven aan dit Uniekader voor de belasting van energieproducten en elektriciteit. Te dien aanzien zouden lidstaten kunnen beslissen de totale belastingdruk niet te verhogen indien zĳ van oordeel zĳn dat toepassing van dit beginsel van belastingneutraliteit tot herstructurering en modernisering van hun belastingstelsels zou kunnen bĳdragen doordat milieubescherming</w:t>
            </w:r>
            <w:r w:rsidRPr="004A2CF9">
              <w:rPr>
                <w:b/>
                <w:i/>
              </w:rPr>
              <w:t>, onder meer door energie-efficiëntie en het gebruik van hernieuwbare energie te stimuleren,</w:t>
            </w:r>
            <w:r w:rsidRPr="004A2CF9">
              <w:t xml:space="preserve"> en een betere benutting van de factor arbeid worden aangemoedigd. </w:t>
            </w:r>
            <w:r w:rsidRPr="004A2CF9">
              <w:rPr>
                <w:b/>
                <w:i/>
              </w:rPr>
              <w:t>Het moet sterk worden aangemoedigd om het belastingstelsel zo te ontwerpen dat vervoersarmoede effectief wordt voorkomen.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14</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(14)</w:t>
            </w:r>
            <w:r w:rsidRPr="004A2CF9">
              <w:tab/>
              <w:t>Het staat elke lidstaat vrĳ te beslissen met welke fiscale regelingen uitvoering wordt gegeven aan dit Uniekader voor de belasting van energieproducten en elektriciteit. Te dien aanzien zouden lidstaten kunnen beslissen de totale belastingdruk niet te verhogen indien zĳ van oordeel zĳn dat toepassing van dit beginsel van belastingneutraliteit tot herstructurering en modernisering van hun belastingstelsels zou kunnen bĳdragen doordat milieubescherming en een betere benutting van de factor arbeid worden aangemoedigd.</w:t>
            </w:r>
          </w:p>
        </w:tc>
        <w:tc>
          <w:tcPr>
            <w:tcW w:w="4876" w:type="dxa"/>
          </w:tcPr>
          <w:p w:rsidR="00163620" w:rsidRPr="004A2CF9" w:rsidRDefault="00163620" w:rsidP="006527B0">
            <w:pPr>
              <w:pStyle w:val="Normal6"/>
              <w:rPr>
                <w:szCs w:val="24"/>
              </w:rPr>
            </w:pPr>
            <w:r w:rsidRPr="004A2CF9">
              <w:t>(14)</w:t>
            </w:r>
            <w:r w:rsidRPr="004A2CF9">
              <w:tab/>
              <w:t xml:space="preserve">Het staat elke lidstaat vrĳ te beslissen met welke fiscale regelingen uitvoering wordt gegeven aan dit Uniekader voor de belasting van energieproducten en elektriciteit. Te dien aanzien zouden lidstaten kunnen beslissen de totale belastingdruk niet te verhogen indien zĳ van oordeel zĳn dat toepassing van dit beginsel van belastingneutraliteit tot herstructurering en modernisering van hun belastingstelsels zou kunnen bĳdragen doordat milieubescherming en een betere benutting van de factor arbeid worden aangemoedigd. </w:t>
            </w:r>
            <w:r w:rsidRPr="004A2CF9">
              <w:rPr>
                <w:b/>
                <w:i/>
              </w:rPr>
              <w:t>Het belastingstelsel moet zo zijn opgezet dat negatieve gevolgen voor huishoudens met een laag inkomen, met name huurders, worden vermeden.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139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14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(14 bis)</w:t>
            </w:r>
            <w:r w:rsidRPr="004A2CF9">
              <w:rPr>
                <w:b/>
                <w:i/>
              </w:rPr>
              <w:tab/>
              <w:t>De gemiddelde welvaartseffecten van het huidige voorstel worden in alle lidstaten als zeer beperkt beschouwd. Aangezien elektriciteit een groot deel uitmaakt van de uitgaven van huishoudens met een lager inkomen, hebben de voorgestelde verlagingen van de elektriciteitsbelasting een aanzienlijk progressief effect op de distributie in de hele EU en de distributie binnen alle lidstaten die ze zouden moeten toepassen.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lastRenderedPageBreak/>
        <w:t>&lt;Amend&gt;</w:t>
      </w:r>
      <w:r w:rsidRPr="004A2CF9">
        <w:t>Amendement</w:t>
      </w:r>
      <w:r w:rsidRPr="004A2CF9">
        <w:tab/>
      </w:r>
      <w:r w:rsidRPr="004A2CF9">
        <w:tab/>
      </w:r>
      <w:r w:rsidRPr="004A2CF9">
        <w:rPr>
          <w:rStyle w:val="HideTWBExt"/>
          <w:b w:val="0"/>
        </w:rPr>
        <w:t>&lt;NumAm&gt;</w:t>
      </w:r>
      <w:r w:rsidRPr="004A2CF9">
        <w:t>140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15</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(15)</w:t>
            </w:r>
            <w:r w:rsidRPr="004A2CF9">
              <w:tab/>
              <w:t>Energieprĳzen zĳn sleutelelementen van het energie-, vervoer- en milieubeleid van de Unie .</w:t>
            </w:r>
          </w:p>
        </w:tc>
        <w:tc>
          <w:tcPr>
            <w:tcW w:w="4876" w:type="dxa"/>
          </w:tcPr>
          <w:p w:rsidR="00163620" w:rsidRPr="004A2CF9" w:rsidRDefault="00163620" w:rsidP="006527B0">
            <w:pPr>
              <w:pStyle w:val="Normal6"/>
              <w:rPr>
                <w:szCs w:val="24"/>
              </w:rPr>
            </w:pPr>
            <w:r w:rsidRPr="004A2CF9">
              <w:t>(15)</w:t>
            </w:r>
            <w:r w:rsidRPr="004A2CF9">
              <w:tab/>
              <w:t>Energieprĳzen zĳn sleutelelementen van het energie-, vervo</w:t>
            </w:r>
            <w:r>
              <w:t>er- en milieubeleid van de Unie</w:t>
            </w:r>
            <w:r w:rsidRPr="004A2CF9">
              <w:t xml:space="preserve">. </w:t>
            </w:r>
            <w:r w:rsidRPr="004A2CF9">
              <w:rPr>
                <w:b/>
                <w:i/>
              </w:rPr>
              <w:t>In de context van hoge energieprijzen als gevolg van de volatiliteit op de internationale markten voor fossiele brandstoffen zouden de lidstaten de stijging van de detailhandelsprijzen voor kwetsbare huishoudens en micro-ondernemingen kunnen matigen door onder meer de belastingen en heffingen op de energierekeningen van consumenten te verlagen, zoals bepaald in de richtlijn betreffende de interne markt voo</w:t>
            </w:r>
            <w:r>
              <w:rPr>
                <w:b/>
                <w:i/>
              </w:rPr>
              <w:t>r elektriciteit (Richtlijn (EU) </w:t>
            </w:r>
            <w:r w:rsidRPr="004A2CF9">
              <w:rPr>
                <w:b/>
                <w:i/>
              </w:rPr>
              <w:t>2019/944), zoals ook in herinnering wordt gebracht in de mededeling van de Europese Commissie van 13 oktober 2021 getiteld “De stijgende energieprijzen aanpakken: een toolbox met initiatieven en steunmaatregelen”.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141</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15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(15 bis)</w:t>
            </w:r>
            <w:r w:rsidRPr="004A2CF9">
              <w:rPr>
                <w:b/>
                <w:i/>
              </w:rPr>
              <w:tab/>
              <w:t xml:space="preserve">In bepaalde omstandigheden moet het toegestaan zijn om op eenzelfde product gedifferentieerde nationale belastingniveaus toe te passen, mits die maatregel bedoeld is om alle huishoudens gelijke toegang te bieden tot die producten en om het openbaar vervoer </w:t>
            </w:r>
            <w:r w:rsidRPr="004A2CF9">
              <w:rPr>
                <w:b/>
                <w:i/>
              </w:rPr>
              <w:lastRenderedPageBreak/>
              <w:t>te promoten.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17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(17 bis)</w:t>
            </w:r>
            <w:r w:rsidRPr="004A2CF9">
              <w:rPr>
                <w:b/>
                <w:i/>
              </w:rPr>
              <w:tab/>
              <w:t>Alleen op het eindverbruik mogen energiebelastingen worden geheven, en noch het energieverbruik binnen de energiewaardeketen, noch enige vorm van conversie of opslag mag worden belast. Dat beginsel moet gelden voor alle vormen van energieomzettingsprocessen en voor energieproducten en elektriciteit die worden gebruikt voor het vervoer en de opslag van energieproducten en elektriciteit. In dat verband moet conversie worden begrepen als het proces waarbij een energievorm wordt omgezet in een andere, zoals het gebruik van aardgas om elektriciteit te genereren of de productie van waterstof uit elektriciteit of aardgas.</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18</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(18)</w:t>
            </w:r>
            <w:r w:rsidRPr="004A2CF9">
              <w:tab/>
              <w:t xml:space="preserve">Energieproducten die worden gebruikt als motorbrandstof voor bepaalde doeleinden en energieproducten die worden gebruikt als brandstof voor </w:t>
            </w:r>
            <w:r w:rsidRPr="004A2CF9">
              <w:lastRenderedPageBreak/>
              <w:t>verwarming, worden gewoonlĳk lager belast dan energieproducten die voor de voortbeweging worden gebruikt. Om het gebruik te stimuleren, moet elektriciteit altijd tot de laagst belaste energiebronnen behoren, met name in de vervoersector. Daartoe moeten de lidstaten ernaar streven om zo lang als nodig na de inwerkingtreding van deze richtlijn op elektriciteit die wordt gebruikt voor het opladen van elektrische voertuigen, hetzelfde belastingniveau toe te passen als dat voor verwarmingsdoeleinden.</w:t>
            </w:r>
          </w:p>
        </w:tc>
        <w:tc>
          <w:tcPr>
            <w:tcW w:w="4876" w:type="dxa"/>
          </w:tcPr>
          <w:p w:rsidR="00163620" w:rsidRPr="004A2CF9" w:rsidRDefault="00163620" w:rsidP="006527B0">
            <w:pPr>
              <w:pStyle w:val="Normal6"/>
              <w:rPr>
                <w:szCs w:val="24"/>
              </w:rPr>
            </w:pPr>
            <w:r w:rsidRPr="004A2CF9">
              <w:lastRenderedPageBreak/>
              <w:t>(18)</w:t>
            </w:r>
            <w:r w:rsidRPr="004A2CF9">
              <w:tab/>
              <w:t xml:space="preserve">Energieproducten die worden gebruikt als motorbrandstof voor bepaalde doeleinden en energieproducten die worden gebruikt als brandstof voor </w:t>
            </w:r>
            <w:r w:rsidRPr="004A2CF9">
              <w:lastRenderedPageBreak/>
              <w:t xml:space="preserve">verwarming, worden gewoonlĳk lager belast dan energieproducten die voor de voortbeweging worden gebruikt. Om het gebruik te stimuleren, moet elektriciteit altijd tot de laagst belaste energiebronnen behoren, met name in de vervoersector. Daartoe moeten de lidstaten ernaar streven om zo lang als nodig na de inwerkingtreding van deze richtlijn op elektriciteit die wordt gebruikt voor het opladen van elektrische voertuigen, hetzelfde belastingniveau toe te passen als dat voor verwarmingsdoeleinden. </w:t>
            </w:r>
            <w:r w:rsidRPr="004A2CF9">
              <w:rPr>
                <w:b/>
                <w:i/>
              </w:rPr>
              <w:t>In dit verband moet de Commissie een gedelegeerde handeling ontwikkelen en vaststellen om deze richtlijn aan te vullen met een gemeenschappelijk certificeringskader voor de identificatie van de oorsprong van de verbruikte elektriciteit.</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18</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(18)</w:t>
            </w:r>
            <w:r w:rsidRPr="004A2CF9">
              <w:tab/>
              <w:t xml:space="preserve">Energieproducten die worden gebruikt als motorbrandstof voor bepaalde doeleinden en energieproducten die worden gebruikt als brandstof voor verwarming, worden gewoonlĳk lager belast dan energieproducten die voor de voortbeweging worden gebruikt. Om het gebruik te stimuleren, moet elektriciteit altijd tot de laagst belaste energiebronnen behoren, </w:t>
            </w:r>
            <w:r w:rsidRPr="004A2CF9">
              <w:rPr>
                <w:b/>
                <w:i/>
              </w:rPr>
              <w:t>met name</w:t>
            </w:r>
            <w:r w:rsidRPr="004A2CF9">
              <w:t xml:space="preserve"> in de vervoersector. Daartoe moeten de lidstaten ernaar streven om zo lang als nodig na de inwerkingtreding van deze richtlijn op elektriciteit die wordt gebruikt voor het opladen van elektrische voertuigen, hetzelfde belastingniveau toe te passen als </w:t>
            </w:r>
            <w:r w:rsidRPr="004A2CF9">
              <w:lastRenderedPageBreak/>
              <w:t xml:space="preserve">dat voor </w:t>
            </w:r>
            <w:r w:rsidRPr="004A2CF9">
              <w:rPr>
                <w:b/>
                <w:i/>
              </w:rPr>
              <w:t>verwarmingsdoeleinden</w:t>
            </w:r>
            <w:r w:rsidRPr="004A2CF9">
              <w:t>.</w:t>
            </w:r>
          </w:p>
        </w:tc>
        <w:tc>
          <w:tcPr>
            <w:tcW w:w="4876" w:type="dxa"/>
          </w:tcPr>
          <w:p w:rsidR="00163620" w:rsidRPr="004A2CF9" w:rsidRDefault="00163620" w:rsidP="006527B0">
            <w:pPr>
              <w:pStyle w:val="Normal6"/>
              <w:rPr>
                <w:szCs w:val="24"/>
              </w:rPr>
            </w:pPr>
            <w:r w:rsidRPr="004A2CF9">
              <w:lastRenderedPageBreak/>
              <w:t>(18)</w:t>
            </w:r>
            <w:r w:rsidRPr="004A2CF9">
              <w:tab/>
              <w:t xml:space="preserve">Energieproducten die worden gebruikt als motorbrandstof voor bepaalde doeleinden en energieproducten die worden gebruikt als brandstof voor verwarming, worden gewoonlĳk lager belast dan energieproducten die voor de voortbeweging worden gebruikt. Om het gebruik te stimuleren, moet elektriciteit altijd tot de laagst belaste energiebronnen behoren, </w:t>
            </w:r>
            <w:r w:rsidRPr="004A2CF9">
              <w:rPr>
                <w:b/>
                <w:i/>
              </w:rPr>
              <w:t>onder meer</w:t>
            </w:r>
            <w:r w:rsidRPr="004A2CF9">
              <w:t xml:space="preserve"> in de vervoersector</w:t>
            </w:r>
            <w:r w:rsidRPr="004A2CF9">
              <w:rPr>
                <w:b/>
                <w:i/>
              </w:rPr>
              <w:t xml:space="preserve"> en voor verwarming en koeling</w:t>
            </w:r>
            <w:r w:rsidRPr="004A2CF9">
              <w:t xml:space="preserve">. Daartoe moeten de lidstaten ernaar streven om zo lang als nodig na de inwerkingtreding van deze richtlijn op elektriciteit die wordt gebruikt voor het opladen van elektrische voertuigen, hetzelfde belastingniveau toe te </w:t>
            </w:r>
            <w:r w:rsidRPr="004A2CF9">
              <w:lastRenderedPageBreak/>
              <w:t xml:space="preserve">passen als dat voor </w:t>
            </w:r>
            <w:r w:rsidRPr="004A2CF9">
              <w:rPr>
                <w:b/>
                <w:i/>
              </w:rPr>
              <w:t>verwarmings- en koelingsdoeleinden</w:t>
            </w:r>
            <w:r w:rsidRPr="004A2CF9">
              <w:t>.</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20</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(20)</w:t>
            </w:r>
            <w:r w:rsidRPr="004A2CF9">
              <w:tab/>
              <w:t xml:space="preserve">Op energieproducten moet in wezen een Unieregelgevingskader van toepassing zĳn wanneer deze als verwarmingsbrandstof of als motorbrandstof worden gebruikt. </w:t>
            </w:r>
            <w:r w:rsidRPr="004A2CF9">
              <w:rPr>
                <w:b/>
                <w:i/>
              </w:rPr>
              <w:t>In dat opzicht gebiedt de aard en de logica van het belastingstelsel om vormen van duaal gebruik van energieproducten en vormen van gebruik voor andere doeleinden dan als brandstof van de werkingssfeer van dit regelgevingskader uit te sluiten.</w:t>
            </w:r>
            <w:r w:rsidRPr="004A2CF9">
              <w:t xml:space="preserve"> Elektriciteit die op vergelĳkbare wĳze wordt gebruikt, dient op dezelfde wĳze te worden behandeld.</w:t>
            </w:r>
          </w:p>
        </w:tc>
        <w:tc>
          <w:tcPr>
            <w:tcW w:w="4876" w:type="dxa"/>
          </w:tcPr>
          <w:p w:rsidR="00163620" w:rsidRPr="004A2CF9" w:rsidRDefault="00163620" w:rsidP="006527B0">
            <w:pPr>
              <w:pStyle w:val="Normal6"/>
              <w:rPr>
                <w:szCs w:val="24"/>
              </w:rPr>
            </w:pPr>
            <w:r w:rsidRPr="004A2CF9">
              <w:t>(20)</w:t>
            </w:r>
            <w:r w:rsidRPr="004A2CF9">
              <w:tab/>
              <w:t>Op energieproducten moet in wezen een Unieregelgevingskader van toepassing zĳn wanneer deze als verwarmingsbrandstof of als motorbrandstof worden gebruikt. Elektriciteit die op vergelĳkbare wĳze wordt gebruikt, dient op dezelfde wĳze te worden behandeld.</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20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(20 bis)</w:t>
            </w:r>
            <w:r w:rsidRPr="004A2CF9">
              <w:rPr>
                <w:b/>
                <w:i/>
              </w:rPr>
              <w:tab/>
              <w:t xml:space="preserve">Het klimaateffect van de luchtvaart is al lang geleden vastgesteld door de wetenschappelijke gemeenschap, en in het bijzonder door de Intergouvernementele Werkgroep inzake klimaatverandering, in ieder geval sinds het speciale rapport van 1999 over </w:t>
            </w:r>
            <w:r w:rsidRPr="004A2CF9">
              <w:rPr>
                <w:b/>
                <w:i/>
              </w:rPr>
              <w:lastRenderedPageBreak/>
              <w:t xml:space="preserve">luchtvaart en de mondiale atmosfeer. In tegenstelling tot andere sectoren die broeikasgassen uitstoten, heeft de luchtvaart bovendien een grote toename van haar volume gekend, waardoor haar totale uitstoot de afgelopen </w:t>
            </w:r>
            <w:r>
              <w:rPr>
                <w:b/>
                <w:i/>
              </w:rPr>
              <w:t xml:space="preserve">drie decennia is verdubbeld, en </w:t>
            </w:r>
            <w:r w:rsidRPr="004A2CF9">
              <w:rPr>
                <w:b/>
                <w:i/>
              </w:rPr>
              <w:t xml:space="preserve">alleen al in </w:t>
            </w:r>
            <w:r>
              <w:rPr>
                <w:b/>
                <w:i/>
              </w:rPr>
              <w:t xml:space="preserve">Europa </w:t>
            </w:r>
            <w:r w:rsidRPr="004A2CF9">
              <w:rPr>
                <w:b/>
                <w:i/>
              </w:rPr>
              <w:t>sinds 2013 met bijna 28 % is toegenomen. Uit recente gegevens blijkt dat ten minste de helft van al deze emissies wordt gegenereerd door slechts 1 % van de wereldbevolking, en voornamelijk door diegenen met het hoogste inkomen. In een recente studie van het EASA wordt er bovendien op gewezen dat de niet-CO</w:t>
            </w:r>
            <w:r w:rsidRPr="004A2CF9">
              <w:rPr>
                <w:b/>
                <w:i/>
                <w:vertAlign w:val="subscript"/>
              </w:rPr>
              <w:t>2</w:t>
            </w:r>
            <w:r w:rsidRPr="004A2CF9">
              <w:rPr>
                <w:b/>
                <w:i/>
              </w:rPr>
              <w:t>-emissies een klimaateffect kunnen hebben dat minstens twee keer zo groot is als de CO</w:t>
            </w:r>
            <w:r w:rsidRPr="004A2CF9">
              <w:rPr>
                <w:b/>
                <w:i/>
                <w:vertAlign w:val="subscript"/>
              </w:rPr>
              <w:t>2</w:t>
            </w:r>
            <w:r w:rsidRPr="004A2CF9">
              <w:rPr>
                <w:b/>
                <w:i/>
              </w:rPr>
              <w:t>-emissies alleen. Vooral de samenstelling van de fossiele brandstof die tegenwoordig veel in de sector wordt gebruikt, is verantwoordelijk voor deze klimaateffecten, en daarom moeten deze dringend worden geïnternaliseerd door een adequate belastingheffing. De invoering van een vliegtuigbrandstofbelasting op vluchten binnen de EU zou een extra ontmoediging moeten vormen voor zogenoemde “spookvluchten”, als aanvulling op de noodzakelijke maatregelen die verder moeten worden genomen bij de herziening van de verordening betreffende luchthavenslots om dergelijke lege of bijna lege vluchten effectief te voorkomen.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 Francisco José Millán Mon, Gabriel Mato, Carmen Crespo Díaz</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20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(20 bis)</w:t>
            </w:r>
            <w:r w:rsidRPr="004A2CF9">
              <w:rPr>
                <w:b/>
                <w:i/>
              </w:rPr>
              <w:tab/>
              <w:t>Het handhaven van vrijstellingen voor energieproducten die worden gebruikt in de niet-recreatieve lucht- en zeevaart is van essentieel belang om koolstoflekkage te voorkomen, internationale overeenkomsten zoals die van de Internationale Burgerluchtvaartorganisatie en de Internationale Maritieme Organisatie te eerbiedigen en marktverstoringen te voorkomen die de efficiëntie van het beleid van de Unie zouden kunnen ondermijnen. Deze vrijstellingen beschermen de concurrentiepositie van ondernemingen in de Unie, waardoor prikkels voor verplaatsing naar rechtsgebieden met minder strenge regelgeving worden voorkomen, terwijl de lidstaten de flexibiliteit behouden om beperkte belastingheffing toe te passen indien dit verenigbaar is met internationale verplichtingen en de doelstellingen van de Unie.</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Enikő Győri</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20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(20 bis)</w:t>
            </w:r>
            <w:r w:rsidRPr="004A2CF9">
              <w:rPr>
                <w:b/>
                <w:i/>
              </w:rPr>
              <w:tab/>
              <w:t xml:space="preserve">Gezien de uiteenlopende geografische omstandigheden in bepaalde lidstaten, waar aardgas een cruciale rol speelt bij het waarborgen van een stabiele en zekere energievoorziening, moet de belasting op aardgas op een redelijk minimumniveau worden gehandhaafd. Met deze aanpak wordt de energiezekerheid en de ononderbroken energievoorziening voor de consumenten </w:t>
            </w:r>
            <w:r w:rsidRPr="004A2CF9">
              <w:rPr>
                <w:b/>
                <w:i/>
              </w:rPr>
              <w:lastRenderedPageBreak/>
              <w:t>in deze regio’s bevorderd.</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149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Anouk van Brug, Gilles Boyer</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20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(20 bis)</w:t>
            </w:r>
            <w:r w:rsidRPr="004A2CF9">
              <w:rPr>
                <w:b/>
                <w:i/>
              </w:rPr>
              <w:tab/>
              <w:t>Om een gelijk speelveld te behouden en zowel verlies aan bedrijvigheid als koolstoflekkage te voorkomen, zal de hoeveelheid brandstof die voor de scheepvaart in de EU-wateren wordt gebruikt, worden belast in plaats van de hoeveelheid zware olie die in EU-havens wordt gebunkerd.</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pPr>
        <w:pStyle w:val="JustificationTitle"/>
        <w:rPr>
          <w:noProof w:val="0"/>
        </w:rPr>
      </w:pPr>
      <w:r w:rsidRPr="004A2CF9">
        <w:rPr>
          <w:rStyle w:val="HideTWBExt"/>
          <w:i w:val="0"/>
        </w:rPr>
        <w:t>&lt;TitreJust&gt;</w:t>
      </w:r>
      <w:r w:rsidRPr="004A2CF9">
        <w:t>Motivering</w:t>
      </w:r>
      <w:r w:rsidRPr="004A2CF9">
        <w:rPr>
          <w:rStyle w:val="HideTWBExt"/>
          <w:i w:val="0"/>
        </w:rPr>
        <w:t>&lt;/TitreJust&gt;</w:t>
      </w:r>
    </w:p>
    <w:p w:rsidR="00163620" w:rsidRPr="004A2CF9" w:rsidRDefault="00163620" w:rsidP="00163620">
      <w:pPr>
        <w:pStyle w:val="Normal12Italic"/>
        <w:rPr>
          <w:noProof w:val="0"/>
        </w:rPr>
      </w:pPr>
      <w:r w:rsidRPr="004A2CF9">
        <w:t>Om koolstoflekkage en verlies aan bedrijvigheid te voorkomen, moeten we niet de hoeveelheid zware olie die in EU-havens wordt gebunkerd, belasten, maar de hoeveelheid brandstof die in de EU-wateren wordt gebruikt. De stimulans om buiten de EU te bunkeren wordt zo weggenomen, aangezien alle schepen hun deel van de brandstofbelasting moeten betalen. Bovendien blijft de stimulans om over te schakelen op het gebruik van duurzamere alternatieve brandstoffen behouden. De technische uitvoering zal worden gedelegeerd aan de Europese Commissie.</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20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(20 bis)</w:t>
            </w:r>
            <w:r w:rsidRPr="004A2CF9">
              <w:rPr>
                <w:b/>
                <w:i/>
              </w:rPr>
              <w:tab/>
              <w:t xml:space="preserve">Energieprijzen zijn vaak onderhevig aan volatiliteit. Een duidelijk voorbeeld is de Russische invasie van </w:t>
            </w:r>
            <w:r w:rsidRPr="004A2CF9">
              <w:rPr>
                <w:b/>
                <w:i/>
              </w:rPr>
              <w:lastRenderedPageBreak/>
              <w:t>Oekraïne op 24 februari 2022, die in de hele Unie een stijging van de energieprijzen tot gevolg heeft gehad.</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151</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 Francisco José Millán Mon, Gabriel Mato, Carmen Crespo Díaz</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20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(20 ter)</w:t>
            </w:r>
            <w:r w:rsidRPr="004A2CF9">
              <w:rPr>
                <w:b/>
                <w:i/>
              </w:rPr>
              <w:tab/>
              <w:t>De invoering van een nieuwe brandstofbelasting voor de visserij zou de visserijsector van de EU in een nadelige concurrentiepositie plaatsen ten opzichte van vloten van andere landen die lagere brandstofprijzen en -belastingen toepassen, waardoor de verwezenlijking van het broodnodige gelijke speelveld verder wordt belemmerd. Bovendien moet er rekening worden gehouden met het feit dat de visserij ook te maken heeft met regelgevingsbeperkingen die de transitie naar duurzame alternatieve brandstoffen belemmeren. Daarnaast zouden kleinschalige vissersvaartuigen bijzonder worden benadeeld door deze belasting, aangezien zij niet de mogelijkheid hebben om te tanken in havens met lagere brandstofprijzen. Er moet bovendien rekening worden gehouden met de reeds geleverde decarbonisatie-inspanningen van de vissersvloot van de EU, die zijn brandstofverbruik en CO</w:t>
            </w:r>
            <w:r w:rsidRPr="004A2CF9">
              <w:rPr>
                <w:b/>
                <w:i/>
                <w:vertAlign w:val="subscript"/>
              </w:rPr>
              <w:t>2</w:t>
            </w:r>
            <w:r w:rsidRPr="004A2CF9">
              <w:rPr>
                <w:b/>
                <w:i/>
              </w:rPr>
              <w:t>-uitstoot tussen 2009 en 2022 met 31 % heeft verminderd.</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lastRenderedPageBreak/>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20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(20 ter)</w:t>
            </w:r>
            <w:r w:rsidRPr="004A2CF9">
              <w:rPr>
                <w:b/>
                <w:i/>
              </w:rPr>
              <w:tab/>
              <w:t>Vliegen is aanzienlijk energie-intensiever dan andere vormen van vervoer en moet dienovereenkomstig worden belast. Hoewel er mogelijk geen goede alternatieven voor vliegtuigen zijn om van of naar perifere, ultraperifere, dunbevolkte, bergachtige of eilandgebieden te reizen, is een gunstige belastingregeling voor de luchtvaart niet het beste beleidsinstrument om die gebieden op lange termijn te bedienen. Regeringen moeten waar passend de inkomsten uit een belasting op kerosine gebruiken om in deze gebieden te investeren en de welvaartsniveaus in deze gebieden te verhogen.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 Francisco José Millán Mon, Gabriel Mato, Carmen Crespo Díaz</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21</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rPr>
                <w:b/>
                <w:i/>
              </w:rPr>
              <w:t>(21)</w:t>
            </w:r>
            <w:r w:rsidRPr="004A2CF9">
              <w:rPr>
                <w:b/>
                <w:i/>
              </w:rPr>
              <w:tab/>
              <w:t xml:space="preserve">De Unie en de lidstaten hebben multilaterale overeenkomsten inzake luchtdiensten en luchtvervoer, of bilaterale overeenkomsten met derde landen gesloten. Die overeenkomsten bevatten bepalingen inzake de belasting van luchtvaartbrandstof. Luchtvaartbrandstof kent van oudsher een geprivilegieerde belastingregeling. Met het oog op het nastreven van de doelstellingen van de richtlijn moeten, onverminderd die internationale overeenkomsten, energieproducten en elektriciteit die worden geleverd aan de </w:t>
            </w:r>
            <w:r w:rsidRPr="004A2CF9">
              <w:rPr>
                <w:b/>
                <w:i/>
              </w:rPr>
              <w:lastRenderedPageBreak/>
              <w:t>luchtvaart binnen de EU, met uitzondering van vrachtvluchten, worden belast. Bij gebrek aan efficiëntere alternatieven is de vrijstelling voor brandstof voor vrachtvluchten nog altijd nodig.</w:t>
            </w:r>
          </w:p>
        </w:tc>
        <w:tc>
          <w:tcPr>
            <w:tcW w:w="4876" w:type="dxa"/>
          </w:tcPr>
          <w:p w:rsidR="00163620" w:rsidRPr="004A2CF9" w:rsidRDefault="00163620" w:rsidP="006527B0">
            <w:pPr>
              <w:pStyle w:val="Normal6"/>
              <w:rPr>
                <w:szCs w:val="24"/>
              </w:rPr>
            </w:pPr>
            <w:r w:rsidRPr="004A2CF9">
              <w:rPr>
                <w:b/>
                <w:i/>
              </w:rPr>
              <w:lastRenderedPageBreak/>
              <w:t>Schrappen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21</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(21)</w:t>
            </w:r>
            <w:r w:rsidRPr="004A2CF9">
              <w:tab/>
              <w:t>De Unie en de lidstaten hebben multilaterale overeenkomsten inzake luchtdiensten en luchtvervoer, of bilaterale overeenkomsten met derde landen gesloten. Die overeenkomsten bevatten bepalingen inzake de belasting van luchtvaartbrandstof. Luchtvaartbrandstof kent van oudsher een geprivilegieerde belastingregeling. Met het oog op het nastreven van de doelstellingen van de richtlijn moeten, onverminderd die internationale overeenkomsten, energieproducten en elektriciteit die worden geleverd aan de luchtvaart binnen de EU</w:t>
            </w:r>
            <w:r w:rsidRPr="004A2CF9">
              <w:rPr>
                <w:b/>
                <w:i/>
              </w:rPr>
              <w:t>, met uitzondering</w:t>
            </w:r>
            <w:r w:rsidRPr="004A2CF9">
              <w:t xml:space="preserve"> van </w:t>
            </w:r>
            <w:r w:rsidRPr="004A2CF9">
              <w:rPr>
                <w:b/>
                <w:i/>
              </w:rPr>
              <w:t>vrachtvluchten, worden belast.</w:t>
            </w:r>
            <w:r w:rsidRPr="004A2CF9">
              <w:t xml:space="preserve"> </w:t>
            </w:r>
            <w:r w:rsidRPr="004A2CF9">
              <w:rPr>
                <w:b/>
                <w:i/>
              </w:rPr>
              <w:t>Bij gebrek aan efficiëntere alternatieven is</w:t>
            </w:r>
            <w:r w:rsidRPr="004A2CF9">
              <w:t xml:space="preserve"> de </w:t>
            </w:r>
            <w:r w:rsidRPr="004A2CF9">
              <w:rPr>
                <w:b/>
                <w:i/>
              </w:rPr>
              <w:t>vrijstelling voor brandstof</w:t>
            </w:r>
            <w:r w:rsidRPr="004A2CF9">
              <w:t xml:space="preserve"> voor </w:t>
            </w:r>
            <w:r w:rsidRPr="004A2CF9">
              <w:rPr>
                <w:b/>
                <w:i/>
              </w:rPr>
              <w:t>vrachtvluchten nog altijd nodig</w:t>
            </w:r>
            <w:r w:rsidRPr="004A2CF9">
              <w:t>.</w:t>
            </w:r>
          </w:p>
        </w:tc>
        <w:tc>
          <w:tcPr>
            <w:tcW w:w="4876" w:type="dxa"/>
          </w:tcPr>
          <w:p w:rsidR="00163620" w:rsidRPr="004A2CF9" w:rsidRDefault="00163620" w:rsidP="006527B0">
            <w:pPr>
              <w:pStyle w:val="Normal6"/>
              <w:rPr>
                <w:szCs w:val="24"/>
              </w:rPr>
            </w:pPr>
            <w:r w:rsidRPr="004A2CF9">
              <w:t>(21)</w:t>
            </w:r>
            <w:r w:rsidRPr="004A2CF9">
              <w:tab/>
              <w:t>De Unie en de lidstaten hebben multilaterale overeenkomsten inzake luchtdiensten en luchtvervoer, of bilaterale overeenkomsten met derde landen gesloten. Die overeenkomsten bevatten bepalingen inzake de belasting van luchtvaartbrandstof</w:t>
            </w:r>
            <w:r w:rsidRPr="004A2CF9">
              <w:rPr>
                <w:b/>
                <w:i/>
              </w:rPr>
              <w:t xml:space="preserve"> die gebaseerd zijn op een interpretatie van de oorspronkelijke bepalingen van het Verdrag van Chicago inzake de burgerluchtvaart, dat in 1944 de basis vormde van de Internationale Burgerluchtvaartorganisatie. De enige expliciete beperking op brandstofbelasting is vastgesteld in artikel 24 van dat verdrag, waarin wordt verwezen naar brandstof die bij de landing al in de tank aanwezig is, om dubbele belasting te voorkomen, maar er wordt niet expliciet verwezen naar bijgetankte inhoud</w:t>
            </w:r>
            <w:r w:rsidRPr="004A2CF9">
              <w:t>. Luchtvaartbrandstof kent van oudsher een geprivilegieerde belastingregeling. Met het oog op het nastreven van de doelstellingen van de richtlijn moeten, onverminderd die internationale overeenkomsten, energieproducten en elektriciteit die worden geleverd aan de luchtvaart binnen de EU</w:t>
            </w:r>
            <w:r w:rsidRPr="004A2CF9">
              <w:rPr>
                <w:b/>
                <w:i/>
              </w:rPr>
              <w:t xml:space="preserve"> worden belast.</w:t>
            </w:r>
            <w:r w:rsidRPr="004A2CF9">
              <w:t xml:space="preserve"> </w:t>
            </w:r>
            <w:r w:rsidRPr="004A2CF9">
              <w:rPr>
                <w:b/>
                <w:i/>
              </w:rPr>
              <w:t>Bij toekomstige herzieningen</w:t>
            </w:r>
            <w:r w:rsidRPr="004A2CF9">
              <w:t xml:space="preserve"> van </w:t>
            </w:r>
            <w:r w:rsidRPr="004A2CF9">
              <w:rPr>
                <w:b/>
                <w:i/>
              </w:rPr>
              <w:t xml:space="preserve">dergelijke internationale luchtvaartovereenkomsten moeten de huidige mazen in de wetgeving, die </w:t>
            </w:r>
            <w:r w:rsidRPr="004A2CF9">
              <w:rPr>
                <w:b/>
                <w:i/>
              </w:rPr>
              <w:lastRenderedPageBreak/>
              <w:t>vrijstellingen van</w:t>
            </w:r>
            <w:r w:rsidRPr="004A2CF9">
              <w:t xml:space="preserve"> de </w:t>
            </w:r>
            <w:r w:rsidRPr="004A2CF9">
              <w:rPr>
                <w:b/>
                <w:i/>
              </w:rPr>
              <w:t>belasting op vliegtuigbrandstof mogelijk maken</w:t>
            </w:r>
            <w:r w:rsidRPr="004A2CF9">
              <w:t xml:space="preserve"> voor </w:t>
            </w:r>
            <w:r w:rsidRPr="004A2CF9">
              <w:rPr>
                <w:b/>
                <w:i/>
              </w:rPr>
              <w:t>vluchten die vertrekken van of aankomen op luchthavens in de Unie, worden weggewerkt</w:t>
            </w:r>
            <w:r w:rsidRPr="004A2CF9">
              <w:t>.</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21</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(21)</w:t>
            </w:r>
            <w:r w:rsidRPr="004A2CF9">
              <w:tab/>
              <w:t>De Unie en de lidstaten hebben multilaterale overeenkomsten inzake luchtdiensten en luchtvervoer, of bilaterale overeenkomsten met derde landen gesloten. Die overeenkomsten bevatten bepalingen inzake de belasting van luchtvaartbrandstof. Luchtvaartbrandstof kent van oudsher een geprivilegieerde belastingregeling. Met het oog op het nastreven van de doelstellingen van de richtlijn moeten, onverminderd die internationale overeenkomsten, energieproducten en elektriciteit die worden geleverd aan de luchtvaart binnen de EU, met uitzondering van vrachtvluchten, worden belast. Bij gebrek aan efficiëntere alternatieven is de vrijstelling voor brandstof voor vrachtvluchten nog altijd nodig.</w:t>
            </w:r>
          </w:p>
        </w:tc>
        <w:tc>
          <w:tcPr>
            <w:tcW w:w="4876" w:type="dxa"/>
          </w:tcPr>
          <w:p w:rsidR="00163620" w:rsidRPr="004A2CF9" w:rsidRDefault="00163620" w:rsidP="006527B0">
            <w:pPr>
              <w:pStyle w:val="Normal6"/>
              <w:rPr>
                <w:szCs w:val="24"/>
              </w:rPr>
            </w:pPr>
            <w:r w:rsidRPr="004A2CF9">
              <w:t>(21)</w:t>
            </w:r>
            <w:r w:rsidRPr="004A2CF9">
              <w:tab/>
              <w:t xml:space="preserve">De Unie en de lidstaten hebben multilaterale overeenkomsten inzake luchtdiensten en luchtvervoer, of bilaterale overeenkomsten met derde landen gesloten. Die overeenkomsten bevatten bepalingen inzake de belasting van luchtvaartbrandstof. Luchtvaartbrandstof kent van oudsher een geprivilegieerde belastingregeling. Met het oog op het nastreven van de doelstellingen van de richtlijn moeten, onverminderd die internationale overeenkomsten, energieproducten en elektriciteit die worden geleverd aan de luchtvaart binnen de EU, met uitzondering van vrachtvluchten, worden belast. Bij gebrek aan efficiëntere alternatieven is de vrijstelling voor brandstof voor vrachtvluchten nog altijd nodig. </w:t>
            </w:r>
            <w:r w:rsidRPr="004A2CF9">
              <w:rPr>
                <w:b/>
                <w:i/>
              </w:rPr>
              <w:t>Hetzelfde geldt voor de scheepvaart, een van de meest energie-efficiënte vervoerswijzen, die essentieel is voor het waarborgen van de Europese connectiviteit. De korte vaart binnen de EU is van bijzonder belang voor het onderhouden van verbindingen tussen eilanden en afgelegen regio’s, en het Europese vasteland.</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lastRenderedPageBreak/>
        <w:t>&lt;Amend&gt;</w:t>
      </w:r>
      <w:r w:rsidRPr="004A2CF9">
        <w:t>Amendement</w:t>
      </w:r>
      <w:r w:rsidRPr="004A2CF9">
        <w:tab/>
      </w:r>
      <w:r w:rsidRPr="004A2CF9">
        <w:tab/>
      </w:r>
      <w:r w:rsidRPr="004A2CF9">
        <w:rPr>
          <w:rStyle w:val="HideTWBExt"/>
          <w:b w:val="0"/>
        </w:rPr>
        <w:t>&lt;NumAm&gt;</w:t>
      </w:r>
      <w:r w:rsidRPr="004A2CF9">
        <w:t>156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 Francisco José Millán Mon, Gabriel Mato, Carmen Crespo Díaz</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22</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rPr>
                <w:b/>
                <w:i/>
              </w:rPr>
              <w:t>(22)</w:t>
            </w:r>
            <w:r w:rsidRPr="004A2CF9">
              <w:rPr>
                <w:b/>
                <w:i/>
              </w:rPr>
              <w:tab/>
              <w:t>Met het oog op een soepele uitvoering van deze richtlijn zouden de minimumbelastingniveaus voor motorbrandstof voor de niet-zakelijke luchtvaart en niet-pleziervluchten binnen de EU in de loop van een overgangsperiode van tien jaar worden ingevoerd, terwijl voor duurzame alternatieve brandstoffen en elektriciteit voor tien jaar een minimumtarief van nul zou gelden. Energieproducten en elektriciteit voor zakelijke luchtvaart en pleziervluchten binnen de EU moeten aan de normale belastingniveaus voor motorbrandstoffen en elektriciteit in de lidstaten worden onderworpen.</w:t>
            </w:r>
          </w:p>
        </w:tc>
        <w:tc>
          <w:tcPr>
            <w:tcW w:w="4876" w:type="dxa"/>
          </w:tcPr>
          <w:p w:rsidR="00163620" w:rsidRPr="004A2CF9" w:rsidRDefault="00163620" w:rsidP="006527B0">
            <w:pPr>
              <w:pStyle w:val="Normal6"/>
              <w:rPr>
                <w:szCs w:val="24"/>
              </w:rPr>
            </w:pPr>
            <w:r w:rsidRPr="004A2CF9">
              <w:rPr>
                <w:b/>
                <w:i/>
              </w:rPr>
              <w:t>Schrappen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22</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(22)</w:t>
            </w:r>
            <w:r w:rsidRPr="004A2CF9">
              <w:tab/>
              <w:t xml:space="preserve">Met het oog op een </w:t>
            </w:r>
            <w:r w:rsidRPr="004A2CF9">
              <w:rPr>
                <w:b/>
                <w:i/>
              </w:rPr>
              <w:t>soepele uitvoering van deze richtlijn zouden</w:t>
            </w:r>
            <w:r w:rsidRPr="004A2CF9">
              <w:t xml:space="preserve"> de minimumbelastingniveaus voor motorbrandstof voor </w:t>
            </w:r>
            <w:r w:rsidRPr="004A2CF9">
              <w:rPr>
                <w:b/>
                <w:i/>
              </w:rPr>
              <w:t>de niet-zakelijke luchtvaart en niet-pleziervluchten binnen</w:t>
            </w:r>
            <w:r w:rsidRPr="004A2CF9">
              <w:t xml:space="preserve"> de </w:t>
            </w:r>
            <w:r w:rsidRPr="004A2CF9">
              <w:rPr>
                <w:b/>
                <w:i/>
              </w:rPr>
              <w:t>EU in de loop van een overgangsperiode van tien jaar</w:t>
            </w:r>
            <w:r w:rsidRPr="004A2CF9">
              <w:t xml:space="preserve"> worden </w:t>
            </w:r>
            <w:r w:rsidRPr="004A2CF9">
              <w:rPr>
                <w:b/>
                <w:i/>
              </w:rPr>
              <w:t>ingevoerd</w:t>
            </w:r>
            <w:r w:rsidRPr="004A2CF9">
              <w:t xml:space="preserve">, terwijl voor </w:t>
            </w:r>
            <w:r w:rsidRPr="004A2CF9">
              <w:rPr>
                <w:b/>
                <w:i/>
              </w:rPr>
              <w:t>duurzame alternatieve brandstoffen</w:t>
            </w:r>
            <w:r w:rsidRPr="004A2CF9">
              <w:t xml:space="preserve"> en elektriciteit voor tien jaar een minimumtarief van nul zou gelden. Energieproducten en </w:t>
            </w:r>
            <w:r w:rsidRPr="004A2CF9">
              <w:lastRenderedPageBreak/>
              <w:t>elektriciteit voor zakelijke luchtvaart en pleziervluchten binnen de EU moeten aan de normale belastingniveaus voor motorbrandstoffen en elektriciteit in de lidstaten worden onderworpen.</w:t>
            </w:r>
          </w:p>
        </w:tc>
        <w:tc>
          <w:tcPr>
            <w:tcW w:w="4876" w:type="dxa"/>
          </w:tcPr>
          <w:p w:rsidR="00163620" w:rsidRPr="004A2CF9" w:rsidRDefault="00163620" w:rsidP="006527B0">
            <w:pPr>
              <w:pStyle w:val="Normal6"/>
              <w:rPr>
                <w:szCs w:val="24"/>
              </w:rPr>
            </w:pPr>
            <w:r w:rsidRPr="004A2CF9">
              <w:lastRenderedPageBreak/>
              <w:t>(22)</w:t>
            </w:r>
            <w:r w:rsidRPr="004A2CF9">
              <w:tab/>
              <w:t xml:space="preserve">Met het oog op een </w:t>
            </w:r>
            <w:r w:rsidRPr="004A2CF9">
              <w:rPr>
                <w:b/>
                <w:i/>
              </w:rPr>
              <w:t>correcte internalisering van de reële kosten van de luchtvaartsector, waardoor een gelijk speelveld met andere vervoerswijzen mogelijk wordt, moeten</w:t>
            </w:r>
            <w:r w:rsidRPr="004A2CF9">
              <w:t xml:space="preserve"> de minimumbelastingniveaus voor motorbrandstof voor </w:t>
            </w:r>
            <w:r w:rsidRPr="004A2CF9">
              <w:rPr>
                <w:b/>
                <w:i/>
              </w:rPr>
              <w:t>vluchten binnen de EU onmiddellijk</w:t>
            </w:r>
            <w:r w:rsidRPr="004A2CF9">
              <w:t xml:space="preserve"> worden </w:t>
            </w:r>
            <w:r w:rsidRPr="004A2CF9">
              <w:rPr>
                <w:b/>
                <w:i/>
              </w:rPr>
              <w:t>toegepast</w:t>
            </w:r>
            <w:r w:rsidRPr="004A2CF9">
              <w:t xml:space="preserve">, terwijl voor </w:t>
            </w:r>
            <w:r w:rsidRPr="004A2CF9">
              <w:rPr>
                <w:b/>
                <w:i/>
              </w:rPr>
              <w:t>geavanceerde biobrandstoffen, RFNBO’s</w:t>
            </w:r>
            <w:r w:rsidRPr="004A2CF9">
              <w:t xml:space="preserve"> en elektriciteit voor tien jaar een minimumtarief van nul zou gelden</w:t>
            </w:r>
            <w:r w:rsidRPr="004A2CF9">
              <w:rPr>
                <w:b/>
                <w:i/>
              </w:rPr>
              <w:t xml:space="preserve">, ook </w:t>
            </w:r>
            <w:r w:rsidRPr="004A2CF9">
              <w:rPr>
                <w:b/>
                <w:i/>
              </w:rPr>
              <w:lastRenderedPageBreak/>
              <w:t>voor elektriciteit die wordt geleverd voor stationair functioneren en elektrisch taxiën op de grond</w:t>
            </w:r>
            <w:r w:rsidRPr="004A2CF9">
              <w:t xml:space="preserve">. Energieproducten en elektriciteit voor zakelijke luchtvaart en pleziervluchten binnen de EU moeten aan de normale belastingniveaus voor motorbrandstoffen en elektriciteit in de lidstaten worden onderworpen. </w:t>
            </w:r>
            <w:r w:rsidRPr="004A2CF9">
              <w:rPr>
                <w:b/>
                <w:i/>
              </w:rPr>
              <w:t>Voor vrachtvluchten moeten dezelfde verplichtingen gelden als voor andere vluchten teneinde geen verdere verstoring van het gelijke speelveld te veroorzaken, wat uiteindelijk een belemmering zou vormen voor de doelstelling van een modal shift naar het spoor, ook voor vracht, zoals ingevoerd bij de mededeling van de Commissie van 9 december 2020 over de Strategie voor duurzame en slimme mobiliteit.</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22</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(22)</w:t>
            </w:r>
            <w:r w:rsidRPr="004A2CF9">
              <w:tab/>
              <w:t xml:space="preserve">Met het oog op een soepele uitvoering van deze richtlijn zouden de minimumbelastingniveaus voor motorbrandstof voor de niet-zakelijke luchtvaart en niet-pleziervluchten binnen de EU </w:t>
            </w:r>
            <w:r w:rsidRPr="004A2CF9">
              <w:rPr>
                <w:b/>
                <w:i/>
              </w:rPr>
              <w:t>in de loop van een overgangsperiode van tien jaar</w:t>
            </w:r>
            <w:r w:rsidRPr="004A2CF9">
              <w:t xml:space="preserve"> worden ingevoerd, terwijl voor duurzame alternatieve brandstoffen en elektriciteit voor tien jaar een minimumtarief van nul zou gelden. Energieproducten en elektriciteit voor zakelijke luchtvaart en pleziervluchten binnen de EU moeten aan de normale belastingniveaus voor motorbrandstoffen en elektriciteit in de lidstaten worden onderworpen.</w:t>
            </w:r>
          </w:p>
        </w:tc>
        <w:tc>
          <w:tcPr>
            <w:tcW w:w="4876" w:type="dxa"/>
          </w:tcPr>
          <w:p w:rsidR="00163620" w:rsidRPr="004A2CF9" w:rsidRDefault="00163620" w:rsidP="006527B0">
            <w:pPr>
              <w:pStyle w:val="Normal6"/>
              <w:rPr>
                <w:szCs w:val="24"/>
              </w:rPr>
            </w:pPr>
            <w:r w:rsidRPr="004A2CF9">
              <w:t>(22)</w:t>
            </w:r>
            <w:r w:rsidRPr="004A2CF9">
              <w:tab/>
              <w:t xml:space="preserve">Met het oog op een soepele uitvoering van deze richtlijn zouden de minimumbelastingniveaus voor motorbrandstof voor de niet-zakelijke luchtvaart en niet-pleziervluchten binnen de EU </w:t>
            </w:r>
            <w:r w:rsidRPr="004A2CF9">
              <w:rPr>
                <w:b/>
                <w:i/>
              </w:rPr>
              <w:t>snel</w:t>
            </w:r>
            <w:r w:rsidRPr="004A2CF9">
              <w:t xml:space="preserve"> worden ingevoerd, terwijl voor duurzame alternatieve brandstoffen en elektriciteit voor tien jaar een minimumtarief van nul zou gelden. Energieproducten en elektriciteit voor zakelijke luchtvaart en pleziervluchten binnen de EU moeten aan de normale belastingniveaus voor motorbrandstoffen en elektriciteit in de lidstaten worden onderworpen. </w:t>
            </w:r>
            <w:r w:rsidRPr="004A2CF9">
              <w:rPr>
                <w:b/>
                <w:i/>
              </w:rPr>
              <w:t xml:space="preserve">Wanneer er alternatieven over het spoor beschikbaar zijn, moeten voor vrachtvluchten dezelfde </w:t>
            </w:r>
            <w:r w:rsidRPr="004A2CF9">
              <w:rPr>
                <w:b/>
                <w:i/>
              </w:rPr>
              <w:lastRenderedPageBreak/>
              <w:t xml:space="preserve">verplichtingen gelden als voor andere vluchten teneinde geen verdere verstoringen te veroorzaken, die uiteindelijk een belemmering zouden vormen voor de doelstelling van een verschuiving naar het spoor. </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159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Markus Ferber</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22</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(22)</w:t>
            </w:r>
            <w:r w:rsidRPr="004A2CF9">
              <w:tab/>
              <w:t>Met het oog op een soepele uitvoering van deze richtlijn zouden de minimumbelastingniveaus voor motorbrandstof voor de niet-zakelijke luchtvaart en niet-pleziervluchten binnen de EU in de loop van een overgangsperiode van tien jaar worden ingevoerd, terwijl voor duurzame alternatieve brandstoffen en elektriciteit voor tien jaar een minimumtarief van nul zou gelden. Energieproducten en elektriciteit voor zakelijke luchtvaart en pleziervluchten binnen de EU moeten aan de normale belastingniveaus voor motorbrandstoffen en elektriciteit in de lidstaten worden onderworpen.</w:t>
            </w:r>
          </w:p>
        </w:tc>
        <w:tc>
          <w:tcPr>
            <w:tcW w:w="4876" w:type="dxa"/>
          </w:tcPr>
          <w:p w:rsidR="00163620" w:rsidRPr="004A2CF9" w:rsidRDefault="00163620" w:rsidP="006527B0">
            <w:pPr>
              <w:pStyle w:val="Normal6"/>
              <w:rPr>
                <w:szCs w:val="24"/>
              </w:rPr>
            </w:pPr>
            <w:r w:rsidRPr="004A2CF9">
              <w:t>(22)</w:t>
            </w:r>
            <w:r w:rsidRPr="004A2CF9">
              <w:tab/>
              <w:t xml:space="preserve">Met het oog op een soepele uitvoering van deze richtlijn zouden de minimumbelastingniveaus voor motorbrandstof voor de niet-zakelijke luchtvaart en niet-pleziervluchten binnen de EU in de loop van een overgangsperiode van tien jaar worden ingevoerd, terwijl voor duurzame alternatieve brandstoffen en elektriciteit </w:t>
            </w:r>
            <w:r w:rsidRPr="004A2CF9">
              <w:rPr>
                <w:b/>
                <w:i/>
              </w:rPr>
              <w:t xml:space="preserve">met ingang van vier jaar na de inwerkingtreding van deze richtlijn </w:t>
            </w:r>
            <w:r w:rsidRPr="004A2CF9">
              <w:t>voor tien jaar een minimumtarief van nul zou gelden. Energieproducten en elektriciteit voor zakelijke luchtvaart en pleziervluchten binnen de EU moeten aan de normale belastingniveaus voor motorbrandstoffen en elektriciteit in de lidstaten worden onderworpen.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160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22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(22 bis)</w:t>
            </w:r>
            <w:r w:rsidRPr="004A2CF9">
              <w:rPr>
                <w:b/>
                <w:i/>
              </w:rPr>
              <w:tab/>
              <w:t>Uit het speciaal verslag van de IPCC over de oceaan en de cryosfeer in een veranderend klimaat blijkt dat de oceanen sinds 1970 onverminder</w:t>
            </w:r>
            <w:r>
              <w:rPr>
                <w:b/>
                <w:i/>
              </w:rPr>
              <w:t>d zijn opgewarmd en meer dan 90 </w:t>
            </w:r>
            <w:r w:rsidRPr="004A2CF9">
              <w:rPr>
                <w:b/>
                <w:i/>
              </w:rPr>
              <w:t>% van de overtollige warmte in het klimaatsysteem hebben opgenomen, dat de oceanen door het absorberen van meer CO</w:t>
            </w:r>
            <w:r w:rsidRPr="00163620">
              <w:rPr>
                <w:b/>
                <w:i/>
                <w:vertAlign w:val="subscript"/>
              </w:rPr>
              <w:t>2</w:t>
            </w:r>
            <w:r w:rsidRPr="004A2CF9">
              <w:rPr>
                <w:b/>
                <w:i/>
              </w:rPr>
              <w:t xml:space="preserve"> in toenemende mate zijn verzuurd en dat er zuurstofverlies is opgetr</w:t>
            </w:r>
            <w:r>
              <w:rPr>
                <w:b/>
                <w:i/>
              </w:rPr>
              <w:t>eden van het oppervlak tot 1000 </w:t>
            </w:r>
            <w:r w:rsidRPr="004A2CF9">
              <w:rPr>
                <w:b/>
                <w:i/>
              </w:rPr>
              <w:t>m diepte. Volgens gegevens van de IMO en de FAO hebben vissersvaartuigen (met inbegrip van binnens</w:t>
            </w:r>
            <w:r>
              <w:rPr>
                <w:b/>
                <w:i/>
              </w:rPr>
              <w:t>chepen) in 2012 wereldwijd 53,9 </w:t>
            </w:r>
            <w:r w:rsidRPr="004A2CF9">
              <w:rPr>
                <w:b/>
                <w:i/>
              </w:rPr>
              <w:t>miljoen t</w:t>
            </w:r>
            <w:r>
              <w:rPr>
                <w:b/>
                <w:i/>
              </w:rPr>
              <w:t>on brandstof verbruikt en 172,3 </w:t>
            </w:r>
            <w:r w:rsidRPr="004A2CF9">
              <w:rPr>
                <w:b/>
                <w:i/>
              </w:rPr>
              <w:t xml:space="preserve">miljoen ton CO2 uitgestoten (wat gelijkstaat met </w:t>
            </w:r>
            <w:r>
              <w:rPr>
                <w:b/>
                <w:i/>
              </w:rPr>
              <w:t>0,5 </w:t>
            </w:r>
            <w:r w:rsidRPr="004A2CF9">
              <w:rPr>
                <w:b/>
                <w:i/>
              </w:rPr>
              <w:t>% van de totale wereldwijde CO</w:t>
            </w:r>
            <w:r w:rsidRPr="00163620">
              <w:rPr>
                <w:b/>
                <w:i/>
                <w:vertAlign w:val="subscript"/>
              </w:rPr>
              <w:t>2</w:t>
            </w:r>
            <w:r w:rsidRPr="004A2CF9">
              <w:rPr>
                <w:b/>
                <w:i/>
              </w:rPr>
              <w:t>-emissies gedurende dat jaar), en heeft de aq</w:t>
            </w:r>
            <w:r>
              <w:rPr>
                <w:b/>
                <w:i/>
              </w:rPr>
              <w:t>uacultuur in 2013 ongeveer 0,45 </w:t>
            </w:r>
            <w:r w:rsidRPr="004A2CF9">
              <w:rPr>
                <w:b/>
                <w:i/>
              </w:rPr>
              <w:t>% van de wereldwijde broeikasgasemissies veroorzaakt.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161</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22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(22 bis)</w:t>
            </w:r>
            <w:r w:rsidRPr="004A2CF9">
              <w:rPr>
                <w:b/>
                <w:i/>
              </w:rPr>
              <w:tab/>
              <w:t xml:space="preserve">Gezien het internationale karakter van de scheepvaart zou een wereldwijde marktgebaseerde maatregel de meest geschikte en doeltreffende optie zijn. De Unie moet daarom de druk op de Internationale Maritieme Organisatie (IMO) verder opvoeren om vooruitgang te boeken bij de ontwikkeling van een dergelijke wereldwijde marktgebaseerde maatregel. In het algemeen moeten initiatieven van de Unie om emissies van de scheepvaart aan te pakken verenigbaar </w:t>
            </w:r>
            <w:r w:rsidRPr="004A2CF9">
              <w:rPr>
                <w:b/>
                <w:i/>
              </w:rPr>
              <w:lastRenderedPageBreak/>
              <w:t>zijn met de inspanningen van de IMO, teneinde koolstoflekkage en verlies van bedrijvigheid aan havens buiten Europa te voorkomen. Bijgevolg moet afstemming op een in het kader van de IMO ontwikkelde marktgebaseerde maatregel grondig worden onderzocht om na te gaan wat de algemene impact op de scheepvaartsector in combinatie met deze richtlijn zou zijn.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162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 Francisco José Millán Mon, Gabriel Mato, Carmen Crespo Díaz</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23</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rPr>
                <w:b/>
                <w:i/>
              </w:rPr>
              <w:t>(23)</w:t>
            </w:r>
            <w:r w:rsidRPr="004A2CF9">
              <w:rPr>
                <w:b/>
                <w:i/>
              </w:rPr>
              <w:tab/>
              <w:t xml:space="preserve">Brandstof voor de scheepvaart, inclusief visserij, moet ook worden belast, en de lidstaten die partij zijn bij internationale overeenkomsten krachtens welke die brandstof is vrijgesteld, moeten ervoor zorgen dat zij uiterlijk op de datum van toepassing van deze richtlijn de onverenigbaarheden opheffen. Er moet een verschillend belastingniveau kunnen worden toegepast op het gebruik van energieproducten en elektriciteit voor geregelde lijndiensten over water, visserij en vrachtvervoer over water binnen de EU en hun respectieve aanlegactiviteiten. Vanwege de eigen aard van dat gebruik moeten de minimumbelastingniveaus lager zijn dan de voor algemeen motorbrandstofgebruik geldende niveaus. Om het gebruik van duurzame alternatieve brandstoffen en elektriciteit te stimuleren, moeten deze brandstoffen en elektriciteit voor tien jaar van belasting worden vrijgesteld. Energieproducten en elektriciteit voor de overige scheepvaart binnen de EU moeten aan de normale </w:t>
            </w:r>
            <w:r w:rsidRPr="004A2CF9">
              <w:rPr>
                <w:b/>
                <w:i/>
              </w:rPr>
              <w:lastRenderedPageBreak/>
              <w:t>belastingniveaus voor motorbrandstoffen en elektriciteit in de lidstaten worden onderworpen.</w:t>
            </w:r>
          </w:p>
        </w:tc>
        <w:tc>
          <w:tcPr>
            <w:tcW w:w="4876" w:type="dxa"/>
          </w:tcPr>
          <w:p w:rsidR="00163620" w:rsidRPr="004A2CF9" w:rsidRDefault="00163620" w:rsidP="006527B0">
            <w:pPr>
              <w:pStyle w:val="Normal6"/>
              <w:rPr>
                <w:szCs w:val="24"/>
              </w:rPr>
            </w:pPr>
            <w:r w:rsidRPr="004A2CF9">
              <w:rPr>
                <w:b/>
                <w:i/>
              </w:rPr>
              <w:lastRenderedPageBreak/>
              <w:t>Schrappen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163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23</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(23)</w:t>
            </w:r>
            <w:r w:rsidRPr="004A2CF9">
              <w:tab/>
              <w:t>Brandstof voor de scheepvaart, inclusief visserij, moet ook worden belast, en de lidstaten die partij zijn bij internationale overeenkomsten krachtens welke die brandstof is vrijgesteld, moeten ervoor zorgen dat zij uiterlijk op de datum van toepassing van deze richtlijn de onverenigbaarheden opheffen. Er moet een verschillend belastingniveau kunnen worden toegepast op het gebruik van energieproducten en elektriciteit voor geregelde lijndiensten over water, visserij en vrachtvervoer over water binnen de EU en hun respectieve aanlegactiviteiten. Vanwege de eigen aard van dat gebruik moeten de minimumbelastingniveaus lager zijn dan de voor algemeen motorbrandstofgebruik geldende niveaus. Om het gebruik van duurzame alternatieve brandstoffen en elektriciteit te stimuleren, moeten deze brandstoffen en elektriciteit voor tien jaar van belasting worden vrijgesteld. Energieproducten en elektriciteit voor de overige scheepvaart binnen de EU moeten aan de normale belastingniveaus voor motorbrandstoffen en elektriciteit in de lidstaten worden onderworpen.</w:t>
            </w:r>
          </w:p>
        </w:tc>
        <w:tc>
          <w:tcPr>
            <w:tcW w:w="4876" w:type="dxa"/>
          </w:tcPr>
          <w:p w:rsidR="00163620" w:rsidRPr="004A2CF9" w:rsidRDefault="00163620" w:rsidP="006527B0">
            <w:pPr>
              <w:pStyle w:val="Normal6"/>
              <w:rPr>
                <w:szCs w:val="24"/>
              </w:rPr>
            </w:pPr>
            <w:r w:rsidRPr="004A2CF9">
              <w:t>(23)</w:t>
            </w:r>
            <w:r w:rsidRPr="004A2CF9">
              <w:tab/>
              <w:t xml:space="preserve">Brandstof voor de scheepvaart, inclusief visserij, moet ook worden belast, en de lidstaten die partij zijn bij internationale overeenkomsten krachtens welke die brandstof is vrijgesteld, moeten ervoor zorgen dat zij uiterlijk op de datum van toepassing van deze richtlijn de onverenigbaarheden opheffen. Er moet een verschillend belastingniveau kunnen worden toegepast op het gebruik van energieproducten en elektriciteit voor geregelde lijndiensten over water, visserij en vrachtvervoer over water binnen de EU en hun respectieve aanlegactiviteiten. </w:t>
            </w:r>
            <w:r w:rsidRPr="004A2CF9">
              <w:rPr>
                <w:b/>
                <w:i/>
              </w:rPr>
              <w:t>Met name voor vrachtschepen moeten de belastingniveaus stimulansen bieden voor de invoering van technologische innovatie die het mogelijk maakt met behulp van windenergie de energieprestaties van schepen aanzienlijk te verbeteren.</w:t>
            </w:r>
            <w:r w:rsidRPr="004A2CF9">
              <w:t xml:space="preserve"> Vanwege de eigen aard van dat gebruik moeten de minimumbelastingniveaus lager zijn dan de voor algemeen motorbrandstofgebruik geldende niveaus. Om het gebruik van duurzame alternatieve brandstoffen en elektriciteit te stimuleren</w:t>
            </w:r>
            <w:r w:rsidRPr="004A2CF9">
              <w:rPr>
                <w:b/>
                <w:i/>
              </w:rPr>
              <w:t>, met inbegrip van volledige elektrificatie op de ligplaats</w:t>
            </w:r>
            <w:r w:rsidRPr="004A2CF9">
              <w:t xml:space="preserve">, moeten deze brandstoffen en elektriciteit voor tien jaar van belasting worden vrijgesteld. Energieproducten en elektriciteit voor de overige scheepvaart binnen de EU moeten aan de normale belastingniveaus voor motorbrandstoffen </w:t>
            </w:r>
            <w:r w:rsidRPr="004A2CF9">
              <w:lastRenderedPageBreak/>
              <w:t>en elektriciteit in de lidstaten worden onderworpen.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164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Thomas Bajada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23</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(23)</w:t>
            </w:r>
            <w:r w:rsidRPr="004A2CF9">
              <w:tab/>
              <w:t xml:space="preserve">Brandstof voor de scheepvaart, </w:t>
            </w:r>
            <w:r w:rsidRPr="004A2CF9">
              <w:rPr>
                <w:b/>
                <w:i/>
              </w:rPr>
              <w:t>inclusief</w:t>
            </w:r>
            <w:r w:rsidRPr="004A2CF9">
              <w:t xml:space="preserve"> visserij, moet ook worden belast, en de lidstaten die partij zijn bij internationale overeenkomsten krachtens welke die brandstof is vrijgesteld, moeten ervoor zorgen dat zij uiterlijk op de datum van toepassing van deze richtlijn de onverenigbaarheden opheffen. Er moet een verschillend belastingniveau kunnen worden toegepast op het gebruik van energieproducten en elektriciteit voor geregelde lijndiensten over water, visserij en vrachtvervoer over water binnen de EU en hun respectieve aanlegactiviteiten. Vanwege de eigen aard van dat gebruik moeten de minimumbelastingniveaus lager zijn dan de voor algemeen motorbrandstofgebruik geldende niveaus. Om het gebruik van duurzame alternatieve brandstoffen en elektriciteit te stimuleren, moeten deze brandstoffen en elektriciteit voor tien jaar van belasting worden vrijgesteld. Energieproducten en elektriciteit voor de overige scheepvaart binnen de EU moeten aan de normale belastingniveaus voor motorbrandstoffen en elektriciteit in de lidstaten worden onderworpen.</w:t>
            </w:r>
          </w:p>
        </w:tc>
        <w:tc>
          <w:tcPr>
            <w:tcW w:w="4876" w:type="dxa"/>
          </w:tcPr>
          <w:p w:rsidR="00163620" w:rsidRPr="004A2CF9" w:rsidRDefault="00163620" w:rsidP="006527B0">
            <w:pPr>
              <w:pStyle w:val="Normal6"/>
              <w:rPr>
                <w:szCs w:val="24"/>
              </w:rPr>
            </w:pPr>
            <w:r w:rsidRPr="004A2CF9">
              <w:t>(23)</w:t>
            </w:r>
            <w:r w:rsidRPr="004A2CF9">
              <w:tab/>
              <w:t xml:space="preserve">Brandstof voor de scheepvaart, </w:t>
            </w:r>
            <w:r w:rsidRPr="004A2CF9">
              <w:rPr>
                <w:b/>
                <w:i/>
              </w:rPr>
              <w:t>met uitzondering van vaartuigen van de kleinschalige</w:t>
            </w:r>
            <w:r w:rsidRPr="004A2CF9">
              <w:t xml:space="preserve"> visserij, moet ook worden belast, en de lidstaten die partij zijn bij internationale overeenkomsten krachtens welke die brandstof is vrijgesteld, moeten ervoor zorgen dat zij uiterlijk op de datum van toepassing van deze richtlijn de onverenigbaarheden opheffen. Er moet een verschillend belastingniveau kunnen worden toegepast op het gebruik van energieproducten en elektriciteit voor geregelde lijndiensten over water, visserij en vrachtvervoer over water binnen de EU en hun respectieve aanlegactiviteiten. Vanwege de eigen aard van dat gebruik moeten de minimumbelastingniveaus lager zijn dan de voor algemeen motorbrandstofgebruik geldende niveaus. Om het gebruik van duurzame alternatieve brandstoffen en elektriciteit te stimuleren, moeten deze brandstoffen en elektriciteit voor tien jaar van belasting worden vrijgesteld. Energieproducten en elektriciteit voor de overige scheepvaart binnen de EU moeten aan de normale belastingniveaus voor motorbrandstoffen en elektriciteit in de lidstaten worden onderworpen.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953347" w:rsidRDefault="00163620" w:rsidP="00163620">
      <w:pPr>
        <w:pStyle w:val="AMNumberTabs0"/>
        <w:keepNext/>
      </w:pPr>
      <w:r>
        <w:rPr>
          <w:rStyle w:val="HideTWBExt"/>
          <w:b w:val="0"/>
        </w:rPr>
        <w:lastRenderedPageBreak/>
        <w:t>&lt;Amend&gt;</w:t>
      </w:r>
      <w:r>
        <w:t>Amendement</w:t>
      </w:r>
      <w:r>
        <w:tab/>
      </w:r>
      <w:r>
        <w:tab/>
      </w:r>
      <w:r>
        <w:rPr>
          <w:rStyle w:val="HideTWBExt"/>
          <w:b w:val="0"/>
        </w:rPr>
        <w:t>&lt;NumAm&gt;</w:t>
      </w:r>
      <w:r>
        <w:t>165</w:t>
      </w:r>
      <w:r>
        <w:rPr>
          <w:rStyle w:val="HideTWBExt"/>
          <w:b w:val="0"/>
        </w:rPr>
        <w:t>&lt;/NumAm&gt;</w:t>
      </w:r>
    </w:p>
    <w:p w:rsidR="00163620" w:rsidRPr="00953347" w:rsidRDefault="00163620" w:rsidP="00163620">
      <w:pPr>
        <w:pStyle w:val="NormalBold"/>
      </w:pPr>
      <w:r>
        <w:rPr>
          <w:rStyle w:val="HideTWBExt"/>
          <w:b w:val="0"/>
        </w:rPr>
        <w:t>&lt;RepeatBlock-By&gt;&lt;Members&gt;</w:t>
      </w:r>
      <w:r>
        <w:t>Marco Falcone</w:t>
      </w:r>
      <w:r>
        <w:rPr>
          <w:rStyle w:val="HideTWBExt"/>
          <w:b w:val="0"/>
        </w:rPr>
        <w:t>&lt;/Members&gt;</w:t>
      </w:r>
    </w:p>
    <w:p w:rsidR="00163620" w:rsidRPr="00953347" w:rsidRDefault="00163620" w:rsidP="00163620">
      <w:r>
        <w:rPr>
          <w:rStyle w:val="HideTWBExt"/>
        </w:rPr>
        <w:t>&lt;/RepeatBlock-By&gt;</w:t>
      </w:r>
    </w:p>
    <w:p w:rsidR="00163620" w:rsidRPr="00953347" w:rsidRDefault="00163620" w:rsidP="00163620">
      <w:pPr>
        <w:pStyle w:val="NormalBold"/>
        <w:keepNext/>
      </w:pPr>
      <w:r>
        <w:rPr>
          <w:rStyle w:val="HideTWBExt"/>
          <w:b w:val="0"/>
        </w:rPr>
        <w:t>&lt;DocAmend&gt;</w:t>
      </w:r>
      <w:r>
        <w:t>Voorstel voor een richtlijn</w:t>
      </w:r>
      <w:r>
        <w:rPr>
          <w:rStyle w:val="HideTWBExt"/>
          <w:b w:val="0"/>
        </w:rPr>
        <w:t>&lt;/DocAmend&gt;</w:t>
      </w:r>
    </w:p>
    <w:p w:rsidR="00163620" w:rsidRPr="00953347" w:rsidRDefault="00163620" w:rsidP="00163620">
      <w:pPr>
        <w:pStyle w:val="NormalBold"/>
      </w:pPr>
      <w:r>
        <w:rPr>
          <w:rStyle w:val="HideTWBExt"/>
          <w:b w:val="0"/>
        </w:rPr>
        <w:t>&lt;Article&gt;</w:t>
      </w:r>
      <w:r>
        <w:t>Overweging 23 bis (nieuw)</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Tr="006527B0">
        <w:trPr>
          <w:jc w:val="center"/>
        </w:trPr>
        <w:tc>
          <w:tcPr>
            <w:tcW w:w="9752" w:type="dxa"/>
            <w:gridSpan w:val="2"/>
          </w:tcPr>
          <w:p w:rsidR="00163620" w:rsidRPr="00953347" w:rsidRDefault="00163620" w:rsidP="006527B0">
            <w:pPr>
              <w:keepNext/>
            </w:pPr>
          </w:p>
        </w:tc>
      </w:tr>
      <w:tr w:rsidR="00163620" w:rsidTr="006527B0">
        <w:trPr>
          <w:jc w:val="center"/>
        </w:trPr>
        <w:tc>
          <w:tcPr>
            <w:tcW w:w="4876" w:type="dxa"/>
          </w:tcPr>
          <w:p w:rsidR="00163620" w:rsidRPr="00953347" w:rsidRDefault="00163620" w:rsidP="006527B0">
            <w:pPr>
              <w:pStyle w:val="ColumnHeading"/>
              <w:keepNext/>
            </w:pPr>
            <w:r>
              <w:t>Text proposed by the Commission</w:t>
            </w:r>
          </w:p>
        </w:tc>
        <w:tc>
          <w:tcPr>
            <w:tcW w:w="4876" w:type="dxa"/>
          </w:tcPr>
          <w:p w:rsidR="00163620" w:rsidRPr="00953347" w:rsidRDefault="00163620" w:rsidP="006527B0">
            <w:pPr>
              <w:pStyle w:val="ColumnHeading"/>
              <w:keepNext/>
            </w:pPr>
            <w:r>
              <w:t>Amendement</w:t>
            </w:r>
          </w:p>
        </w:tc>
      </w:tr>
      <w:tr w:rsidR="00163620" w:rsidTr="006527B0">
        <w:trPr>
          <w:jc w:val="center"/>
        </w:trPr>
        <w:tc>
          <w:tcPr>
            <w:tcW w:w="4876" w:type="dxa"/>
          </w:tcPr>
          <w:p w:rsidR="00163620" w:rsidRPr="00953347" w:rsidRDefault="00163620" w:rsidP="006527B0">
            <w:pPr>
              <w:pStyle w:val="Normal6"/>
            </w:pPr>
          </w:p>
        </w:tc>
        <w:tc>
          <w:tcPr>
            <w:tcW w:w="4876" w:type="dxa"/>
          </w:tcPr>
          <w:p w:rsidR="00163620" w:rsidRPr="00953347" w:rsidRDefault="00163620" w:rsidP="006527B0">
            <w:pPr>
              <w:pStyle w:val="Normal6"/>
              <w:rPr>
                <w:szCs w:val="24"/>
              </w:rPr>
            </w:pPr>
            <w:r>
              <w:rPr>
                <w:b/>
                <w:i/>
              </w:rPr>
              <w:t>(23 bis)</w:t>
            </w:r>
            <w:r>
              <w:rPr>
                <w:b/>
                <w:i/>
              </w:rPr>
              <w:tab/>
              <w:t>Brandstof voor de scheepvaart, inclusief visserij, moet ook worden belast, en de lidstaten die partij zijn bij internationale overeenkomsten krachtens welke die brandstof is vrijgesteld, moeten ervoor zorgen dat zij uiterlijk op de datum van toepassing van deze richtlijn de onverenigbaarheden opheffen. Er moet een verschillend belastingniveau kunnen worden toegepast op het gebruik van energieproducten en elektriciteit voor geregelde lijndiensten over water, visserij en vrachtvervoer over water binnen de EU en hun respectieve aanlegactiviteiten. Evenzo is het in het kader van routes en verbindingen van algemeen belang tussen het vasteland en de insulaire, ultraperifere of afgelegen gebieden van de EU van essentieel belang dat elke lidstaat initiatieven kan nemen om belastingen te verlagen teneinde de connectiviteit te vergemakkelijken en burgers en bedrijven te ondersteunen. Gezien de specifieke kenmerken van bovengenoemd gebruik moeten de minimumbelastingniveaus lager zijn dan degene die gelden voor algemeen motorbrandstofgebruik. Om het gebruik van duurzame alternatieve brandstoffen en elektriciteit te stimuleren, moeten deze brandstoffen en elektriciteit voor tien jaar van belasting worden vrijgesteld. Energieproducten en elektriciteit voor de overige scheepvaart binnen de EU moeten aan de normale belastingniveaus voor motorbrandstoffen en elektriciteit in de lidstaten worden onderworpen.</w:t>
            </w:r>
          </w:p>
        </w:tc>
      </w:tr>
    </w:tbl>
    <w:p w:rsidR="00163620" w:rsidRPr="00953347" w:rsidRDefault="00163620" w:rsidP="00163620">
      <w:pPr>
        <w:pStyle w:val="Olang"/>
      </w:pPr>
      <w:r w:rsidRPr="00953347">
        <w:rPr>
          <w:noProof w:val="0"/>
        </w:rPr>
        <w:t xml:space="preserve">Or. </w:t>
      </w:r>
      <w:r w:rsidRPr="00953347">
        <w:rPr>
          <w:rStyle w:val="HideTWBExt"/>
          <w:noProof w:val="0"/>
        </w:rPr>
        <w:t>&lt;Original&gt;</w:t>
      </w:r>
      <w:r w:rsidRPr="00953347">
        <w:rPr>
          <w:rStyle w:val="HideTWBInt"/>
          <w:rFonts w:eastAsiaTheme="majorEastAsia"/>
          <w:noProof w:val="0"/>
        </w:rPr>
        <w:t>{IT}</w:t>
      </w:r>
      <w:r w:rsidRPr="00953347">
        <w:rPr>
          <w:noProof w:val="0"/>
        </w:rPr>
        <w:t>it</w:t>
      </w:r>
      <w:r w:rsidRPr="00953347">
        <w:rPr>
          <w:rStyle w:val="HideTWBExt"/>
          <w:noProof w:val="0"/>
        </w:rPr>
        <w:t>&lt;/Original&gt;</w:t>
      </w:r>
    </w:p>
    <w:p w:rsidR="00163620" w:rsidRPr="00953347" w:rsidRDefault="00163620" w:rsidP="00163620">
      <w:r>
        <w:rPr>
          <w:rStyle w:val="HideTWBExt"/>
        </w:rPr>
        <w:t>&lt;/Amend&gt;</w:t>
      </w:r>
    </w:p>
    <w:p w:rsidR="00163620" w:rsidRPr="004A2CF9" w:rsidRDefault="00163620" w:rsidP="00163620">
      <w:pPr>
        <w:pStyle w:val="AMNumberTabs0"/>
        <w:keepNext/>
      </w:pPr>
      <w:r w:rsidRPr="004A2CF9">
        <w:rPr>
          <w:rStyle w:val="HideTWBExt"/>
          <w:b w:val="0"/>
        </w:rPr>
        <w:lastRenderedPageBreak/>
        <w:t>&lt;Amend&gt;</w:t>
      </w:r>
      <w:r w:rsidRPr="004A2CF9">
        <w:t>Amendement</w:t>
      </w:r>
      <w:r w:rsidRPr="004A2CF9">
        <w:tab/>
      </w:r>
      <w:r w:rsidRPr="004A2CF9">
        <w:tab/>
      </w:r>
      <w:r w:rsidRPr="004A2CF9">
        <w:rPr>
          <w:rStyle w:val="HideTWBExt"/>
          <w:b w:val="0"/>
        </w:rPr>
        <w:t>&lt;NumAm&gt;</w:t>
      </w:r>
      <w:r w:rsidRPr="004A2CF9">
        <w:t>166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23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(23 bis)</w:t>
            </w:r>
            <w:r w:rsidRPr="004A2CF9">
              <w:rPr>
                <w:b/>
                <w:i/>
              </w:rPr>
              <w:tab/>
              <w:t>Brandstofsubsidies met het oog op het verhogen van het inkomen van vissers hebben w</w:t>
            </w:r>
            <w:r>
              <w:rPr>
                <w:b/>
                <w:i/>
              </w:rPr>
              <w:t>einig effect, en in Analyse nr. </w:t>
            </w:r>
            <w:r w:rsidRPr="004A2CF9">
              <w:rPr>
                <w:b/>
                <w:i/>
              </w:rPr>
              <w:t>01/2022 van de Europese Rekenkamer inzake energiebelasting, koolstofbeprijzing en energiesubsidies wordt geconcludeerd dat “subsidies voor fossiele brandstoffen een belemmering vormen voor de verwezenlijking van klimaatdoelstellingen omdat zij de transitie naar groene energie in de weg staan”.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167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Fernando Navarrete Rojas, Francisco José Millán Mon, Gabriel Mato, Carmen Crespo Díaz</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24</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rPr>
                <w:b/>
                <w:i/>
              </w:rPr>
              <w:t>(24)</w:t>
            </w:r>
            <w:r w:rsidRPr="004A2CF9">
              <w:rPr>
                <w:b/>
                <w:i/>
              </w:rPr>
              <w:tab/>
              <w:t>De lidstaten mogen voor de luchtvaart buiten de EU (onverminderd internationale verplichtingen) en voor de scheepvaart, inclusief visserij, buiten de EU, vrijstelling verlenen of dezelfde belastingniveaus als binnen de EU toepassen, afhankelijk van het soort activiteit.</w:t>
            </w:r>
          </w:p>
        </w:tc>
        <w:tc>
          <w:tcPr>
            <w:tcW w:w="4876" w:type="dxa"/>
          </w:tcPr>
          <w:p w:rsidR="00163620" w:rsidRPr="004A2CF9" w:rsidRDefault="00163620" w:rsidP="006527B0">
            <w:pPr>
              <w:pStyle w:val="Normal6"/>
              <w:rPr>
                <w:szCs w:val="24"/>
              </w:rPr>
            </w:pPr>
            <w:r w:rsidRPr="004A2CF9">
              <w:rPr>
                <w:b/>
                <w:i/>
              </w:rPr>
              <w:t>Schrappen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168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lastRenderedPageBreak/>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24</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(24)</w:t>
            </w:r>
            <w:r w:rsidRPr="004A2CF9">
              <w:tab/>
              <w:t>De lidstaten mogen voor de luchtvaart buiten de EU (onverminderd internationale verplichtingen) en voor de scheepvaart, inclusief visserij, buiten de EU,</w:t>
            </w:r>
            <w:r w:rsidRPr="004A2CF9">
              <w:rPr>
                <w:b/>
                <w:i/>
              </w:rPr>
              <w:t xml:space="preserve"> vrijstelling verlenen of</w:t>
            </w:r>
            <w:r w:rsidRPr="004A2CF9">
              <w:t xml:space="preserve"> dezelfde belastingniveaus als binnen de EU toepassen, afhankelijk van het soort activiteit.</w:t>
            </w:r>
          </w:p>
        </w:tc>
        <w:tc>
          <w:tcPr>
            <w:tcW w:w="4876" w:type="dxa"/>
          </w:tcPr>
          <w:p w:rsidR="00163620" w:rsidRPr="004A2CF9" w:rsidRDefault="00163620" w:rsidP="006527B0">
            <w:pPr>
              <w:pStyle w:val="Normal6"/>
              <w:rPr>
                <w:szCs w:val="24"/>
              </w:rPr>
            </w:pPr>
            <w:r w:rsidRPr="004A2CF9">
              <w:t>(24)</w:t>
            </w:r>
            <w:r w:rsidRPr="004A2CF9">
              <w:tab/>
              <w:t xml:space="preserve">De lidstaten mogen voor de luchtvaart buiten de EU (onverminderd </w:t>
            </w:r>
            <w:r w:rsidRPr="004A2CF9">
              <w:rPr>
                <w:b/>
                <w:i/>
              </w:rPr>
              <w:t xml:space="preserve">de huidige </w:t>
            </w:r>
            <w:r w:rsidRPr="004A2CF9">
              <w:t>internationale verplichtingen</w:t>
            </w:r>
            <w:r w:rsidRPr="004A2CF9">
              <w:rPr>
                <w:b/>
                <w:i/>
              </w:rPr>
              <w:t>, die bijgevolg moeten worden herzien</w:t>
            </w:r>
            <w:r w:rsidRPr="004A2CF9">
              <w:t>) en voor de scheepvaart, inclusief visserij, buiten de EU, dezelfde belastingniveaus als binnen de EU toepassen, afhankelijk van het soort activiteit.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169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Thomas Bajada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24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(24 bis)</w:t>
            </w:r>
            <w:r w:rsidRPr="004A2CF9">
              <w:rPr>
                <w:b/>
                <w:i/>
              </w:rPr>
              <w:tab/>
              <w:t>De afschaffing van de vrijstellingen van brandstofbelasting in de visserijsector mag niet resulteren in lasten voor de kleinschalige visserij. De lidstaten moeten de inkomsten uit de brandstofbelasting in de visserijsector investeren om projecten te financieren die erop gericht zijn de veerkracht en de positie van de kleinschalige visserij in de waardeketen te versterken en de transitie in de kleinschalige visserij naar energie-efficiënte vaartuigen die gebruikmaken van duurzame hernieuwbare energie te vergemakkelijken.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lastRenderedPageBreak/>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24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(24 bis)</w:t>
            </w:r>
            <w:r w:rsidRPr="004A2CF9">
              <w:rPr>
                <w:b/>
                <w:i/>
              </w:rPr>
              <w:tab/>
              <w:t>De afschaffing van de vrijstellingen van brandstofbelasting in de visserijsector mag niet resulteren in lasten voor de kleinschalige visserij. De lidstaten investeren de inkomsten uit de brandstofbelasting in de visserijsector om projecten te financieren die erop gericht zijn de veerkracht en de positie van de kleinschalige visserij in de waardeketen te versterken en de transitie in de kleinschalige visserij naar energie-efficiënte vaartuigen die gebruikmaken van duurzame hernieuwbare energie te vergemakkelijken.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171</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24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(24 bis)</w:t>
            </w:r>
            <w:r w:rsidRPr="004A2CF9">
              <w:rPr>
                <w:b/>
                <w:i/>
              </w:rPr>
              <w:tab/>
              <w:t xml:space="preserve">De afschaffing van de vrijstellingen van brandstofbelasting in de visserijsector mag niet resulteren in lasten voor de kleinschalige visserij. De lidstaten moeten de inkomsten uit de brandstofbelasting in de visserijsector investeren om projecten te financieren die erop gericht zijn de transitie in de kleinschalige visserij naar energie-efficiënte vaartuigen die gebruikmaken van duurzame hernieuwbare energie te vergemakkelijken. </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lastRenderedPageBreak/>
        <w:t>&lt;Amend&gt;</w:t>
      </w:r>
      <w:r w:rsidRPr="004A2CF9">
        <w:t>Amendement</w:t>
      </w:r>
      <w:r w:rsidRPr="004A2CF9">
        <w:tab/>
      </w:r>
      <w:r w:rsidRPr="004A2CF9">
        <w:tab/>
      </w:r>
      <w:r w:rsidRPr="004A2CF9">
        <w:rPr>
          <w:rStyle w:val="HideTWBExt"/>
          <w:b w:val="0"/>
        </w:rPr>
        <w:t>&lt;NumAm&gt;</w:t>
      </w:r>
      <w:r w:rsidRPr="004A2CF9">
        <w:t>172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25</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(25)</w:t>
            </w:r>
            <w:r w:rsidRPr="004A2CF9">
              <w:tab/>
              <w:t xml:space="preserve">Het moet de lidstaten toegestaan zĳn binnen hun grondgebied bepaalde andere vrĳstellingen of verlagingen toe te passen, mits dit de </w:t>
            </w:r>
            <w:r w:rsidRPr="004A2CF9">
              <w:rPr>
                <w:b/>
                <w:i/>
              </w:rPr>
              <w:t>milieudoelstellingen</w:t>
            </w:r>
            <w:r w:rsidRPr="004A2CF9">
              <w:t xml:space="preserve"> en de goede werking van de interne markt niet schaadt en niet tot concurrentieverstoringen leidt.</w:t>
            </w:r>
          </w:p>
        </w:tc>
        <w:tc>
          <w:tcPr>
            <w:tcW w:w="4876" w:type="dxa"/>
          </w:tcPr>
          <w:p w:rsidR="00163620" w:rsidRPr="004A2CF9" w:rsidRDefault="00163620" w:rsidP="006527B0">
            <w:pPr>
              <w:pStyle w:val="Normal6"/>
              <w:rPr>
                <w:szCs w:val="24"/>
              </w:rPr>
            </w:pPr>
            <w:r w:rsidRPr="004A2CF9">
              <w:t>(25)</w:t>
            </w:r>
            <w:r w:rsidRPr="004A2CF9">
              <w:tab/>
              <w:t xml:space="preserve">Het moet de lidstaten toegestaan zijn binnen hun grondgebied bepaalde andere vrijstellingen of verlagingen toe te passen, mits dit de </w:t>
            </w:r>
            <w:r w:rsidRPr="004A2CF9">
              <w:rPr>
                <w:b/>
                <w:i/>
              </w:rPr>
              <w:t>doelstellingen op het gebied van milieu, energie en klimaat</w:t>
            </w:r>
            <w:r w:rsidRPr="004A2CF9">
              <w:t xml:space="preserve"> en de goede werking van de interne markt niet schaadt en niet tot concurrentieverstoringen leidt.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25</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(25)</w:t>
            </w:r>
            <w:r w:rsidRPr="004A2CF9">
              <w:tab/>
              <w:t>Het moet de lidstaten toegestaan zĳn binnen hun grondgebied bepaalde andere vrĳstellingen of verlagingen toe te passen, mits dit de</w:t>
            </w:r>
            <w:r w:rsidRPr="004A2CF9">
              <w:rPr>
                <w:b/>
                <w:i/>
              </w:rPr>
              <w:t> milieudoelstellingen en de goede werking</w:t>
            </w:r>
            <w:r w:rsidRPr="004A2CF9">
              <w:t xml:space="preserve"> van </w:t>
            </w:r>
            <w:r w:rsidRPr="004A2CF9">
              <w:rPr>
                <w:b/>
                <w:i/>
              </w:rPr>
              <w:t>de interne markt niet schaadt</w:t>
            </w:r>
            <w:r w:rsidRPr="004A2CF9">
              <w:t xml:space="preserve"> en </w:t>
            </w:r>
            <w:r w:rsidRPr="004A2CF9">
              <w:rPr>
                <w:b/>
                <w:i/>
              </w:rPr>
              <w:t>niet tot concurrentieverstoringen leidt</w:t>
            </w:r>
            <w:r w:rsidRPr="004A2CF9">
              <w:t>.</w:t>
            </w:r>
          </w:p>
        </w:tc>
        <w:tc>
          <w:tcPr>
            <w:tcW w:w="4876" w:type="dxa"/>
          </w:tcPr>
          <w:p w:rsidR="00163620" w:rsidRPr="004A2CF9" w:rsidRDefault="00163620" w:rsidP="006527B0">
            <w:pPr>
              <w:pStyle w:val="Normal6"/>
              <w:rPr>
                <w:szCs w:val="24"/>
              </w:rPr>
            </w:pPr>
            <w:r w:rsidRPr="004A2CF9">
              <w:t>(25)</w:t>
            </w:r>
            <w:r w:rsidRPr="004A2CF9">
              <w:tab/>
              <w:t>Het moet de lidstaten toegestaan zijn binnen hun grondgebied bepaalde andere vrijstellingen of verlagingen toe te passen, mits dit de</w:t>
            </w:r>
            <w:r w:rsidRPr="004A2CF9">
              <w:rPr>
                <w:b/>
                <w:i/>
              </w:rPr>
              <w:t xml:space="preserve"> doelstellingen op het gebied</w:t>
            </w:r>
            <w:r w:rsidRPr="004A2CF9">
              <w:t xml:space="preserve"> van </w:t>
            </w:r>
            <w:r w:rsidRPr="004A2CF9">
              <w:rPr>
                <w:b/>
                <w:i/>
              </w:rPr>
              <w:t>energie, milieu en klimaat</w:t>
            </w:r>
            <w:r w:rsidRPr="004A2CF9">
              <w:t xml:space="preserve"> en </w:t>
            </w:r>
            <w:r w:rsidRPr="004A2CF9">
              <w:rPr>
                <w:b/>
                <w:i/>
              </w:rPr>
              <w:t>een rechtvaardige energietransitie niet schaadt</w:t>
            </w:r>
            <w:r w:rsidRPr="004A2CF9">
              <w:t>.</w:t>
            </w:r>
            <w:r w:rsidRPr="004A2CF9">
              <w:rPr>
                <w:b/>
                <w:i/>
              </w:rPr>
              <w:t xml:space="preserve"> </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Michalis Hadjipantela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25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(25 bis)</w:t>
            </w:r>
            <w:r w:rsidRPr="004A2CF9">
              <w:rPr>
                <w:b/>
                <w:i/>
              </w:rPr>
              <w:tab/>
              <w:t>Eilandlidstaten zijn volledig afhankelijk van lucht- en zeevervoer omdat er geen andere vervoerswijzen beschikbaar zijn en moeten een vrijstelling krijgen voor lucht- en zeevervoer aangezien dit hun enige verbinding met het vasteland is. In dit verband moet het de eilandlidstaten toegestaan zijn vrijstellingen toe te passen, onder de voorwaarden die zij vaststellen om een correcte en eenvoudige toepassing van die vrijstellingen te waarborgen en fraude, ontwijking of misbruik te voorkomen, op energieproducten die worden geleverd voor gebruik als brandstof, en op elektriciteit voor rechtstreeks gebruik door schepen die in de wateren van de Unie varen en door luchtvaartuigen.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26</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(26)</w:t>
            </w:r>
            <w:r w:rsidRPr="004A2CF9">
              <w:tab/>
              <w:t>Meer bepaald kunnen</w:t>
            </w:r>
            <w:r w:rsidRPr="004A2CF9">
              <w:rPr>
                <w:b/>
                <w:i/>
              </w:rPr>
              <w:t> hoogrenderende warmtekrachtkoppeling en —</w:t>
            </w:r>
            <w:r w:rsidRPr="004A2CF9">
              <w:t xml:space="preserve"> met het oog op de bevordering van het gebruik </w:t>
            </w:r>
            <w:r w:rsidRPr="004A2CF9">
              <w:rPr>
                <w:b/>
                <w:i/>
              </w:rPr>
              <w:t>van alternatieve energiebronnen — energie uit hernieuwbare bronnen</w:t>
            </w:r>
            <w:r w:rsidRPr="004A2CF9">
              <w:t xml:space="preserve"> in aanmerking komen voor een bevoorrechte behandeling.</w:t>
            </w:r>
          </w:p>
        </w:tc>
        <w:tc>
          <w:tcPr>
            <w:tcW w:w="4876" w:type="dxa"/>
          </w:tcPr>
          <w:p w:rsidR="00163620" w:rsidRPr="004A2CF9" w:rsidRDefault="00163620" w:rsidP="006527B0">
            <w:pPr>
              <w:pStyle w:val="Normal6"/>
              <w:rPr>
                <w:szCs w:val="24"/>
              </w:rPr>
            </w:pPr>
            <w:r w:rsidRPr="004A2CF9">
              <w:t>(26)</w:t>
            </w:r>
            <w:r w:rsidRPr="004A2CF9">
              <w:tab/>
              <w:t>Meer bepaald kunnen</w:t>
            </w:r>
            <w:r w:rsidRPr="004A2CF9">
              <w:rPr>
                <w:b/>
                <w:i/>
              </w:rPr>
              <w:t xml:space="preserve"> duurzame hernieuwbare energiebronnen</w:t>
            </w:r>
            <w:r w:rsidRPr="004A2CF9">
              <w:t xml:space="preserve"> met het oog op de bevordering van het gebruik </w:t>
            </w:r>
            <w:r w:rsidRPr="004A2CF9">
              <w:rPr>
                <w:b/>
                <w:i/>
              </w:rPr>
              <w:t>ervan</w:t>
            </w:r>
            <w:r w:rsidRPr="004A2CF9">
              <w:t xml:space="preserve"> in aanmerking komen voor een bevoorrechte behandeling.</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lastRenderedPageBreak/>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27</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(27)</w:t>
            </w:r>
            <w:r w:rsidRPr="004A2CF9">
              <w:tab/>
              <w:t xml:space="preserve">Gerichte verlagingen van het belastingniveau </w:t>
            </w:r>
            <w:r w:rsidRPr="004A2CF9">
              <w:rPr>
                <w:b/>
                <w:i/>
              </w:rPr>
              <w:t>kunnen noodzakelijk zijn ter stimulering</w:t>
            </w:r>
            <w:r w:rsidRPr="004A2CF9">
              <w:t xml:space="preserve"> van de </w:t>
            </w:r>
            <w:r w:rsidRPr="004A2CF9">
              <w:rPr>
                <w:b/>
                <w:i/>
              </w:rPr>
              <w:t>verwezenlijking</w:t>
            </w:r>
            <w:r w:rsidRPr="004A2CF9">
              <w:t xml:space="preserve"> van de </w:t>
            </w:r>
            <w:r w:rsidRPr="004A2CF9">
              <w:rPr>
                <w:b/>
                <w:i/>
              </w:rPr>
              <w:t>milieubeschermingsdoelstellingen, alsmede van verbeteringen in de energie-efficiëntie</w:t>
            </w:r>
            <w:r w:rsidRPr="004A2CF9">
              <w:t xml:space="preserve"> van de productiesector van de Unie.</w:t>
            </w:r>
          </w:p>
        </w:tc>
        <w:tc>
          <w:tcPr>
            <w:tcW w:w="4876" w:type="dxa"/>
          </w:tcPr>
          <w:p w:rsidR="00163620" w:rsidRPr="004A2CF9" w:rsidRDefault="00163620" w:rsidP="006527B0">
            <w:pPr>
              <w:pStyle w:val="Normal6"/>
              <w:rPr>
                <w:szCs w:val="24"/>
              </w:rPr>
            </w:pPr>
            <w:r w:rsidRPr="004A2CF9">
              <w:t>(27)</w:t>
            </w:r>
            <w:r w:rsidRPr="004A2CF9">
              <w:tab/>
            </w:r>
            <w:r w:rsidRPr="004A2CF9">
              <w:rPr>
                <w:b/>
                <w:i/>
              </w:rPr>
              <w:t>Tijdelijke</w:t>
            </w:r>
            <w:r w:rsidRPr="004A2CF9">
              <w:t xml:space="preserve"> gerichte verlagingen van het belastingniveau </w:t>
            </w:r>
            <w:r w:rsidRPr="004A2CF9">
              <w:rPr>
                <w:b/>
                <w:i/>
              </w:rPr>
              <w:t>zouden energie-intensieve industrieën, kmo’s en startende ondernemingen kunnen stimuleren om een groene transitie</w:t>
            </w:r>
            <w:r w:rsidRPr="004A2CF9">
              <w:t xml:space="preserve"> van de productiesector van de Unie </w:t>
            </w:r>
            <w:r w:rsidRPr="004A2CF9">
              <w:rPr>
                <w:b/>
                <w:i/>
              </w:rPr>
              <w:t>tot stand te brengen.</w:t>
            </w:r>
            <w:r w:rsidRPr="004A2CF9">
              <w:t xml:space="preserve"> </w:t>
            </w:r>
            <w:r w:rsidRPr="004A2CF9">
              <w:rPr>
                <w:b/>
                <w:i/>
              </w:rPr>
              <w:t>Dergelijke verlagingen moeten afhankelijk zijn van de uitvoering door begunstigden van specifieke maatregelen om circulaire, vervuilingsvrije, zeer energie-efficiënte en op hernieuwbare energiebronnen gebaseerde activiteiten te verwezenlijken.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27</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(27)</w:t>
            </w:r>
            <w:r w:rsidRPr="004A2CF9">
              <w:tab/>
              <w:t>Gerichte verlagingen van het belastingniveau kunnen noodzakelijk zijn ter stimulering van de verwezenlijking van de milieubeschermingsdoelstellingen, alsmede van verbeteringen in de energie-efficiëntie van de productiesector van de Unie.</w:t>
            </w:r>
          </w:p>
        </w:tc>
        <w:tc>
          <w:tcPr>
            <w:tcW w:w="4876" w:type="dxa"/>
          </w:tcPr>
          <w:p w:rsidR="00163620" w:rsidRPr="004A2CF9" w:rsidRDefault="00163620" w:rsidP="006527B0">
            <w:pPr>
              <w:pStyle w:val="Normal6"/>
              <w:rPr>
                <w:szCs w:val="24"/>
              </w:rPr>
            </w:pPr>
            <w:r w:rsidRPr="004A2CF9">
              <w:t>(27)</w:t>
            </w:r>
            <w:r w:rsidRPr="004A2CF9">
              <w:tab/>
              <w:t xml:space="preserve">Gerichte verlagingen van het belastingniveau </w:t>
            </w:r>
            <w:r w:rsidRPr="004A2CF9">
              <w:rPr>
                <w:b/>
                <w:i/>
              </w:rPr>
              <w:t xml:space="preserve">op de korte en middellange termijn </w:t>
            </w:r>
            <w:r w:rsidRPr="004A2CF9">
              <w:t>kunnen noodzakelijk zijn ter stimulering van de verwezenlijking van de milieubeschermingsdoelstellingen, alsmede van verbeteringen in de energie-efficiëntie van de productiesector van de Unie.</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lastRenderedPageBreak/>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27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(27 bis)</w:t>
            </w:r>
            <w:r w:rsidRPr="004A2CF9">
              <w:rPr>
                <w:b/>
                <w:i/>
              </w:rPr>
              <w:tab/>
              <w:t>Energiegemeenschappen en prosumenten die zelf hernieuwbare energie produceren, vormen een essentiële hoeksteen van de energietransitie doordat zij de uitstoot van broeikasgassen en de energieafhankelijkheid helpen verminderen en flexibiliteit bieden aan de netten. Teneinde dergelijke praktijken in alle lidstaten te bevorderen, moet zelfgeproduceerde elektriciteit van belasting worden vrijgesteld.</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179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Sirpa Pietikäinen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27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(27 bis)</w:t>
            </w:r>
            <w:r w:rsidRPr="004A2CF9">
              <w:rPr>
                <w:b/>
                <w:i/>
              </w:rPr>
              <w:tab/>
              <w:t>Energiegemeenschappen en prosumenten die zelf hernieuwbare energie produceren, kunnen de energietransitie ten goede komen doordat zij de uitstoot van broeikasgassen en de energieafhankelijkheid helpen verminderen en flexibiliteit bieden aan de netten. Daarom moet een preferentiële belastingregeling van toepassing zijn op zelfgeproduceerde hernieuwbare elektriciteit.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Katri Kulmuni, Gilles Boyer</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lastRenderedPageBreak/>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27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(27 bis)</w:t>
            </w:r>
            <w:r w:rsidRPr="004A2CF9">
              <w:rPr>
                <w:b/>
                <w:i/>
              </w:rPr>
              <w:tab/>
              <w:t>In het licht van het energietransitieproces moet worden benadrukt hoe belangrijk een evenwichtige energiemix is om minder afhankelijk te worden van de invoer van energieproducten. Besluiten over de energiemix blijven evenwel een exclusieve bevoegdheid van de lidstaten.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181</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(28)</w:t>
            </w:r>
            <w:r w:rsidRPr="004A2CF9">
              <w:tab/>
              <w:t>Gerichte verlagingen van het belastingniveau kunnen noodzakelijk zijn om de sociale gevolgen van energiebelastingen aan te pakken. Een belastingvrijstelling kan tijdelijk noodzakelijk zijn om kwetsbare huishoudens te beschermen.</w:t>
            </w:r>
          </w:p>
        </w:tc>
        <w:tc>
          <w:tcPr>
            <w:tcW w:w="4876" w:type="dxa"/>
          </w:tcPr>
          <w:p w:rsidR="00163620" w:rsidRPr="004A2CF9" w:rsidRDefault="00163620" w:rsidP="006527B0">
            <w:pPr>
              <w:pStyle w:val="Normal6"/>
              <w:rPr>
                <w:szCs w:val="24"/>
              </w:rPr>
            </w:pPr>
            <w:r w:rsidRPr="004A2CF9">
              <w:t>(28)</w:t>
            </w:r>
            <w:r w:rsidRPr="004A2CF9">
              <w:tab/>
              <w:t xml:space="preserve">Gerichte verlagingen van het belastingniveau kunnen noodzakelijk zijn om de sociale gevolgen van energiebelastingen aan te pakken. Een belastingvrijstelling kan tijdelijk noodzakelijk zijn om kwetsbare huishoudens te beschermen. </w:t>
            </w:r>
            <w:r w:rsidRPr="004A2CF9">
              <w:rPr>
                <w:b/>
                <w:i/>
              </w:rPr>
              <w:t xml:space="preserve">Belastingvrijstellingen kunnen tijdelijk verlichting bieden, aangezien er in de eerste plaats structurele maatregelen nodig zijn om energiearmoede uit te roeien. Renovatie van gebouwen is bijvoorbeeld een belangrijke oplossing om het energieverbruik te verminderen en energiearmoede en -kwetsbaarheid terug te dringen. De voordelen van een lagere totale energierekening, niet alleen wat het fiscale gedeelte betreft, zijn in de context van hoge energieprijzen zelfs nog relevanter. Mensen die in de slechtst presterende gebouwen wonen en mensen die met energiearmoede te maken hebben, zouden profiteren van gerenoveerde en </w:t>
            </w:r>
            <w:r w:rsidRPr="004A2CF9">
              <w:rPr>
                <w:b/>
                <w:i/>
              </w:rPr>
              <w:lastRenderedPageBreak/>
              <w:t>betere gebouwen en van lagere energiekosten, en beschermd worden tegen verdere stijgingen en schommelingen van de marktprijs.</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Enikő Győri</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(28)</w:t>
            </w:r>
            <w:r w:rsidRPr="004A2CF9">
              <w:tab/>
            </w:r>
            <w:r w:rsidRPr="004A2CF9">
              <w:rPr>
                <w:b/>
                <w:i/>
              </w:rPr>
              <w:t>Gerichte verlagingen</w:t>
            </w:r>
            <w:r w:rsidRPr="004A2CF9">
              <w:t xml:space="preserve"> van het </w:t>
            </w:r>
            <w:r w:rsidRPr="004A2CF9">
              <w:rPr>
                <w:b/>
                <w:i/>
              </w:rPr>
              <w:t>belastingniveau kunnen noodzakelijk zijn om</w:t>
            </w:r>
            <w:r w:rsidRPr="004A2CF9">
              <w:t xml:space="preserve"> de </w:t>
            </w:r>
            <w:r w:rsidRPr="004A2CF9">
              <w:rPr>
                <w:b/>
                <w:i/>
              </w:rPr>
              <w:t>sociale gevolgen</w:t>
            </w:r>
            <w:r w:rsidRPr="004A2CF9">
              <w:t xml:space="preserve"> van </w:t>
            </w:r>
            <w:r w:rsidRPr="004A2CF9">
              <w:rPr>
                <w:b/>
                <w:i/>
              </w:rPr>
              <w:t>energiebelastingen aan</w:t>
            </w:r>
            <w:r w:rsidRPr="004A2CF9">
              <w:t xml:space="preserve"> te </w:t>
            </w:r>
            <w:r w:rsidRPr="004A2CF9">
              <w:rPr>
                <w:b/>
                <w:i/>
              </w:rPr>
              <w:t>pakken</w:t>
            </w:r>
            <w:r w:rsidRPr="004A2CF9">
              <w:t>.</w:t>
            </w:r>
            <w:r w:rsidRPr="004A2CF9">
              <w:rPr>
                <w:b/>
                <w:i/>
              </w:rPr>
              <w:t xml:space="preserve"> Een belastingvrijstelling kan tijdelijk noodzakelijk zijn</w:t>
            </w:r>
            <w:r w:rsidRPr="004A2CF9">
              <w:t xml:space="preserve"> om kwetsbare </w:t>
            </w:r>
            <w:r w:rsidRPr="004A2CF9">
              <w:rPr>
                <w:b/>
                <w:i/>
              </w:rPr>
              <w:t>huishoudens</w:t>
            </w:r>
            <w:r w:rsidRPr="004A2CF9">
              <w:t xml:space="preserve"> te beschermen.</w:t>
            </w:r>
          </w:p>
        </w:tc>
        <w:tc>
          <w:tcPr>
            <w:tcW w:w="4876" w:type="dxa"/>
          </w:tcPr>
          <w:p w:rsidR="00163620" w:rsidRPr="004A2CF9" w:rsidRDefault="00163620" w:rsidP="006527B0">
            <w:pPr>
              <w:pStyle w:val="Normal6"/>
              <w:rPr>
                <w:szCs w:val="24"/>
              </w:rPr>
            </w:pPr>
            <w:r w:rsidRPr="004A2CF9">
              <w:t>(28)</w:t>
            </w:r>
            <w:r w:rsidRPr="004A2CF9">
              <w:tab/>
            </w:r>
            <w:r w:rsidRPr="004A2CF9">
              <w:rPr>
                <w:b/>
                <w:i/>
              </w:rPr>
              <w:t>Gezien de mogelijke negatieve gevolgen</w:t>
            </w:r>
            <w:r w:rsidRPr="004A2CF9">
              <w:t xml:space="preserve"> van </w:t>
            </w:r>
            <w:r w:rsidRPr="004A2CF9">
              <w:rPr>
                <w:b/>
                <w:i/>
              </w:rPr>
              <w:t xml:space="preserve">energiebelasting voor kwetsbare huishoudens en met </w:t>
            </w:r>
            <w:r w:rsidRPr="004A2CF9">
              <w:t xml:space="preserve">het </w:t>
            </w:r>
            <w:r w:rsidRPr="004A2CF9">
              <w:rPr>
                <w:b/>
                <w:i/>
              </w:rPr>
              <w:t>oog op het verminderen van het risico op energiearmoede, die nog wordt versterkt door hoge energieprijzen, moeten</w:t>
            </w:r>
            <w:r w:rsidRPr="004A2CF9">
              <w:t xml:space="preserve"> de </w:t>
            </w:r>
            <w:r w:rsidRPr="004A2CF9">
              <w:rPr>
                <w:b/>
                <w:i/>
              </w:rPr>
              <w:t>lidstaten de mogelijkheid krijgen deze groepen vrij te stellen</w:t>
            </w:r>
            <w:r w:rsidRPr="004A2CF9">
              <w:t xml:space="preserve"> van </w:t>
            </w:r>
            <w:r w:rsidRPr="004A2CF9">
              <w:rPr>
                <w:b/>
                <w:i/>
              </w:rPr>
              <w:t>belasting op aardgas en andere energieproducten of hiervoor verlaagde minimumbelastingniveaus to</w:t>
            </w:r>
            <w:bookmarkStart w:id="0" w:name="_GoBack"/>
            <w:bookmarkEnd w:id="0"/>
            <w:r w:rsidRPr="004A2CF9">
              <w:rPr>
                <w:b/>
                <w:i/>
              </w:rPr>
              <w:t>e</w:t>
            </w:r>
            <w:r w:rsidRPr="004A2CF9">
              <w:t xml:space="preserve"> te </w:t>
            </w:r>
            <w:r w:rsidRPr="004A2CF9">
              <w:rPr>
                <w:b/>
                <w:i/>
              </w:rPr>
              <w:t>passen</w:t>
            </w:r>
            <w:r w:rsidRPr="004A2CF9">
              <w:t xml:space="preserve">. </w:t>
            </w:r>
            <w:r w:rsidRPr="004A2CF9">
              <w:rPr>
                <w:b/>
                <w:i/>
              </w:rPr>
              <w:t xml:space="preserve">Dergelijke maatregelen zijn van essentieel belang </w:t>
            </w:r>
            <w:r w:rsidRPr="00460F53">
              <w:t>om</w:t>
            </w:r>
            <w:r w:rsidRPr="004A2CF9">
              <w:rPr>
                <w:b/>
                <w:i/>
              </w:rPr>
              <w:t xml:space="preserve"> sociale rechtvaardigheid te waarborgen en </w:t>
            </w:r>
            <w:r w:rsidRPr="00460F53">
              <w:t>kwetsbare</w:t>
            </w:r>
            <w:r w:rsidRPr="004A2CF9">
              <w:rPr>
                <w:b/>
                <w:i/>
              </w:rPr>
              <w:t xml:space="preserve"> consumenten </w:t>
            </w:r>
            <w:r w:rsidRPr="00460F53">
              <w:t>te beschermen</w:t>
            </w:r>
            <w:r w:rsidRPr="004A2CF9">
              <w:rPr>
                <w:b/>
                <w:i/>
              </w:rPr>
              <w:t xml:space="preserve"> tegen onevenredige financiële lasten als gevolg van de toepassing van deze richtlijn.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(28)</w:t>
            </w:r>
            <w:r w:rsidRPr="004A2CF9">
              <w:tab/>
              <w:t xml:space="preserve">Gerichte verlagingen van het </w:t>
            </w:r>
            <w:r w:rsidRPr="004A2CF9">
              <w:lastRenderedPageBreak/>
              <w:t>belastingniveau kunnen noodzakelijk zijn om de sociale gevolgen van energiebelastingen aan te pakken. Een belastingvrijstelling kan tijdelijk noodzakelijk zijn om kwetsbare huishoudens te beschermen.</w:t>
            </w:r>
          </w:p>
        </w:tc>
        <w:tc>
          <w:tcPr>
            <w:tcW w:w="4876" w:type="dxa"/>
          </w:tcPr>
          <w:p w:rsidR="00163620" w:rsidRPr="004A2CF9" w:rsidRDefault="00163620" w:rsidP="006527B0">
            <w:pPr>
              <w:pStyle w:val="Normal6"/>
              <w:rPr>
                <w:szCs w:val="24"/>
              </w:rPr>
            </w:pPr>
            <w:r w:rsidRPr="004A2CF9">
              <w:lastRenderedPageBreak/>
              <w:t>(28)</w:t>
            </w:r>
            <w:r w:rsidRPr="004A2CF9">
              <w:tab/>
              <w:t xml:space="preserve">Gerichte verlagingen van het </w:t>
            </w:r>
            <w:r w:rsidRPr="004A2CF9">
              <w:lastRenderedPageBreak/>
              <w:t xml:space="preserve">belastingniveau kunnen noodzakelijk zijn om de sociale gevolgen van energiebelastingen aan te pakken. Een belastingvrijstelling kan tijdelijk noodzakelijk zijn om kwetsbare huishoudens te beschermen. </w:t>
            </w:r>
            <w:r w:rsidRPr="004A2CF9">
              <w:rPr>
                <w:b/>
                <w:i/>
              </w:rPr>
              <w:t>Energie is van essentieel belang en toegang tot energiediensten is een sociaal grondrecht. Huishoudens die als kwetsbaar worden beschouwd, worden vaker getroffen door energiearmoede.</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(28)</w:t>
            </w:r>
            <w:r w:rsidRPr="004A2CF9">
              <w:tab/>
              <w:t xml:space="preserve">Gerichte verlagingen van het belastingniveau kunnen noodzakelijk zijn om de sociale gevolgen van energiebelastingen aan te pakken. Een belastingvrijstelling kan </w:t>
            </w:r>
            <w:r w:rsidRPr="004A2CF9">
              <w:rPr>
                <w:b/>
                <w:i/>
              </w:rPr>
              <w:t xml:space="preserve">tijdelijk </w:t>
            </w:r>
            <w:r w:rsidRPr="004A2CF9">
              <w:t>noodzakelijk zijn om kwetsbare huishoudens te beschermen.</w:t>
            </w:r>
          </w:p>
        </w:tc>
        <w:tc>
          <w:tcPr>
            <w:tcW w:w="4876" w:type="dxa"/>
          </w:tcPr>
          <w:p w:rsidR="00163620" w:rsidRPr="004A2CF9" w:rsidRDefault="00163620" w:rsidP="006527B0">
            <w:pPr>
              <w:pStyle w:val="Normal6"/>
              <w:rPr>
                <w:szCs w:val="24"/>
              </w:rPr>
            </w:pPr>
            <w:r w:rsidRPr="004A2CF9">
              <w:t>(28)</w:t>
            </w:r>
            <w:r w:rsidRPr="004A2CF9">
              <w:tab/>
              <w:t xml:space="preserve">Gerichte verlagingen van het belastingniveau kunnen noodzakelijk zijn om de sociale gevolgen van energiebelastingen aan te pakken. Een belastingvrijstelling kan noodzakelijk zijn om kwetsbare huishoudens </w:t>
            </w:r>
            <w:r w:rsidRPr="004A2CF9">
              <w:rPr>
                <w:b/>
                <w:i/>
              </w:rPr>
              <w:t xml:space="preserve">en energiearme huishoudens </w:t>
            </w:r>
            <w:r w:rsidRPr="004A2CF9">
              <w:t>te beschermen</w:t>
            </w:r>
            <w:r w:rsidRPr="004A2CF9">
              <w:rPr>
                <w:b/>
                <w:i/>
              </w:rPr>
              <w:t>, met name wanneer zij huurder zijn</w:t>
            </w:r>
            <w:r w:rsidRPr="004A2CF9">
              <w:t>.</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Michalis Hadjipantela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(28)</w:t>
            </w:r>
            <w:r w:rsidRPr="004A2CF9">
              <w:tab/>
              <w:t xml:space="preserve">Gerichte verlagingen van het belastingniveau </w:t>
            </w:r>
            <w:r w:rsidRPr="004A2CF9">
              <w:rPr>
                <w:b/>
                <w:i/>
              </w:rPr>
              <w:t>kunnen</w:t>
            </w:r>
            <w:r w:rsidRPr="004A2CF9">
              <w:t xml:space="preserve"> noodzakelijk</w:t>
            </w:r>
            <w:r w:rsidRPr="004A2CF9">
              <w:rPr>
                <w:b/>
                <w:i/>
              </w:rPr>
              <w:t xml:space="preserve"> zijn</w:t>
            </w:r>
            <w:r w:rsidRPr="004A2CF9">
              <w:t xml:space="preserve"> om de sociale gevolgen van energiebelastingen aan te pakken. Een </w:t>
            </w:r>
            <w:r w:rsidRPr="004A2CF9">
              <w:lastRenderedPageBreak/>
              <w:t xml:space="preserve">belastingvrijstelling </w:t>
            </w:r>
            <w:r w:rsidRPr="004A2CF9">
              <w:rPr>
                <w:b/>
                <w:i/>
              </w:rPr>
              <w:t>kan</w:t>
            </w:r>
            <w:r w:rsidRPr="004A2CF9">
              <w:t xml:space="preserve"> tijdelijk noodzakelijk</w:t>
            </w:r>
            <w:r w:rsidRPr="004A2CF9">
              <w:rPr>
                <w:b/>
                <w:i/>
              </w:rPr>
              <w:t xml:space="preserve"> zijn</w:t>
            </w:r>
            <w:r w:rsidRPr="004A2CF9">
              <w:t xml:space="preserve"> om kwetsbare huishoudens te beschermen.</w:t>
            </w:r>
          </w:p>
        </w:tc>
        <w:tc>
          <w:tcPr>
            <w:tcW w:w="4876" w:type="dxa"/>
          </w:tcPr>
          <w:p w:rsidR="00163620" w:rsidRPr="004A2CF9" w:rsidRDefault="00163620" w:rsidP="006527B0">
            <w:pPr>
              <w:pStyle w:val="Normal6"/>
              <w:rPr>
                <w:szCs w:val="24"/>
              </w:rPr>
            </w:pPr>
            <w:r w:rsidRPr="004A2CF9">
              <w:lastRenderedPageBreak/>
              <w:t>(28)</w:t>
            </w:r>
            <w:r w:rsidRPr="004A2CF9">
              <w:tab/>
              <w:t xml:space="preserve">Gerichte verlagingen van het belastingniveau </w:t>
            </w:r>
            <w:r w:rsidRPr="004A2CF9">
              <w:rPr>
                <w:b/>
                <w:i/>
              </w:rPr>
              <w:t>zijn</w:t>
            </w:r>
            <w:r w:rsidRPr="004A2CF9">
              <w:t xml:space="preserve"> noodzakelijk om de sociale gevolgen van energiebelastingen aan te pakken. Een belastingvrijstelling </w:t>
            </w:r>
            <w:r w:rsidRPr="004A2CF9">
              <w:rPr>
                <w:b/>
                <w:i/>
              </w:rPr>
              <w:t>is</w:t>
            </w:r>
            <w:r w:rsidRPr="004A2CF9">
              <w:t xml:space="preserve"> </w:t>
            </w:r>
            <w:r w:rsidRPr="004A2CF9">
              <w:lastRenderedPageBreak/>
              <w:t>tijdelijk noodzakelijk om kwetsbare huishoudens te beschermen.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(28 bis)</w:t>
            </w:r>
            <w:r w:rsidRPr="004A2CF9">
              <w:rPr>
                <w:b/>
                <w:i/>
              </w:rPr>
              <w:tab/>
              <w:t>Om burgers en consumenten meer zeggenschap te geven in de energietransitie en investeringen in energie-efficiëntie en hernieuwbare energiebronnen te vergemakkelijken, moet de belastingheffing het — zowel individueel als gezamenlijk — lokaal zelf produceren, opslaan, delen en verbruiken van hernieuwbare energie stimuleren. Dat moet ook hernieuwbare-energiegemeenschappen bevorderen, als een organisatorisch concept dat erop gericht is huishoudens, waaronder kwetsbare en arme huishoudens, kmo’s, startende ondernemingen en lokale overheden, te laten samenwerken om de energietransitie in eigen hand te nemen.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Michalis Hadjipantela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(28 bis)</w:t>
            </w:r>
            <w:r w:rsidRPr="004A2CF9">
              <w:rPr>
                <w:b/>
                <w:i/>
              </w:rPr>
              <w:tab/>
              <w:t>Benadrukt dat er dringend gebruik moet worden gemaakt van gerichte compensatiemaatregelen via EU-</w:t>
            </w:r>
            <w:r w:rsidRPr="004A2CF9">
              <w:rPr>
                <w:b/>
                <w:i/>
              </w:rPr>
              <w:lastRenderedPageBreak/>
              <w:t>instrumenten zoals het Fonds voor een rechtvaardige transitie, het Europees Sociaal Fonds Plus en het Sociaal Klimaatfonds (zodra dit operationeel is) om kwetsbare huishoudens en bedrijven te beschermen tegen de negatieve gevolgen van de stijgende prijzen van fossiele brandstoffen.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(28 bis)</w:t>
            </w:r>
            <w:r w:rsidRPr="004A2CF9">
              <w:rPr>
                <w:b/>
                <w:i/>
              </w:rPr>
              <w:tab/>
              <w:t xml:space="preserve">Er zij nogmaals op gewezen dat energie een publiek goed en een mensenrecht en een sociaal recht is. De lidstaten moeten maatregelen voorstellen om energiearmoede aan te pakken en voor iedereen gelijke toegang tot energiediensten te waarborgen. </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189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(28 ter)</w:t>
            </w:r>
            <w:r w:rsidRPr="004A2CF9">
              <w:rPr>
                <w:b/>
                <w:i/>
              </w:rPr>
              <w:tab/>
              <w:t xml:space="preserve">Het is erkend dat brandstofsubsidies in de visserijsector schadelijk zijn en leiden tot een kunstmatige toename van de vangstcapaciteit doordat zij de kosten van de visserij beperken en meer druk op reeds overbeviste bestanden veroorzaken. Voorts zijn brandstofsubsidies met name </w:t>
            </w:r>
            <w:r w:rsidRPr="004A2CF9">
              <w:rPr>
                <w:b/>
                <w:i/>
              </w:rPr>
              <w:lastRenderedPageBreak/>
              <w:t>voordelig voor grootschalige industriële visserijactiviteiten, wat ten koste gaat van de kleinschalige visserij.</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190</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 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(28 ter)</w:t>
            </w:r>
            <w:r w:rsidRPr="004A2CF9">
              <w:rPr>
                <w:b/>
                <w:i/>
              </w:rPr>
              <w:tab/>
              <w:t xml:space="preserve">Huishoudens moeten zich de energie kunnen veroorloven die nodig is voor een behoorlijke levenskwaliteit, alsook energie-efficiënte huisvesting die zowel in warme als koude seizoenen een gezond binnenmilieu mogelijk maakt. </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191</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28 quater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(28 quater)</w:t>
            </w:r>
            <w:r w:rsidRPr="004A2CF9">
              <w:rPr>
                <w:b/>
                <w:i/>
              </w:rPr>
              <w:tab/>
              <w:t>Het is van essentieel belang om belastingheffing af te stemmen op energie- en klimaatbeleid, overeenkomstig de doelstellingen van de Europese Green Deal, en in alle sectoren, ook in de visserij, belasting te heffen op brandstof. Vrijstellingen voor slechts één sector zijn ongerechtvaardigd.</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lastRenderedPageBreak/>
        <w:t>&lt;Amend&gt;</w:t>
      </w:r>
      <w:r w:rsidRPr="004A2CF9">
        <w:t>Amendement</w:t>
      </w:r>
      <w:r w:rsidRPr="004A2CF9">
        <w:tab/>
      </w:r>
      <w:r w:rsidRPr="004A2CF9">
        <w:tab/>
      </w:r>
      <w:r w:rsidRPr="004A2CF9">
        <w:rPr>
          <w:rStyle w:val="HideTWBExt"/>
          <w:b w:val="0"/>
        </w:rPr>
        <w:t>&lt;NumAm&gt;</w:t>
      </w:r>
      <w:r w:rsidRPr="004A2CF9">
        <w:t>192</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29</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(29)</w:t>
            </w:r>
            <w:r w:rsidRPr="004A2CF9">
              <w:tab/>
              <w:t>Met het oog op de financiële, economische en ecologische gevolgen voor de lidstaten, zoals de noodzaak om de vervoerssector te elektrificeren, moet er een procedure komen volgens welke de lidstaten voor een bepaalde periode andere belastingvrĳstellingen of -verlagingen mogen invoeren. Ter bescherming van het milieu en de volksgezondheid, waaronder de vermindering van luchtverontreiniging, moet er een procedure komen volgens welke de lidstaten voor een bepaalde periode specifieke hogere tarieven mogen invoeren. Die goedkeuring moet, na een naar behoren gemotiveerd verzoek door de lidstaten en op voorstel van de Commissie, door middel van een uitvoeringsbesluit van de Raad worden vastgesteld, overeenkomstig artikel 291 van het VWEU. Dergelĳke maatregelen moeten op gezette tĳden geëvalueerd worden.</w:t>
            </w:r>
          </w:p>
        </w:tc>
        <w:tc>
          <w:tcPr>
            <w:tcW w:w="4876" w:type="dxa"/>
          </w:tcPr>
          <w:p w:rsidR="00163620" w:rsidRPr="004A2CF9" w:rsidRDefault="00163620" w:rsidP="006527B0">
            <w:pPr>
              <w:pStyle w:val="Normal6"/>
              <w:rPr>
                <w:szCs w:val="24"/>
              </w:rPr>
            </w:pPr>
            <w:r w:rsidRPr="004A2CF9">
              <w:t>(29)</w:t>
            </w:r>
            <w:r w:rsidRPr="004A2CF9">
              <w:tab/>
              <w:t xml:space="preserve">Met het oog op de financiële, economische en ecologische gevolgen </w:t>
            </w:r>
            <w:r w:rsidRPr="004A2CF9">
              <w:rPr>
                <w:b/>
                <w:i/>
              </w:rPr>
              <w:t xml:space="preserve">en de gevolgen voor de bescherming van de menselijke gezondheid </w:t>
            </w:r>
            <w:r w:rsidRPr="004A2CF9">
              <w:t xml:space="preserve">voor de lidstaten, zoals de noodzaak om de vervoerssector </w:t>
            </w:r>
            <w:r w:rsidRPr="004A2CF9">
              <w:rPr>
                <w:b/>
                <w:i/>
              </w:rPr>
              <w:t xml:space="preserve">en de verwarmings- en koelingssector </w:t>
            </w:r>
            <w:r w:rsidRPr="004A2CF9">
              <w:t>te elektrificeren, moet er een procedure komen volgens welke de lidstaten voor een bepaalde periode andere belastingvrijstellingen of -verlagingen mogen invoeren. Ter bescherming van het milieu en de volksgezondheid, waaronder de vermindering van luchtverontreiniging, moet er een procedure komen volgens welke de lidstaten voor een bepaalde periode specifieke hogere tarieven mogen invoeren. Die goedkeuring moet, na een naar behoren gemotiveerd verzoek door de lidstaten en op voorstel van de Commissie, door middel van een uitvoeringsbesluit van de Raad worden vast</w:t>
            </w:r>
            <w:r>
              <w:t>gesteld, overeenkomstig artikel </w:t>
            </w:r>
            <w:r w:rsidRPr="004A2CF9">
              <w:t>291 van het VWEU. Dergelĳke maatregelen moeten op gezette tĳden geëvalueerd worden.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193</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Katri Kulmuni, Gilles Boyer</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29</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(29)</w:t>
            </w:r>
            <w:r w:rsidRPr="004A2CF9">
              <w:tab/>
              <w:t xml:space="preserve">Met het oog op de financiële, economische en ecologische gevolgen voor de lidstaten, zoals de noodzaak om de vervoerssector te </w:t>
            </w:r>
            <w:r w:rsidRPr="004A2CF9">
              <w:rPr>
                <w:b/>
                <w:i/>
              </w:rPr>
              <w:t>elektrificeren</w:t>
            </w:r>
            <w:r w:rsidRPr="004A2CF9">
              <w:t xml:space="preserve">, moet er </w:t>
            </w:r>
            <w:r w:rsidRPr="004A2CF9">
              <w:lastRenderedPageBreak/>
              <w:t>een procedure komen volgens welke de lidstaten voor een bepaalde periode andere belastingvrĳstellingen of -verlagingen mogen invoeren. Ter bescherming van het milieu en de volksgezondheid, waaronder de vermindering van luchtverontreiniging, moet er een procedure komen volgens welke de lidstaten voor een bepaalde periode specifieke hogere tarieven mogen invoeren. Die goedkeuring moet, na een naar behoren gemotiveerd verzoek door de lidstaten en op voorstel van de Commissie, door middel van een uitvoeringsbesluit van de Raad worden vast</w:t>
            </w:r>
            <w:r>
              <w:t>gesteld, overeenkomstig artikel </w:t>
            </w:r>
            <w:r w:rsidRPr="004A2CF9">
              <w:t>291 van het VWEU. Dergelĳke maatregelen moeten op gezette tĳden geëvalueerd worden.</w:t>
            </w:r>
          </w:p>
        </w:tc>
        <w:tc>
          <w:tcPr>
            <w:tcW w:w="4876" w:type="dxa"/>
          </w:tcPr>
          <w:p w:rsidR="00163620" w:rsidRPr="004A2CF9" w:rsidRDefault="00163620" w:rsidP="006527B0">
            <w:pPr>
              <w:pStyle w:val="Normal6"/>
              <w:rPr>
                <w:szCs w:val="24"/>
              </w:rPr>
            </w:pPr>
            <w:r w:rsidRPr="004A2CF9">
              <w:lastRenderedPageBreak/>
              <w:t>(29)</w:t>
            </w:r>
            <w:r w:rsidRPr="004A2CF9">
              <w:tab/>
              <w:t xml:space="preserve">Met het oog op de financiële, economische en ecologische gevolgen voor de lidstaten, zoals de noodzaak om de vervoerssector </w:t>
            </w:r>
            <w:r w:rsidRPr="004A2CF9">
              <w:rPr>
                <w:b/>
                <w:i/>
              </w:rPr>
              <w:t xml:space="preserve">koolstofvrij </w:t>
            </w:r>
            <w:r w:rsidRPr="004A2CF9">
              <w:t xml:space="preserve">te </w:t>
            </w:r>
            <w:r w:rsidRPr="004A2CF9">
              <w:rPr>
                <w:b/>
                <w:i/>
              </w:rPr>
              <w:t>maken</w:t>
            </w:r>
            <w:r w:rsidRPr="004A2CF9">
              <w:t xml:space="preserve">, moet </w:t>
            </w:r>
            <w:r w:rsidRPr="004A2CF9">
              <w:lastRenderedPageBreak/>
              <w:t>er een procedure komen volgens welke de lidstaten voor een bepaalde periode andere belastingvrĳstellingen of -verlagingen mogen invoeren. Ter bescherming van het milieu en de volksgezondheid, waaronder de vermindering van luchtverontreiniging, moet er een procedure komen volgens welke de lidstaten voor een bepaalde periode specifieke hogere tarieven mogen invoeren. Die goedkeuring moet, na een naar behoren gemotiveerd verzoek door de lidstaten en op voorstel van de Commissie, door middel van een uitvoeringsbesluit van de Raad worden vast</w:t>
            </w:r>
            <w:r>
              <w:t>gesteld, overeenkomstig artikel </w:t>
            </w:r>
            <w:r w:rsidRPr="004A2CF9">
              <w:t>291 van het VWEU. Dergelĳke maatregelen moeten op gezette tĳden geëvalueerd worden.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pPr>
        <w:pStyle w:val="JustificationTitle"/>
        <w:rPr>
          <w:noProof w:val="0"/>
        </w:rPr>
      </w:pPr>
      <w:r w:rsidRPr="004A2CF9">
        <w:rPr>
          <w:rStyle w:val="HideTWBExt"/>
          <w:i w:val="0"/>
        </w:rPr>
        <w:t>&lt;TitreJust&gt;</w:t>
      </w:r>
      <w:r w:rsidRPr="004A2CF9">
        <w:t>Motivering</w:t>
      </w:r>
      <w:r w:rsidRPr="004A2CF9">
        <w:rPr>
          <w:rStyle w:val="HideTWBExt"/>
          <w:i w:val="0"/>
        </w:rPr>
        <w:t>&lt;/TitreJust&gt;</w:t>
      </w:r>
    </w:p>
    <w:p w:rsidR="00163620" w:rsidRPr="004A2CF9" w:rsidRDefault="00163620" w:rsidP="00163620">
      <w:pPr>
        <w:pStyle w:val="Normal12Italic"/>
        <w:rPr>
          <w:noProof w:val="0"/>
        </w:rPr>
      </w:pPr>
      <w:r w:rsidRPr="004A2CF9">
        <w:t>Op het gebied van vervoer moeten we ons richten op koolstofarm vervoer, niet alleen op de elektrificatie ervan.</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194</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29 bis (nieuw)</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p>
        </w:tc>
        <w:tc>
          <w:tcPr>
            <w:tcW w:w="4876" w:type="dxa"/>
          </w:tcPr>
          <w:p w:rsidR="00163620" w:rsidRPr="004A2CF9" w:rsidRDefault="00163620" w:rsidP="006527B0">
            <w:pPr>
              <w:pStyle w:val="Normal6"/>
              <w:rPr>
                <w:szCs w:val="24"/>
              </w:rPr>
            </w:pPr>
            <w:r w:rsidRPr="004A2CF9">
              <w:rPr>
                <w:b/>
                <w:i/>
              </w:rPr>
              <w:t>(29 bis)</w:t>
            </w:r>
            <w:r w:rsidRPr="004A2CF9">
              <w:rPr>
                <w:b/>
                <w:i/>
              </w:rPr>
              <w:tab/>
              <w:t xml:space="preserve">De uitvoering van deze richtlijn zou ook sociaal-economische gevolgen kunnen hebben, alsook uiteenlopende gevolgen voor de verschillende inkomensklassen en lidstaten. In dat verband wordt bij deze richtlijn een sociale monitor ingesteld om de uitvoering van de richtlijn en de gevolgen ervan voor de verschillende lidstaten, regio’s en inkomensklassen te beoordelen. In het kader van de sociale monitor zouden aan zowel de Commissie als de lidstaten </w:t>
            </w:r>
            <w:r w:rsidRPr="004A2CF9">
              <w:rPr>
                <w:b/>
                <w:i/>
              </w:rPr>
              <w:lastRenderedPageBreak/>
              <w:t>verslagleggingsverplichtingen moeten worden opgelegd. Terwijl de Commissie een holistisch overzicht moet geven, onder meer over de evolutie van de energieprijzen, moeten de lidstaten de sociale maatregelen beschrijven die zijn genomen om de mogelijke sociaal-economische gevolgen van de uitvoering van deze richtlijn te verzachten. Indien er volgens de beoordelingen van de sociale monitor geen aanzienlijke vorderingen zijn gemaakt om de sociaal-economische effecten op de als kwetsbaar erkende huishoudens te beperken, moeten de lidstaten over de mogelijkheid beschikken om de overgangsperiode voor die huishoudens te verlengen.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195</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Markus Ferber</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35</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(35)</w:t>
            </w:r>
            <w:r w:rsidRPr="004A2CF9">
              <w:tab/>
              <w:t>Er moet worden verwezen naar de momenteel toepasselijke versie van de gecombineerde nomenclatuur. Om te waarborgen dat de verwijzingen naar de gecombineerde nomenclatuur (GN) in deze richtlijn wanneer nodig worden geactualiseerd</w:t>
            </w:r>
            <w:r w:rsidRPr="004A2CF9">
              <w:rPr>
                <w:b/>
                <w:i/>
              </w:rPr>
              <w:t xml:space="preserve"> en de minimumbelastingtarieven de prijsontwikkeling weerspiegelen</w:t>
            </w:r>
            <w:r w:rsidRPr="004A2CF9">
              <w:t>, moet overeenkomstig artikel 290 van het VWEU aan de Commissie de bevoegdheid worden overgedragen handelingen vast te stellen om verwijzingen naar die GN-codes te actualiseren</w:t>
            </w:r>
            <w:r w:rsidRPr="004A2CF9">
              <w:rPr>
                <w:b/>
                <w:i/>
              </w:rPr>
              <w:t xml:space="preserve"> en de minimumbelastingniveaus bij te werken aan de hand van de jaarlijkse schommelingen van de consumentenprijsindex</w:t>
            </w:r>
            <w:r w:rsidRPr="004A2CF9">
              <w:t xml:space="preserve">. Het is van bijzonder belang dat de Commissie bij haar </w:t>
            </w:r>
            <w:r w:rsidRPr="004A2CF9">
              <w:lastRenderedPageBreak/>
              <w:t>voorbereidende werkzaamheden tot passende raadplegingen overgaat, onder meer op deskundigenniveau, en dat die raadplegingen gebeuren in overeenstemming met de beginselen die zijn vastgelegd in het Interinstitutioneel Akkoord van 13 april 2016 over beter wetgeven. Met name om te zorgen voor gelijke deelname aan de voorbereiding van gedelegeerde handelingen ontvangt de Raad alle documenten op hetzelfde tijdstip als de deskundigen van de lidstaten, en hebben hun deskundigen stelselmatig toegang tot de vergaderingen van de deskundigengroepen van de Commissie die zich bezighouden met de voorbereiding van de gedelegeerde handelingen.</w:t>
            </w:r>
          </w:p>
        </w:tc>
        <w:tc>
          <w:tcPr>
            <w:tcW w:w="4876" w:type="dxa"/>
          </w:tcPr>
          <w:p w:rsidR="00163620" w:rsidRPr="004A2CF9" w:rsidRDefault="00163620" w:rsidP="00163620">
            <w:pPr>
              <w:pStyle w:val="Normal6"/>
              <w:rPr>
                <w:szCs w:val="24"/>
              </w:rPr>
            </w:pPr>
            <w:r w:rsidRPr="004A2CF9">
              <w:lastRenderedPageBreak/>
              <w:t>(35)</w:t>
            </w:r>
            <w:r w:rsidRPr="004A2CF9">
              <w:tab/>
              <w:t xml:space="preserve">Er moet worden verwezen naar de momenteel toepasselijke versie van de gecombineerde nomenclatuur. Om te waarborgen dat de verwijzingen naar de gecombineerde nomenclatuur (GN) in deze richtlijn wanneer nodig worden geactualiseerd, moet overeenkomstig artikel 290 van het VWEU aan de Commissie de bevoegdheid worden overgedragen handelingen vast te stellen om verwijzingen naar die GN-codes te actualiseren. Het is van bijzonder belang dat de Commissie bij haar voorbereidende werkzaamheden tot passende raadplegingen overgaat, onder meer op deskundigenniveau, en dat die raadplegingen gebeuren in overeenstemming met de beginselen die zijn vastgelegd in het Interinstitutioneel </w:t>
            </w:r>
            <w:r w:rsidRPr="004A2CF9">
              <w:lastRenderedPageBreak/>
              <w:t>Akkoord van 13</w:t>
            </w:r>
            <w:r>
              <w:t> </w:t>
            </w:r>
            <w:r w:rsidRPr="004A2CF9">
              <w:t>april 2016 over beter wetgeven. Met name om te zorgen voor gelijke deelname aan de voorbereiding van gedelegeerde handelingen ontvangt de Raad alle documenten op hetzelfde tijdstip als de deskundigen van de lidstaten, en hebben hun deskundigen stelselmatig toegang tot de vergaderingen van de deskundigengroepen van de Commissie die zich bezighouden met de voorbereiding van de gedelegeerde handelingen.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196</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Niels Fuglsang,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35</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(35)</w:t>
            </w:r>
            <w:r w:rsidRPr="004A2CF9">
              <w:tab/>
              <w:t xml:space="preserve">Er moet worden verwezen naar de momenteel toepasselijke versie van de gecombineerde nomenclatuur. Om te waarborgen dat de verwijzingen naar de gecombineerde nomenclatuur (GN) in deze richtlijn wanneer nodig worden geactualiseerd en </w:t>
            </w:r>
            <w:r w:rsidRPr="004A2CF9">
              <w:rPr>
                <w:b/>
                <w:i/>
              </w:rPr>
              <w:t>de minimumbelastingtarieven</w:t>
            </w:r>
            <w:r w:rsidRPr="004A2CF9">
              <w:t xml:space="preserve"> de prijsontwikkeling</w:t>
            </w:r>
            <w:r w:rsidRPr="004A2CF9">
              <w:rPr>
                <w:b/>
                <w:i/>
              </w:rPr>
              <w:t xml:space="preserve"> weerspiegelen</w:t>
            </w:r>
            <w:r w:rsidRPr="004A2CF9">
              <w:t xml:space="preserve">, moet overeenkomstig artikel 290 van het VWEU aan de Commissie de bevoegdheid worden overgedragen handelingen vast te stellen om verwijzingen naar die GN-codes te actualiseren en de minimumbelastingniveaus </w:t>
            </w:r>
            <w:r w:rsidRPr="004A2CF9">
              <w:rPr>
                <w:b/>
                <w:i/>
              </w:rPr>
              <w:t>bij te werken aan</w:t>
            </w:r>
            <w:r w:rsidRPr="004A2CF9">
              <w:t xml:space="preserve"> de </w:t>
            </w:r>
            <w:r w:rsidRPr="004A2CF9">
              <w:rPr>
                <w:b/>
                <w:i/>
              </w:rPr>
              <w:t>hand van de jaarlijkse schommelingen van de consumentenprijsindex</w:t>
            </w:r>
            <w:r w:rsidRPr="004A2CF9">
              <w:t xml:space="preserve">. Het is van bijzonder belang dat de Commissie bij haar </w:t>
            </w:r>
            <w:r w:rsidRPr="004A2CF9">
              <w:lastRenderedPageBreak/>
              <w:t>voorbereidende werkzaamheden tot passende raadplegingen overgaat, onder meer op deskundigenniveau, en dat die raadplegingen gebeuren in overeenstemming met de beginselen die zijn vastgelegd in het Interinstitutioneel Akkoord van 13 april 2016 over beter wetgeven. Met name om te zorgen voor gelijke deelname aan de voorbereiding van gedelegeerde handelingen ontvangt de Raad alle documenten op hetzelfde tijdstip als de deskundigen van de lidstaten, en hebben hun deskundigen stelselmatig toegang tot de vergaderingen van de deskundigengroepen van de Commissie die zich bezighouden met de voorbereiding van de gedelegeerde handelingen.</w:t>
            </w:r>
          </w:p>
        </w:tc>
        <w:tc>
          <w:tcPr>
            <w:tcW w:w="4876" w:type="dxa"/>
          </w:tcPr>
          <w:p w:rsidR="00163620" w:rsidRPr="004A2CF9" w:rsidRDefault="00163620" w:rsidP="006527B0">
            <w:pPr>
              <w:pStyle w:val="Normal6"/>
              <w:rPr>
                <w:szCs w:val="24"/>
              </w:rPr>
            </w:pPr>
            <w:r w:rsidRPr="004A2CF9">
              <w:lastRenderedPageBreak/>
              <w:t>(35)</w:t>
            </w:r>
            <w:r w:rsidRPr="004A2CF9">
              <w:tab/>
              <w:t xml:space="preserve">Er moet worden verwezen naar de momenteel toepasselijke versie van de gecombineerde nomenclatuur. Om te waarborgen dat de verwijzingen naar de gecombineerde nomenclatuur (GN) in deze richtlijn wanneer nodig worden geactualiseerd en </w:t>
            </w:r>
            <w:r w:rsidRPr="004A2CF9">
              <w:rPr>
                <w:b/>
                <w:i/>
              </w:rPr>
              <w:t>rekening houdend met</w:t>
            </w:r>
            <w:r w:rsidRPr="004A2CF9">
              <w:t xml:space="preserve"> de prijsontwikkeling, moet overeenkomstig artikel 290 van het VWEU aan de Commissie de bevoegdheid worden overgedragen handelingen vast te stellen om verwijzingen naar die GN-codes te actualiseren en </w:t>
            </w:r>
            <w:r w:rsidRPr="004A2CF9">
              <w:rPr>
                <w:b/>
                <w:i/>
              </w:rPr>
              <w:t>regelmatig na te gaan of</w:t>
            </w:r>
            <w:r w:rsidRPr="004A2CF9">
              <w:t xml:space="preserve"> de minimumbelastingniveaus </w:t>
            </w:r>
            <w:r w:rsidRPr="004A2CF9">
              <w:rPr>
                <w:b/>
                <w:i/>
              </w:rPr>
              <w:t>nog relevant zijn, en indien nodig een actualisering voor te stellen</w:t>
            </w:r>
            <w:r w:rsidRPr="004A2CF9">
              <w:t xml:space="preserve">. Het is van bijzonder belang dat de Commissie bij haar voorbereidende werkzaamheden tot passende raadplegingen overgaat, onder meer op </w:t>
            </w:r>
            <w:r w:rsidRPr="004A2CF9">
              <w:lastRenderedPageBreak/>
              <w:t>deskundigenniveau, en dat die raadplegingen gebeuren in overeenstemming met de beginselen die zijn vastgelegd in het Int</w:t>
            </w:r>
            <w:r>
              <w:t>erinstitutioneel Akkoord van 13 </w:t>
            </w:r>
            <w:r w:rsidRPr="004A2CF9">
              <w:t>april 2016 over beter wetgeven. Met name om te zorgen voor gelijke deelname aan de voorbereiding van gedelegeerde handelingen ontvangt de Raad alle documenten op hetzelfde tijdstip als de deskundigen van de lidstaten, en hebben hun deskundigen stelselmatig toegang tot de vergaderingen van de deskundigengroepen van de Commissie die zich bezighouden met de voorbereiding van de gedelegeerde handelingen.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197</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Kira Marie Peter-Hansen</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36</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(36)</w:t>
            </w:r>
            <w:r w:rsidRPr="004A2CF9">
              <w:tab/>
              <w:t xml:space="preserve">Iedere vijf jaar en voor de eerste maal </w:t>
            </w:r>
            <w:r w:rsidRPr="004A2CF9">
              <w:rPr>
                <w:b/>
                <w:i/>
              </w:rPr>
              <w:t>vijf</w:t>
            </w:r>
            <w:r w:rsidRPr="004A2CF9">
              <w:t xml:space="preserve"> jaar na de inwerkingtreding van deze richtlijn moet de Commissie aan de Raad een verslag overleggen over de toepassing ervan, met een specifieke beoordeling van de minimumbelastingniveaus, het effect van innovatie en de technologische ontwikkelingen, met name ten aanzien van energie-efficiëntie, het gebruik van elektriciteit in het vervoer en de rechtvaardiging voor de vrijstellingen, verlagingen en differentiaties die in deze richtlijn zijn neergelegd. In het verslag moet rekening worden gehouden met de goede werking van de interne markt, sociale en milieuoverwegingen, de reële waarde van de minimumniveaus van belasting en de bredere doelstellingen van </w:t>
            </w:r>
            <w:r w:rsidRPr="004A2CF9">
              <w:lastRenderedPageBreak/>
              <w:t>de Verdragen.</w:t>
            </w:r>
          </w:p>
        </w:tc>
        <w:tc>
          <w:tcPr>
            <w:tcW w:w="4876" w:type="dxa"/>
          </w:tcPr>
          <w:p w:rsidR="00163620" w:rsidRPr="004A2CF9" w:rsidRDefault="00163620" w:rsidP="006527B0">
            <w:pPr>
              <w:pStyle w:val="Normal6"/>
              <w:rPr>
                <w:szCs w:val="24"/>
              </w:rPr>
            </w:pPr>
            <w:r w:rsidRPr="004A2CF9">
              <w:lastRenderedPageBreak/>
              <w:t>(36)</w:t>
            </w:r>
            <w:r w:rsidRPr="004A2CF9">
              <w:tab/>
              <w:t xml:space="preserve">Iedere vijf jaar en voor de eerste maal </w:t>
            </w:r>
            <w:r w:rsidRPr="004A2CF9">
              <w:rPr>
                <w:b/>
                <w:i/>
              </w:rPr>
              <w:t>drie</w:t>
            </w:r>
            <w:r w:rsidRPr="004A2CF9">
              <w:t xml:space="preserve"> jaar na de inwerkingtreding van deze richtlijn moet de Commissie aan de Raad </w:t>
            </w:r>
            <w:r w:rsidRPr="004A2CF9">
              <w:rPr>
                <w:b/>
                <w:i/>
              </w:rPr>
              <w:t xml:space="preserve">en het Europees Parlement </w:t>
            </w:r>
            <w:r w:rsidRPr="004A2CF9">
              <w:t xml:space="preserve">een verslag overleggen over de toepassing ervan, met een specifieke beoordeling van </w:t>
            </w:r>
            <w:r w:rsidRPr="004A2CF9">
              <w:rPr>
                <w:b/>
                <w:i/>
              </w:rPr>
              <w:t>de vraag of</w:t>
            </w:r>
            <w:r w:rsidRPr="004A2CF9">
              <w:t xml:space="preserve"> de minimumbelastingniveaus</w:t>
            </w:r>
            <w:r w:rsidRPr="004A2CF9">
              <w:rPr>
                <w:b/>
                <w:i/>
              </w:rPr>
              <w:t xml:space="preserve"> moeten worden verhoogd of uitgebreid om het koolstofgehalte en de luchtverontreinigingscomponent van energieproducten verder weer te geven, rekening houdend met het effect van het emissiehandelssysteem op de koolstofbeprijzing, de vraag of de herziene energiebelastingrichtlijn voldoende bijdraagt tot een zinvolle koolstofbeprijzing die gedragsverandering teweegbrengt, het effect ervan op de vermindering van broeikasgassen, </w:t>
            </w:r>
            <w:r w:rsidRPr="004A2CF9">
              <w:rPr>
                <w:b/>
                <w:i/>
              </w:rPr>
              <w:lastRenderedPageBreak/>
              <w:t>rekening houdend met het advies van de Europese wetenschappelijke adviesraad voor klimaatverandering</w:t>
            </w:r>
            <w:r w:rsidRPr="004A2CF9">
              <w:t>, het effect van innovatie en de technologische ontwikkelingen, met name ten aanzien van energie-efficiëntie, het gebruik van elektriciteit in het vervoer en de rechtvaardiging voor de vrijstellingen, verlagingen en differentiaties die in deze richtlijn zijn neergelegd. In het verslag moet rekening worden gehouden met de goede werking van de interne markt, sociale</w:t>
            </w:r>
            <w:r w:rsidRPr="004A2CF9">
              <w:rPr>
                <w:b/>
                <w:i/>
              </w:rPr>
              <w:t>, biodiversiteits-</w:t>
            </w:r>
            <w:r w:rsidRPr="004A2CF9">
              <w:t xml:space="preserve"> en milieuoverwegingen, de reële waarde van de minimumniveaus van belasting en de bredere doelstellingen van de Verdragen.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198</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Matthias Ecke, Evelyn Regner, René Repasi, Thomas Bajada, Claire Fita</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36</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(36)</w:t>
            </w:r>
            <w:r w:rsidRPr="004A2CF9">
              <w:tab/>
              <w:t xml:space="preserve">Iedere vijf jaar en voor de eerste maal vijf jaar na de inwerkingtreding van deze richtlijn moet de Commissie aan de Raad een verslag overleggen over de toepassing ervan, met een specifieke beoordeling van de minimumbelastingniveaus, het effect van innovatie en de technologische ontwikkelingen, met name ten aanzien van energie-efficiëntie, het gebruik van elektriciteit in het vervoer en de rechtvaardiging voor de vrijstellingen, verlagingen en differentiaties die in deze richtlijn zijn neergelegd. In het verslag moet rekening worden gehouden met de goede werking van de interne markt, sociale en milieuoverwegingen, de reële waarde van de minimumniveaus van belasting en de bredere doelstellingen van </w:t>
            </w:r>
            <w:r w:rsidRPr="004A2CF9">
              <w:lastRenderedPageBreak/>
              <w:t>de Verdragen.</w:t>
            </w:r>
          </w:p>
        </w:tc>
        <w:tc>
          <w:tcPr>
            <w:tcW w:w="4876" w:type="dxa"/>
          </w:tcPr>
          <w:p w:rsidR="00163620" w:rsidRPr="004A2CF9" w:rsidRDefault="00163620" w:rsidP="006527B0">
            <w:pPr>
              <w:pStyle w:val="Normal6"/>
              <w:rPr>
                <w:szCs w:val="24"/>
              </w:rPr>
            </w:pPr>
            <w:r w:rsidRPr="004A2CF9">
              <w:lastRenderedPageBreak/>
              <w:t>(36)</w:t>
            </w:r>
            <w:r w:rsidRPr="004A2CF9">
              <w:tab/>
              <w:t>Iedere vijf jaar en voor de eerste maal vijf jaar na de inwerkingtreding van deze richtlijn moet de Commissie aan de Raad een verslag overleggen over de toepassing ervan, met een specifieke beoordeling van de minimumbelastingniveaus, het effect van innovatie en de technologische ontwikkelingen, met name ten aanzien van energie-efficiëntie, het gebruik van elektriciteit in het vervoer en de rechtvaardiging voor de vrijstellingen, verlagingen en differentiaties die in deze richtlijn zijn neergelegd. In het verslag moet rekening worden gehouden met de goede werking van de interne markt, sociale en milieuoverwegingen, de reële waarde van de minimumniveaus van belasting</w:t>
            </w:r>
            <w:r w:rsidRPr="004A2CF9">
              <w:rPr>
                <w:b/>
                <w:i/>
              </w:rPr>
              <w:t>, de effecten van deze richtlijn op de luchtvaartconnectiviteit</w:t>
            </w:r>
            <w:r w:rsidRPr="004A2CF9">
              <w:t xml:space="preserve"> en</w:t>
            </w:r>
            <w:r w:rsidRPr="004A2CF9">
              <w:rPr>
                <w:b/>
                <w:i/>
              </w:rPr>
              <w:t xml:space="preserve"> de </w:t>
            </w:r>
            <w:r w:rsidRPr="004A2CF9">
              <w:rPr>
                <w:b/>
                <w:i/>
              </w:rPr>
              <w:lastRenderedPageBreak/>
              <w:t>economische en sociale welvaart van perifere, afgelegen en eilandgebieden, alsmede</w:t>
            </w:r>
            <w:r w:rsidRPr="004A2CF9">
              <w:t xml:space="preserve"> de bredere doelstellingen van de Verdragen.</w:t>
            </w:r>
          </w:p>
        </w:tc>
      </w:tr>
    </w:tbl>
    <w:p w:rsidR="00163620" w:rsidRPr="004A2CF9" w:rsidRDefault="00163620" w:rsidP="00163620">
      <w:pPr>
        <w:pStyle w:val="Olang"/>
      </w:pPr>
      <w:r w:rsidRPr="004A2CF9">
        <w:rPr>
          <w:noProof w:val="0"/>
        </w:rPr>
        <w:lastRenderedPageBreak/>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Pr="004A2CF9" w:rsidRDefault="00163620" w:rsidP="00163620">
      <w:r w:rsidRPr="004A2CF9">
        <w:rPr>
          <w:rStyle w:val="HideTWBExt"/>
        </w:rPr>
        <w:t>&lt;/Amend&gt;</w:t>
      </w:r>
    </w:p>
    <w:p w:rsidR="00163620" w:rsidRPr="004A2CF9" w:rsidRDefault="00163620" w:rsidP="00163620">
      <w:pPr>
        <w:pStyle w:val="AMNumberTabs0"/>
        <w:keepNext/>
      </w:pPr>
      <w:r w:rsidRPr="004A2CF9">
        <w:rPr>
          <w:rStyle w:val="HideTWBExt"/>
          <w:b w:val="0"/>
        </w:rPr>
        <w:t>&lt;Amend&gt;</w:t>
      </w:r>
      <w:r w:rsidRPr="004A2CF9">
        <w:t>Amendement</w:t>
      </w:r>
      <w:r w:rsidRPr="004A2CF9">
        <w:tab/>
      </w:r>
      <w:r w:rsidRPr="004A2CF9">
        <w:tab/>
      </w:r>
      <w:r w:rsidRPr="004A2CF9">
        <w:rPr>
          <w:rStyle w:val="HideTWBExt"/>
          <w:b w:val="0"/>
        </w:rPr>
        <w:t>&lt;NumAm&gt;</w:t>
      </w:r>
      <w:r w:rsidRPr="004A2CF9">
        <w:t>199</w:t>
      </w:r>
      <w:r w:rsidRPr="004A2CF9">
        <w:rPr>
          <w:rStyle w:val="HideTWBExt"/>
          <w:b w:val="0"/>
        </w:rPr>
        <w:t>&lt;/NumAm&gt;</w:t>
      </w:r>
    </w:p>
    <w:p w:rsidR="00163620" w:rsidRPr="004A2CF9" w:rsidRDefault="00163620" w:rsidP="00163620">
      <w:pPr>
        <w:pStyle w:val="NormalBold"/>
      </w:pPr>
      <w:r w:rsidRPr="004A2CF9">
        <w:rPr>
          <w:rStyle w:val="HideTWBExt"/>
          <w:b w:val="0"/>
        </w:rPr>
        <w:t>&lt;RepeatBlock-By&gt;&lt;Members&gt;</w:t>
      </w:r>
      <w:r w:rsidRPr="004A2CF9">
        <w:t>Pasquale Tridico, Dario Tamburrano</w:t>
      </w:r>
      <w:r w:rsidRPr="004A2CF9">
        <w:rPr>
          <w:rStyle w:val="HideTWBExt"/>
          <w:b w:val="0"/>
        </w:rPr>
        <w:t>&lt;/Members&gt;</w:t>
      </w:r>
    </w:p>
    <w:p w:rsidR="00163620" w:rsidRPr="004A2CF9" w:rsidRDefault="00163620" w:rsidP="00163620">
      <w:r w:rsidRPr="004A2CF9">
        <w:rPr>
          <w:rStyle w:val="HideTWBExt"/>
        </w:rPr>
        <w:t>&lt;/RepeatBlock-By&gt;</w:t>
      </w:r>
    </w:p>
    <w:p w:rsidR="00163620" w:rsidRPr="004A2CF9" w:rsidRDefault="00163620" w:rsidP="00163620">
      <w:pPr>
        <w:pStyle w:val="NormalBold"/>
        <w:keepNext/>
      </w:pPr>
      <w:r w:rsidRPr="004A2CF9">
        <w:rPr>
          <w:rStyle w:val="HideTWBExt"/>
          <w:b w:val="0"/>
        </w:rPr>
        <w:t>&lt;DocAmend&gt;</w:t>
      </w:r>
      <w:r w:rsidRPr="004A2CF9">
        <w:t>Voorstel voor een richtlijn</w:t>
      </w:r>
      <w:r w:rsidRPr="004A2CF9">
        <w:rPr>
          <w:rStyle w:val="HideTWBExt"/>
          <w:b w:val="0"/>
        </w:rPr>
        <w:t>&lt;/DocAmend&gt;</w:t>
      </w:r>
    </w:p>
    <w:p w:rsidR="00163620" w:rsidRPr="004A2CF9" w:rsidRDefault="00163620" w:rsidP="00163620">
      <w:pPr>
        <w:pStyle w:val="NormalBold"/>
      </w:pPr>
      <w:r w:rsidRPr="004A2CF9">
        <w:rPr>
          <w:rStyle w:val="HideTWBExt"/>
          <w:b w:val="0"/>
        </w:rPr>
        <w:t>&lt;Article&gt;</w:t>
      </w:r>
      <w:r w:rsidRPr="004A2CF9">
        <w:t>Overweging 36</w:t>
      </w:r>
      <w:r w:rsidRPr="004A2C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620" w:rsidRPr="004A2CF9" w:rsidTr="006527B0">
        <w:trPr>
          <w:jc w:val="center"/>
        </w:trPr>
        <w:tc>
          <w:tcPr>
            <w:tcW w:w="9752" w:type="dxa"/>
            <w:gridSpan w:val="2"/>
          </w:tcPr>
          <w:p w:rsidR="00163620" w:rsidRPr="004A2CF9" w:rsidRDefault="00163620" w:rsidP="006527B0">
            <w:pPr>
              <w:keepNext/>
            </w:pPr>
          </w:p>
        </w:tc>
      </w:tr>
      <w:tr w:rsidR="00163620" w:rsidRPr="004A2CF9" w:rsidTr="006527B0">
        <w:trPr>
          <w:jc w:val="center"/>
        </w:trPr>
        <w:tc>
          <w:tcPr>
            <w:tcW w:w="4876" w:type="dxa"/>
          </w:tcPr>
          <w:p w:rsidR="00163620" w:rsidRPr="004A2CF9" w:rsidRDefault="00163620" w:rsidP="006527B0">
            <w:pPr>
              <w:pStyle w:val="ColumnHeading"/>
              <w:keepNext/>
            </w:pPr>
            <w:r w:rsidRPr="004A2CF9">
              <w:t>Door de Commissie voorgestelde tekst</w:t>
            </w:r>
          </w:p>
        </w:tc>
        <w:tc>
          <w:tcPr>
            <w:tcW w:w="4876" w:type="dxa"/>
          </w:tcPr>
          <w:p w:rsidR="00163620" w:rsidRPr="004A2CF9" w:rsidRDefault="00163620" w:rsidP="006527B0">
            <w:pPr>
              <w:pStyle w:val="ColumnHeading"/>
              <w:keepNext/>
            </w:pPr>
            <w:r w:rsidRPr="004A2CF9">
              <w:t>Amendement</w:t>
            </w:r>
          </w:p>
        </w:tc>
      </w:tr>
      <w:tr w:rsidR="00163620" w:rsidRPr="004A2CF9" w:rsidTr="006527B0">
        <w:trPr>
          <w:jc w:val="center"/>
        </w:trPr>
        <w:tc>
          <w:tcPr>
            <w:tcW w:w="4876" w:type="dxa"/>
          </w:tcPr>
          <w:p w:rsidR="00163620" w:rsidRPr="004A2CF9" w:rsidRDefault="00163620" w:rsidP="006527B0">
            <w:pPr>
              <w:pStyle w:val="Normal6"/>
            </w:pPr>
            <w:r w:rsidRPr="004A2CF9">
              <w:t>(36)</w:t>
            </w:r>
            <w:r w:rsidRPr="004A2CF9">
              <w:tab/>
            </w:r>
            <w:r w:rsidRPr="004A2CF9">
              <w:rPr>
                <w:b/>
                <w:i/>
              </w:rPr>
              <w:t>Iedere vijf</w:t>
            </w:r>
            <w:r w:rsidRPr="004A2CF9">
              <w:t xml:space="preserve"> jaar en voor de eerste maal </w:t>
            </w:r>
            <w:r w:rsidRPr="004A2CF9">
              <w:rPr>
                <w:b/>
                <w:i/>
              </w:rPr>
              <w:t>vijf</w:t>
            </w:r>
            <w:r w:rsidRPr="004A2CF9">
              <w:t xml:space="preserve"> jaar na de inwerkingtreding van deze richtlijn moet de Commissie aan de Raad een verslag overleggen over de toepassing ervan, met een specifieke beoordeling van de minimumbelastingniveaus, het effect van innovatie en de technologische ontwikkelingen, met name ten aanzien van energie-efficiëntie, het gebruik van elektriciteit in het vervoer en de rechtvaardiging voor de vrijstellingen, verlagingen en differentiaties die in deze richtlijn zijn neergelegd. In het verslag moet rekening worden gehouden met de goede werking van de interne markt, sociale en milieuoverwegingen, de reële waarde van de minimumniveaus van belasting en de bredere doelstellingen van de Verdragen.</w:t>
            </w:r>
          </w:p>
        </w:tc>
        <w:tc>
          <w:tcPr>
            <w:tcW w:w="4876" w:type="dxa"/>
          </w:tcPr>
          <w:p w:rsidR="00163620" w:rsidRPr="004A2CF9" w:rsidRDefault="00163620" w:rsidP="006527B0">
            <w:pPr>
              <w:pStyle w:val="Normal6"/>
              <w:rPr>
                <w:szCs w:val="24"/>
              </w:rPr>
            </w:pPr>
            <w:r w:rsidRPr="004A2CF9">
              <w:t>(36)</w:t>
            </w:r>
            <w:r w:rsidRPr="004A2CF9">
              <w:tab/>
            </w:r>
            <w:r w:rsidRPr="004A2CF9">
              <w:rPr>
                <w:b/>
                <w:i/>
              </w:rPr>
              <w:t>Ieder</w:t>
            </w:r>
            <w:r w:rsidRPr="004A2CF9">
              <w:t xml:space="preserve"> jaar en voor de eerste maal </w:t>
            </w:r>
            <w:r w:rsidRPr="004A2CF9">
              <w:rPr>
                <w:b/>
                <w:i/>
              </w:rPr>
              <w:t>een</w:t>
            </w:r>
            <w:r w:rsidRPr="004A2CF9">
              <w:t xml:space="preserve"> jaar na de inwerkingtreding van deze richtlijn moet de Commissie aan de Raad een verslag overleggen over de toepassing ervan, met een specifieke beoordeling van de minimumbelastingniveaus, het effect van innovatie en de technologische ontwikkelingen, met name ten aanzien van energie-efficiëntie, het gebruik van elektriciteit in het vervoer en de rechtvaardiging voor de vrijstellingen, verlagingen en differentiaties die in deze richtlijn zijn neergelegd. In het verslag moet rekening worden gehouden met de goede werking van de interne markt, sociale en milieuoverwegingen, de reële waarde van de minimumniveaus van belasting en de bredere doelstellingen van de Verdragen.</w:t>
            </w:r>
          </w:p>
        </w:tc>
      </w:tr>
    </w:tbl>
    <w:p w:rsidR="00163620" w:rsidRPr="004A2CF9" w:rsidRDefault="00163620" w:rsidP="00163620">
      <w:pPr>
        <w:pStyle w:val="Olang"/>
      </w:pPr>
      <w:r w:rsidRPr="004A2CF9">
        <w:rPr>
          <w:noProof w:val="0"/>
        </w:rPr>
        <w:t xml:space="preserve">Or. </w:t>
      </w:r>
      <w:r w:rsidRPr="004A2CF9">
        <w:rPr>
          <w:rStyle w:val="HideTWBExt"/>
          <w:noProof w:val="0"/>
        </w:rPr>
        <w:t>&lt;Original&gt;</w:t>
      </w:r>
      <w:r w:rsidRPr="004A2CF9">
        <w:rPr>
          <w:rStyle w:val="HideTWBInt"/>
          <w:rFonts w:eastAsiaTheme="majorEastAsia"/>
          <w:noProof w:val="0"/>
        </w:rPr>
        <w:t>{EN}</w:t>
      </w:r>
      <w:r w:rsidRPr="004A2CF9">
        <w:rPr>
          <w:noProof w:val="0"/>
        </w:rPr>
        <w:t>en</w:t>
      </w:r>
      <w:r w:rsidRPr="004A2CF9">
        <w:rPr>
          <w:rStyle w:val="HideTWBExt"/>
          <w:noProof w:val="0"/>
        </w:rPr>
        <w:t>&lt;/Original&gt;</w:t>
      </w:r>
    </w:p>
    <w:p w:rsidR="00163620" w:rsidRDefault="00163620" w:rsidP="00163620">
      <w:r w:rsidRPr="004A2CF9">
        <w:rPr>
          <w:rStyle w:val="HideTWBExt"/>
        </w:rPr>
        <w:t>&lt;/Amend&gt;</w:t>
      </w:r>
      <w:r w:rsidRPr="00163620">
        <w:rPr>
          <w:rStyle w:val="HideTWBExt"/>
        </w:rPr>
        <w:t>&lt;/RepeatBlock-Amend&gt;</w:t>
      </w:r>
    </w:p>
    <w:p w:rsidR="000D724F" w:rsidRPr="00163620" w:rsidRDefault="000D724F" w:rsidP="00163620"/>
    <w:sectPr w:rsidR="000D724F" w:rsidRPr="00163620" w:rsidSect="0016362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845" w:rsidRDefault="00163620">
      <w:r>
        <w:separator/>
      </w:r>
    </w:p>
  </w:endnote>
  <w:endnote w:type="continuationSeparator" w:id="0">
    <w:p w:rsidR="00700845" w:rsidRDefault="00163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0" w:rsidRDefault="00163620" w:rsidP="00163620">
    <w:pPr>
      <w:pStyle w:val="EPFooter"/>
    </w:pPr>
    <w:r>
      <w:t>PE</w:t>
    </w:r>
    <w:r w:rsidRPr="00163620">
      <w:rPr>
        <w:rStyle w:val="HideTWBExt"/>
      </w:rPr>
      <w:t>&lt;NoPE&gt;</w:t>
    </w:r>
    <w:r>
      <w:t>774.493</w:t>
    </w:r>
    <w:r w:rsidRPr="00163620">
      <w:rPr>
        <w:rStyle w:val="HideTWBExt"/>
      </w:rPr>
      <w:t>&lt;/NoPE&gt;&lt;Version&gt;</w:t>
    </w:r>
    <w:r>
      <w:t>v01-00</w:t>
    </w:r>
    <w:r w:rsidRPr="00163620">
      <w:rPr>
        <w:rStyle w:val="HideTWBExt"/>
      </w:rPr>
      <w:t>&lt;/Version&gt;</w:t>
    </w:r>
    <w:r>
      <w:tab/>
    </w:r>
    <w:r>
      <w:fldChar w:fldCharType="begin"/>
    </w:r>
    <w:r>
      <w:instrText xml:space="preserve"> PAGE  \* MERGEFORMAT </w:instrText>
    </w:r>
    <w:r>
      <w:fldChar w:fldCharType="separate"/>
    </w:r>
    <w:r w:rsidR="00460F53">
      <w:rPr>
        <w:noProof/>
      </w:rPr>
      <w:t>54</w:t>
    </w:r>
    <w:r>
      <w:fldChar w:fldCharType="end"/>
    </w:r>
    <w:r>
      <w:t>/</w:t>
    </w:r>
    <w:r w:rsidR="00460F53">
      <w:fldChar w:fldCharType="begin"/>
    </w:r>
    <w:r w:rsidR="00460F53">
      <w:instrText xml:space="preserve"> NUMPAGES  \* MERGEFORMAT </w:instrText>
    </w:r>
    <w:r w:rsidR="00460F53">
      <w:fldChar w:fldCharType="separate"/>
    </w:r>
    <w:r w:rsidR="00460F53">
      <w:rPr>
        <w:noProof/>
      </w:rPr>
      <w:t>65</w:t>
    </w:r>
    <w:r w:rsidR="00460F53">
      <w:rPr>
        <w:noProof/>
      </w:rPr>
      <w:fldChar w:fldCharType="end"/>
    </w:r>
    <w:r>
      <w:tab/>
    </w:r>
    <w:r w:rsidRPr="00163620">
      <w:rPr>
        <w:rStyle w:val="HideTWBExt"/>
      </w:rPr>
      <w:t>&lt;PathFdR&gt;</w:t>
    </w:r>
    <w:r>
      <w:t>AM\1323156NL.docx</w:t>
    </w:r>
    <w:r w:rsidRPr="00163620">
      <w:rPr>
        <w:rStyle w:val="HideTWBExt"/>
      </w:rPr>
      <w:t>&lt;/PathFdR&gt;</w:t>
    </w:r>
  </w:p>
  <w:p w:rsidR="00432CD7" w:rsidRPr="00953347" w:rsidRDefault="00163620" w:rsidP="00163620">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0" w:rsidRDefault="00163620" w:rsidP="00163620">
    <w:pPr>
      <w:pStyle w:val="EPFooter"/>
    </w:pPr>
    <w:r w:rsidRPr="00163620">
      <w:rPr>
        <w:rStyle w:val="HideTWBExt"/>
      </w:rPr>
      <w:t>&lt;PathFdR&gt;</w:t>
    </w:r>
    <w:r>
      <w:t>AM\1323156NL.docx</w:t>
    </w:r>
    <w:r w:rsidRPr="00163620">
      <w:rPr>
        <w:rStyle w:val="HideTWBExt"/>
      </w:rPr>
      <w:t>&lt;/PathFdR&gt;</w:t>
    </w:r>
    <w:r>
      <w:tab/>
    </w:r>
    <w:r>
      <w:fldChar w:fldCharType="begin"/>
    </w:r>
    <w:r>
      <w:instrText xml:space="preserve"> PAGE  \* MERGEFORMAT </w:instrText>
    </w:r>
    <w:r>
      <w:fldChar w:fldCharType="separate"/>
    </w:r>
    <w:r w:rsidR="00460F53">
      <w:rPr>
        <w:noProof/>
      </w:rPr>
      <w:t>53</w:t>
    </w:r>
    <w:r>
      <w:fldChar w:fldCharType="end"/>
    </w:r>
    <w:r>
      <w:t>/</w:t>
    </w:r>
    <w:r w:rsidR="00460F53">
      <w:fldChar w:fldCharType="begin"/>
    </w:r>
    <w:r w:rsidR="00460F53">
      <w:instrText xml:space="preserve"> NUMPAGES  \* MERGEFORMAT </w:instrText>
    </w:r>
    <w:r w:rsidR="00460F53">
      <w:fldChar w:fldCharType="separate"/>
    </w:r>
    <w:r w:rsidR="00460F53">
      <w:rPr>
        <w:noProof/>
      </w:rPr>
      <w:t>65</w:t>
    </w:r>
    <w:r w:rsidR="00460F53">
      <w:rPr>
        <w:noProof/>
      </w:rPr>
      <w:fldChar w:fldCharType="end"/>
    </w:r>
    <w:r>
      <w:tab/>
      <w:t>PE</w:t>
    </w:r>
    <w:r w:rsidRPr="00163620">
      <w:rPr>
        <w:rStyle w:val="HideTWBExt"/>
      </w:rPr>
      <w:t>&lt;NoPE&gt;</w:t>
    </w:r>
    <w:r>
      <w:t>774.493</w:t>
    </w:r>
    <w:r w:rsidRPr="00163620">
      <w:rPr>
        <w:rStyle w:val="HideTWBExt"/>
      </w:rPr>
      <w:t>&lt;/NoPE&gt;&lt;Version&gt;</w:t>
    </w:r>
    <w:r>
      <w:t>v01-00</w:t>
    </w:r>
    <w:r w:rsidRPr="00163620">
      <w:rPr>
        <w:rStyle w:val="HideTWBExt"/>
      </w:rPr>
      <w:t>&lt;/Version&gt;</w:t>
    </w:r>
  </w:p>
  <w:p w:rsidR="00432CD7" w:rsidRPr="00953347" w:rsidRDefault="00163620" w:rsidP="00163620">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0" w:rsidRDefault="00163620" w:rsidP="00163620">
    <w:pPr>
      <w:pStyle w:val="EPFooter"/>
    </w:pPr>
    <w:r w:rsidRPr="00163620">
      <w:rPr>
        <w:rStyle w:val="HideTWBExt"/>
      </w:rPr>
      <w:t>&lt;PathFdR&gt;</w:t>
    </w:r>
    <w:r>
      <w:t>AM\1323156NL.docx</w:t>
    </w:r>
    <w:r w:rsidRPr="00163620">
      <w:rPr>
        <w:rStyle w:val="HideTWBExt"/>
      </w:rPr>
      <w:t>&lt;/PathFdR&gt;</w:t>
    </w:r>
    <w:r>
      <w:tab/>
    </w:r>
    <w:r>
      <w:tab/>
      <w:t>PE</w:t>
    </w:r>
    <w:r w:rsidRPr="00163620">
      <w:rPr>
        <w:rStyle w:val="HideTWBExt"/>
      </w:rPr>
      <w:t>&lt;NoPE&gt;</w:t>
    </w:r>
    <w:r>
      <w:t>774.493</w:t>
    </w:r>
    <w:r w:rsidRPr="00163620">
      <w:rPr>
        <w:rStyle w:val="HideTWBExt"/>
      </w:rPr>
      <w:t>&lt;/NoPE&gt;&lt;Version&gt;</w:t>
    </w:r>
    <w:r>
      <w:t>v01-00</w:t>
    </w:r>
    <w:r w:rsidRPr="00163620">
      <w:rPr>
        <w:rStyle w:val="HideTWBExt"/>
      </w:rPr>
      <w:t>&lt;/Version&gt;</w:t>
    </w:r>
  </w:p>
  <w:p w:rsidR="00432CD7" w:rsidRPr="00953347" w:rsidRDefault="00163620" w:rsidP="00163620">
    <w:pPr>
      <w:pStyle w:val="EPFooter2"/>
    </w:pPr>
    <w:r>
      <w:t>NL</w:t>
    </w:r>
    <w:r>
      <w:tab/>
    </w:r>
    <w:r w:rsidRPr="00163620">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845" w:rsidRDefault="00163620">
      <w:r>
        <w:separator/>
      </w:r>
    </w:p>
  </w:footnote>
  <w:footnote w:type="continuationSeparator" w:id="0">
    <w:p w:rsidR="00700845" w:rsidRDefault="00163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0" w:rsidRDefault="00163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0" w:rsidRDefault="001636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0" w:rsidRDefault="001636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2"/>
    <w:docVar w:name="COMKEY" w:val="ECON"/>
    <w:docVar w:name="CopyToNetwork" w:val="-1"/>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VTAMPART" w:val="article"/>
    <w:docVar w:name="TVTMEMBERS1" w:val="Mika Aaltola"/>
    <w:docVar w:name="TXTAUTHOR" w:val="Restructuring the Union framework for the taxation of energy products and electricity (recast)"/>
    <w:docVar w:name="TXTLANGUE" w:val="NL"/>
    <w:docVar w:name="TXTLANGUEMIN" w:val="nl"/>
    <w:docVar w:name="TXTNRC" w:val="0362/2021"/>
    <w:docVar w:name="TXTNRCOM" w:val="(2021)0563"/>
    <w:docVar w:name="TXTNRFIRSTAM" w:val="102"/>
    <w:docVar w:name="TXTNRLASTAM" w:val="199"/>
    <w:docVar w:name="TXTNRPE" w:val="774.493"/>
    <w:docVar w:name="TXTNRPE2" w:val="770.060"/>
    <w:docVar w:name="TXTNRPROC" w:val="2021/0213"/>
    <w:docVar w:name="TXTPEorAP" w:val="PE"/>
    <w:docVar w:name="TXTROUTE" w:val="AM\1323156NL.docx"/>
    <w:docVar w:name="TXTTITLE" w:val="Restructuring the Union framework for the taxation of energy products and electricity (recast)"/>
    <w:docVar w:name="TXTVERSION" w:val="01-00"/>
    <w:docVar w:name="TXTVERSION2" w:val="01-00"/>
  </w:docVars>
  <w:rsids>
    <w:rsidRoot w:val="00130010"/>
    <w:rsid w:val="000111BD"/>
    <w:rsid w:val="00073830"/>
    <w:rsid w:val="00075DBE"/>
    <w:rsid w:val="000B0781"/>
    <w:rsid w:val="000D446F"/>
    <w:rsid w:val="000D724F"/>
    <w:rsid w:val="000E7234"/>
    <w:rsid w:val="000F2A80"/>
    <w:rsid w:val="000F7815"/>
    <w:rsid w:val="00126BC4"/>
    <w:rsid w:val="00130010"/>
    <w:rsid w:val="00150057"/>
    <w:rsid w:val="00163620"/>
    <w:rsid w:val="00166CCB"/>
    <w:rsid w:val="001809DD"/>
    <w:rsid w:val="001A4802"/>
    <w:rsid w:val="001B761C"/>
    <w:rsid w:val="001C2054"/>
    <w:rsid w:val="001C502E"/>
    <w:rsid w:val="001D13C9"/>
    <w:rsid w:val="001D5CC4"/>
    <w:rsid w:val="001D7A49"/>
    <w:rsid w:val="001F0FDD"/>
    <w:rsid w:val="0020367C"/>
    <w:rsid w:val="002074AE"/>
    <w:rsid w:val="00222325"/>
    <w:rsid w:val="00231EA7"/>
    <w:rsid w:val="00236619"/>
    <w:rsid w:val="00236DA8"/>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B7FEF"/>
    <w:rsid w:val="003C6E39"/>
    <w:rsid w:val="003D466C"/>
    <w:rsid w:val="003D70F2"/>
    <w:rsid w:val="003E08BF"/>
    <w:rsid w:val="003E43AC"/>
    <w:rsid w:val="003F21EB"/>
    <w:rsid w:val="003F3B0C"/>
    <w:rsid w:val="00422BB2"/>
    <w:rsid w:val="00432CD7"/>
    <w:rsid w:val="004367B3"/>
    <w:rsid w:val="00441413"/>
    <w:rsid w:val="00441D7D"/>
    <w:rsid w:val="00460F53"/>
    <w:rsid w:val="00461E32"/>
    <w:rsid w:val="00464338"/>
    <w:rsid w:val="00495E20"/>
    <w:rsid w:val="004B67CB"/>
    <w:rsid w:val="004E0AAC"/>
    <w:rsid w:val="004E1C4C"/>
    <w:rsid w:val="004F03F0"/>
    <w:rsid w:val="004F2903"/>
    <w:rsid w:val="005246D8"/>
    <w:rsid w:val="00547F73"/>
    <w:rsid w:val="00557617"/>
    <w:rsid w:val="00571479"/>
    <w:rsid w:val="005769E0"/>
    <w:rsid w:val="005868C9"/>
    <w:rsid w:val="005A7205"/>
    <w:rsid w:val="005A7EB4"/>
    <w:rsid w:val="005B32E3"/>
    <w:rsid w:val="005E50C2"/>
    <w:rsid w:val="005F6C06"/>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0845"/>
    <w:rsid w:val="00702F62"/>
    <w:rsid w:val="007030E5"/>
    <w:rsid w:val="007059E9"/>
    <w:rsid w:val="00706049"/>
    <w:rsid w:val="007152AF"/>
    <w:rsid w:val="00736FBA"/>
    <w:rsid w:val="0074160E"/>
    <w:rsid w:val="007659AC"/>
    <w:rsid w:val="0079060C"/>
    <w:rsid w:val="007A42AB"/>
    <w:rsid w:val="007C42B2"/>
    <w:rsid w:val="007C71DE"/>
    <w:rsid w:val="00810FA1"/>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53347"/>
    <w:rsid w:val="00966038"/>
    <w:rsid w:val="009A65D8"/>
    <w:rsid w:val="009B0305"/>
    <w:rsid w:val="009B3818"/>
    <w:rsid w:val="009F230F"/>
    <w:rsid w:val="00A15973"/>
    <w:rsid w:val="00A233E9"/>
    <w:rsid w:val="00A46736"/>
    <w:rsid w:val="00A507FC"/>
    <w:rsid w:val="00A5426B"/>
    <w:rsid w:val="00A845EF"/>
    <w:rsid w:val="00A84E16"/>
    <w:rsid w:val="00A93389"/>
    <w:rsid w:val="00A93F8C"/>
    <w:rsid w:val="00AA0426"/>
    <w:rsid w:val="00AB74D6"/>
    <w:rsid w:val="00AC7149"/>
    <w:rsid w:val="00AD4366"/>
    <w:rsid w:val="00AD730A"/>
    <w:rsid w:val="00AE1D92"/>
    <w:rsid w:val="00AE4459"/>
    <w:rsid w:val="00AF25FC"/>
    <w:rsid w:val="00AF2819"/>
    <w:rsid w:val="00B02C56"/>
    <w:rsid w:val="00B0455D"/>
    <w:rsid w:val="00B0638A"/>
    <w:rsid w:val="00B10564"/>
    <w:rsid w:val="00B141E7"/>
    <w:rsid w:val="00B25C3C"/>
    <w:rsid w:val="00B41B4D"/>
    <w:rsid w:val="00B77A45"/>
    <w:rsid w:val="00B8066A"/>
    <w:rsid w:val="00B85286"/>
    <w:rsid w:val="00B90B7F"/>
    <w:rsid w:val="00B9188F"/>
    <w:rsid w:val="00BA48D2"/>
    <w:rsid w:val="00BB14A0"/>
    <w:rsid w:val="00BC1B1F"/>
    <w:rsid w:val="00BE0C84"/>
    <w:rsid w:val="00BE5062"/>
    <w:rsid w:val="00C10F61"/>
    <w:rsid w:val="00C22CC4"/>
    <w:rsid w:val="00C2336C"/>
    <w:rsid w:val="00C35E35"/>
    <w:rsid w:val="00C41E32"/>
    <w:rsid w:val="00C92798"/>
    <w:rsid w:val="00CB34F1"/>
    <w:rsid w:val="00CB4568"/>
    <w:rsid w:val="00CB7B07"/>
    <w:rsid w:val="00CC3983"/>
    <w:rsid w:val="00CD6788"/>
    <w:rsid w:val="00D00CC7"/>
    <w:rsid w:val="00D100D1"/>
    <w:rsid w:val="00D14FCE"/>
    <w:rsid w:val="00D15308"/>
    <w:rsid w:val="00D1583C"/>
    <w:rsid w:val="00D15D1E"/>
    <w:rsid w:val="00D42398"/>
    <w:rsid w:val="00D44842"/>
    <w:rsid w:val="00D6278F"/>
    <w:rsid w:val="00D677D5"/>
    <w:rsid w:val="00D755F1"/>
    <w:rsid w:val="00D767AC"/>
    <w:rsid w:val="00D82FCC"/>
    <w:rsid w:val="00D87B31"/>
    <w:rsid w:val="00DB429F"/>
    <w:rsid w:val="00DB65C2"/>
    <w:rsid w:val="00DC4160"/>
    <w:rsid w:val="00DC6A1B"/>
    <w:rsid w:val="00DD4596"/>
    <w:rsid w:val="00DE672F"/>
    <w:rsid w:val="00E00581"/>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42794"/>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0D724F"/>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EntPE">
    <w:name w:val="EntPE"/>
    <w:basedOn w:val="Normal12"/>
    <w:rsid w:val="000D724F"/>
    <w:pPr>
      <w:jc w:val="center"/>
    </w:pPr>
    <w:rPr>
      <w:noProof w:val="0"/>
      <w:sz w:val="56"/>
    </w:rPr>
  </w:style>
  <w:style w:type="paragraph" w:customStyle="1" w:styleId="Normal12">
    <w:name w:val="Normal12"/>
    <w:basedOn w:val="Normal"/>
    <w:link w:val="Normal12Char"/>
    <w:rsid w:val="000D724F"/>
    <w:pPr>
      <w:spacing w:after="240"/>
    </w:pPr>
    <w:rPr>
      <w:noProof/>
    </w:rPr>
  </w:style>
  <w:style w:type="character" w:customStyle="1" w:styleId="Normal12Char">
    <w:name w:val="Normal12 Char"/>
    <w:basedOn w:val="DefaultParagraphFont"/>
    <w:link w:val="Normal12"/>
    <w:locked/>
    <w:rsid w:val="000D724F"/>
    <w:rPr>
      <w:noProof/>
      <w:sz w:val="24"/>
    </w:rPr>
  </w:style>
  <w:style w:type="paragraph" w:customStyle="1" w:styleId="Normal6">
    <w:name w:val="Normal6"/>
    <w:basedOn w:val="Normal"/>
    <w:link w:val="Normal6Char"/>
    <w:rsid w:val="000D724F"/>
    <w:pPr>
      <w:spacing w:after="120"/>
    </w:pPr>
  </w:style>
  <w:style w:type="character" w:customStyle="1" w:styleId="Normal6Char">
    <w:name w:val="Normal6 Char"/>
    <w:basedOn w:val="DefaultParagraphFont"/>
    <w:link w:val="Normal6"/>
    <w:rsid w:val="000D724F"/>
    <w:rPr>
      <w:sz w:val="24"/>
      <w:lang w:val="nl-NL"/>
    </w:rPr>
  </w:style>
  <w:style w:type="paragraph" w:customStyle="1" w:styleId="Normal12Italic">
    <w:name w:val="Normal12Italic"/>
    <w:basedOn w:val="Normal12"/>
    <w:rsid w:val="000D724F"/>
    <w:rPr>
      <w:i/>
    </w:rPr>
  </w:style>
  <w:style w:type="character" w:customStyle="1" w:styleId="FooterChar">
    <w:name w:val="Footer Char"/>
    <w:basedOn w:val="DefaultParagraphFont"/>
    <w:link w:val="Footer"/>
    <w:rsid w:val="000D724F"/>
    <w:rPr>
      <w:sz w:val="22"/>
    </w:rPr>
  </w:style>
  <w:style w:type="paragraph" w:styleId="Footer">
    <w:name w:val="footer"/>
    <w:link w:val="FooterChar"/>
    <w:rsid w:val="000D724F"/>
    <w:pPr>
      <w:tabs>
        <w:tab w:val="center" w:pos="4536"/>
        <w:tab w:val="right" w:pos="9072"/>
      </w:tabs>
      <w:spacing w:before="240" w:after="240" w:line="221" w:lineRule="auto"/>
    </w:pPr>
    <w:rPr>
      <w:sz w:val="22"/>
    </w:rPr>
  </w:style>
  <w:style w:type="paragraph" w:customStyle="1" w:styleId="Footer2">
    <w:name w:val="Footer2"/>
    <w:basedOn w:val="Normal12"/>
    <w:rsid w:val="000D724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0D72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D724F"/>
    <w:pPr>
      <w:spacing w:after="240"/>
      <w:jc w:val="center"/>
    </w:pPr>
    <w:rPr>
      <w:i/>
    </w:rPr>
  </w:style>
  <w:style w:type="paragraph" w:customStyle="1" w:styleId="Olang">
    <w:name w:val="Olang"/>
    <w:basedOn w:val="Normal"/>
    <w:rsid w:val="000D724F"/>
    <w:pPr>
      <w:spacing w:before="240" w:after="240"/>
      <w:jc w:val="right"/>
    </w:pPr>
    <w:rPr>
      <w:noProof/>
      <w:szCs w:val="24"/>
    </w:rPr>
  </w:style>
  <w:style w:type="paragraph" w:customStyle="1" w:styleId="JustificationTitle">
    <w:name w:val="JustificationTitle"/>
    <w:basedOn w:val="Normal"/>
    <w:next w:val="Normal12"/>
    <w:rsid w:val="000D724F"/>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14006</Words>
  <Characters>103863</Characters>
  <Application>Microsoft Office Word</Application>
  <DocSecurity>0</DocSecurity>
  <Lines>4154</Lines>
  <Paragraphs>1144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ESPOSITO Odila</dc:creator>
  <cp:lastModifiedBy>HOOGLAND Yvonne</cp:lastModifiedBy>
  <cp:revision>2</cp:revision>
  <cp:lastPrinted>2007-06-22T14:02:00Z</cp:lastPrinted>
  <dcterms:created xsi:type="dcterms:W3CDTF">2025-07-08T15:07:00Z</dcterms:created>
  <dcterms:modified xsi:type="dcterms:W3CDTF">2025-07-08T15:07:00Z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1323156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AM\1323156NL.docx</vt:lpwstr>
  </property>
  <property fmtid="{D5CDD505-2E9C-101B-9397-08002B2CF9AE}" pid="10" name="LastEdited with">
    <vt:lpwstr>10.1.2 Build [20250615]</vt:lpwstr>
  </property>
  <property fmtid="{D5CDD505-2E9C-101B-9397-08002B2CF9AE}" pid="11" name="OriLang">
    <vt:lpwstr>EN</vt:lpwstr>
  </property>
  <property fmtid="{D5CDD505-2E9C-101B-9397-08002B2CF9AE}" pid="12" name="PE number">
    <vt:lpwstr>774.493</vt:lpwstr>
  </property>
  <property fmtid="{D5CDD505-2E9C-101B-9397-08002B2CF9AE}" pid="13" name="SendToEpades">
    <vt:lpwstr>OK - 2025/06/23 17:24</vt:lpwstr>
  </property>
  <property fmtid="{D5CDD505-2E9C-101B-9397-08002B2CF9AE}" pid="14" name="SDLStudio">
    <vt:lpwstr/>
  </property>
  <property fmtid="{D5CDD505-2E9C-101B-9397-08002B2CF9AE}" pid="15" name="Bookout">
    <vt:lpwstr>OK - 2025/07/08 16:53</vt:lpwstr>
  </property>
</Properties>
</file>