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Økonomi- og Valutaudvalget</w:t>
      </w:r>
      <w:r>
        <w:rPr>
          <w:rStyle w:val="HideTWBExt"/>
        </w:rPr>
        <w:t>&lt;/Commission&gt;</w:t>
      </w:r>
    </w:p>
    <w:p>
      <w:pPr>
        <w:pStyle w:val="LineBottom"/>
      </w:pPr>
      <w:r>
        <w:t xml:space="preserve"> </w:t>
      </w:r>
    </w:p>
    <w:p>
      <w:pPr>
        <w:pStyle w:val="CoverReference"/>
      </w:pPr>
      <w:r>
        <w:rPr>
          <w:rStyle w:val="HideTWBExt"/>
        </w:rPr>
        <w:t>&lt;RefProc&gt;</w:t>
      </w:r>
      <w:r>
        <w:t>2025/0052</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{07/11/2025}</w:t>
      </w:r>
      <w:r>
        <w:t>7.11.2025</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16</w:t>
      </w:r>
      <w:r>
        <w:t xml:space="preserve"> - </w:t>
      </w:r>
      <w:r>
        <w:t>100</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Aurore Lalucq</w:t>
      </w:r>
      <w:r>
        <w:rPr>
          <w:rStyle w:val="HideTWBExt"/>
        </w:rPr>
        <w:t>&lt;/Rapporteur&gt;</w:t>
      </w:r>
    </w:p>
    <w:p>
      <w:pPr>
        <w:pStyle w:val="CoverNormal24a"/>
      </w:pPr>
      <w:r>
        <w:rPr>
          <w:rStyle w:val="HideTWBExt"/>
        </w:rPr>
        <w:t>&lt;DocRefPE&gt;</w:t>
      </w:r>
      <w:r>
        <w:t>(PE778.148v01-00)</w:t>
      </w:r>
      <w:r>
        <w:rPr>
          <w:rStyle w:val="HideTWBExt"/>
        </w:rPr>
        <w:t>&lt;/DocRefPE&gt;</w:t>
      </w:r>
    </w:p>
    <w:p>
      <w:pPr>
        <w:pStyle w:val="CoverNormal24a"/>
      </w:pPr>
      <w:r>
        <w:rPr>
          <w:rStyle w:val="HideTWBExt"/>
        </w:rPr>
        <w:t>&lt;Titre&gt;</w:t>
      </w:r>
      <w:r>
        <w:t>Ikkefinansielle statistikker over erhvervsejendomme</w:t>
      </w:r>
      <w:r>
        <w:rPr>
          <w:rStyle w:val="HideTWBExt"/>
        </w:rPr>
        <w:t>&lt;/Titre&gt;</w:t>
      </w:r>
    </w:p>
    <w:p>
      <w:pPr>
        <w:pStyle w:val="CoverNormal"/>
      </w:pPr>
      <w:r>
        <w:rPr>
          <w:rStyle w:val="HideTWBExt"/>
        </w:rPr>
        <w:t>&lt;DocAmend&gt;</w:t>
      </w:r>
      <w:r>
        <w:t>Forslag til forordning</w:t>
      </w:r>
      <w:r>
        <w:rPr>
          <w:rStyle w:val="HideTWBExt"/>
        </w:rPr>
        <w:t>&lt;/DocAmend&gt;</w:t>
      </w:r>
    </w:p>
    <w:p>
      <w:pPr>
        <w:pStyle w:val="CoverNormal24a"/>
      </w:pPr>
      <w:r>
        <w:rPr>
          <w:rStyle w:val="HideTWBExt"/>
        </w:rPr>
        <w:t>&lt;DocRef&gt;</w:t>
      </w:r>
      <w:r>
        <w:t>(COM(2025)0100 – 2025/0052(COD))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r>
        <w:rPr>
          <w:rStyle w:val="HideTWBExt"/>
          <w:b w:val="0"/>
        </w:rPr>
        <w:t>&lt;AuNomDe&gt;</w:t>
      </w:r>
      <w:r>
        <w:rPr>
          <w:rStyle w:val="HideTWBInt"/>
        </w:rPr>
        <w:t>{The Left}</w:t>
      </w:r>
      <w:r>
        <w:t>for The Left-Gruppen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Statistikker over udviklingen på ejendomsmarkederne er afgørende for udformningen af den økonomiske og monetære politik, overvågningen af systemiske risici og styringen af den makroprudentielle politikudformning.</w:t>
            </w:r>
          </w:p>
        </w:tc>
        <w:tc>
          <w:tcPr>
            <w:tcW w:w="4876" w:type="dxa"/>
            <w:tcBorders>
              <w:top w:val="nil"/>
              <w:left w:val="nil"/>
              <w:bottom w:val="nil"/>
              <w:right w:val="nil"/>
            </w:tcBorders>
          </w:tcPr>
          <w:p>
            <w:pPr>
              <w:pStyle w:val="Normal6a"/>
            </w:pPr>
            <w:r>
              <w:t>(1)</w:t>
            </w:r>
            <w:r>
              <w:tab/>
            </w:r>
            <w:r>
              <w:t xml:space="preserve">Statistikker over udviklingen på ejendomsmarkederne er afgørende for udformningen af den økonomiske og monetære politik, overvågningen af systemiske risici og styringen af den makroprudentielle politikudformning. </w:t>
            </w:r>
            <w:r>
              <w:rPr>
                <w:b/>
                <w:i/>
              </w:rPr>
              <w:t>Tidligere finansielle kriser har vist, at udviklingen på ejendomsmarkederne kan have konsekvenser for det finansielle system og i alvorlig grad påvirke realøkonomien.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2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Rådet for Finansiel Stabilitet udpeger i sin rapport af 19. juni 2025 med titlen "Vulnerabilities in Non-bank Commercial Estate Investors" de største sårbarheder, der kommer fra erhvervsejendomssektoren.</w:t>
            </w:r>
            <w:r>
              <w:t xml:space="preserve"> </w:t>
            </w:r>
            <w:r>
              <w:rPr>
                <w:b/>
                <w:i/>
              </w:rPr>
              <w:t>I rapporten konstateres de resterende datamangler, der hæmmer de makroprudentielle myndigheders mandat.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I samme henstilling fra 2019 definerede ESRB fysiske erhvervsejendomme som enhver indtægtsgivende fast ejendom, der enten eksisterer eller er under udvikling, herunder lejeboliger, eller fast ejendom, der anvendes af ejendommens ejere til at udøve deres virksomhed, formål eller aktivitet, der enten eksisterer eller er under opførelse, der ikke er klassificeret som beboelsesejendomme og omfatter almennyttige boliger. Definitionerne i denne forordning er i overensstemmelse med de definitioner, som ESRB anbefalede i 2019.</w:t>
            </w:r>
          </w:p>
        </w:tc>
        <w:tc>
          <w:tcPr>
            <w:tcW w:w="4876" w:type="dxa"/>
            <w:tcBorders>
              <w:top w:val="nil"/>
              <w:left w:val="nil"/>
              <w:bottom w:val="nil"/>
              <w:right w:val="nil"/>
            </w:tcBorders>
          </w:tcPr>
          <w:p>
            <w:pPr>
              <w:pStyle w:val="Normal6a"/>
            </w:pPr>
            <w:r>
              <w:t>(6)</w:t>
            </w:r>
            <w:r>
              <w:tab/>
            </w:r>
            <w:r>
              <w:t>I samme henstilling fra 2019 definerede ESRB fysiske erhvervsejendomme som enhver indtægtsgivende fast ejendom, der enten eksisterer eller er under udvikling, herunder lejeboliger, eller fast ejendom, der anvendes af ejendommens ejere til at udøve deres virksomhed, formål eller aktivitet, der enten eksisterer eller er under opførelse, der ikke er klassificeret som beboelsesejendomme og omfatter almennyttige boliger. Definitionerne i denne forordning er i overensstemmelse med de definitioner, som ESRB anbefalede i 2019</w:t>
            </w:r>
            <w:r>
              <w:rPr>
                <w:b/>
                <w:i/>
              </w:rPr>
              <w:t>, med undtagelse af socialt boligbyggeri, der er udelukket fra erhvervsejendomme, som i ESRB's henstilling fra 2016, og i tråd med Eurostat-rapporten "Commercial property price indicators: sources, methods and issues"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Kommissionen (Eurostat) og de nationale statistiske kontorer vurderede i tæt samarbejde med ESRB gennemførligheden af</w:t>
            </w:r>
            <w:r>
              <w:t xml:space="preserve"> indikatorer for fysiske erhvervsejendomme, dvs. prisindeks, lejeindeks, lejeafkastindeks, ledighedsprocenter og bygge- og anlægsarbejders start</w:t>
            </w:r>
            <w:r>
              <w:rPr>
                <w:b/>
                <w:i/>
              </w:rPr>
              <w:t>, som anbefalet af ESRB</w:t>
            </w:r>
            <w:r>
              <w:t xml:space="preserve">. </w:t>
            </w:r>
            <w:r>
              <w:rPr>
                <w:b/>
                <w:i/>
              </w:rPr>
              <w:t>Det blev bekræftet, at det er muligt at udarbejde prisindekset, lejeindekset- og indikatorerne for bygge- og anlægsarbejders start og færdiggørelse.</w:t>
            </w:r>
            <w:r>
              <w:t xml:space="preserve"> </w:t>
            </w:r>
            <w:r>
              <w:rPr>
                <w:b/>
                <w:i/>
              </w:rPr>
              <w:t>På grund af den begrænsede tilgængelighed af datakilder og den utilstrækkelige kvalitet kan indikatorerne for lejeafkastindeks og ledighedsprocenter ikke medtages i denne forordning og bør fortsat udvikles.</w:t>
            </w:r>
            <w:r>
              <w:t xml:space="preserve"> </w:t>
            </w:r>
            <w:r>
              <w:rPr>
                <w:b/>
                <w:i/>
              </w:rPr>
              <w:t>Samtidig er</w:t>
            </w:r>
            <w:r>
              <w:t xml:space="preserve"> der tilføjet en yderligere vigtig indikator for værdien af transaktioner vedrørende erhvervsejendomme.</w:t>
            </w:r>
          </w:p>
        </w:tc>
        <w:tc>
          <w:tcPr>
            <w:tcW w:w="4876" w:type="dxa"/>
            <w:tcBorders>
              <w:top w:val="nil"/>
              <w:left w:val="nil"/>
              <w:bottom w:val="nil"/>
              <w:right w:val="nil"/>
            </w:tcBorders>
          </w:tcPr>
          <w:p>
            <w:pPr>
              <w:pStyle w:val="Normal6a"/>
            </w:pPr>
            <w:r>
              <w:t>(7)</w:t>
            </w:r>
            <w:r>
              <w:tab/>
            </w:r>
            <w:r>
              <w:rPr>
                <w:b/>
                <w:i/>
              </w:rPr>
              <w:t>I overensstemmelse med ESRB's henstilling fra 2019 bør der indsamles</w:t>
            </w:r>
            <w:r>
              <w:t xml:space="preserve"> indikatorer for fysiske erhvervsejendomme, dvs. prisindeks, lejeindeks, lejeafkastindeks, ledighedsprocenter og bygge- og anlægsarbejders start. Der </w:t>
            </w:r>
            <w:r>
              <w:rPr>
                <w:b/>
                <w:i/>
              </w:rPr>
              <w:t>er</w:t>
            </w:r>
            <w:r>
              <w:t xml:space="preserve"> tilføjet en yderligere vigtig indikator for værdien af transaktioner vedrørende erhvervsejendomme.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Eftersom indikatorerne for lejeafkast og ledighedsprocenter allerede var medtaget i ERSB-henstillingen fra 2016 sammen med de øvrige indikatorer, bør der anmodes om disse indikatorer fra denne forordnings ikrafttræden.</w:t>
      </w:r>
    </w:p>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På grund af den begrænsede tilgængelighed af datakilder og den utilstrækkelige kvalitet kan indikatorerne for lejeafkastindeks og ledighedsprocenter ikke medtages i denne forordning </w:t>
            </w:r>
            <w:r>
              <w:rPr>
                <w:b/>
                <w:i/>
              </w:rPr>
              <w:t>og bør fortsat udvikles</w:t>
            </w:r>
            <w:r>
              <w:t>. Samtidig er der tilføjet en yderligere vigtig indikator for værdien af transaktioner vedrørende erhvervsejendomme.</w:t>
            </w:r>
          </w:p>
        </w:tc>
        <w:tc>
          <w:tcPr>
            <w:tcW w:w="4876" w:type="dxa"/>
            <w:tcBorders>
              <w:top w:val="nil"/>
              <w:left w:val="nil"/>
              <w:bottom w:val="nil"/>
              <w:right w:val="nil"/>
            </w:tcBorders>
          </w:tcPr>
          <w:p>
            <w:pPr>
              <w:pStyle w:val="Normal6a"/>
            </w:pPr>
            <w:r>
              <w:t>(7)</w:t>
            </w:r>
            <w:r>
              <w:tab/>
            </w:r>
            <w:r>
              <w:t>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På grund af den begrænsede tilgængelighed af datakilder og den utilstrækkelige kvalitet kan indikatorerne for lejeafkastindeks og ledighedsprocenter ikke medtages i denne forordning. Samtidig er der tilføjet en yderligere vigtig indikator for værdien af transaktioner vedrørende erhvervsejendomme.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På grund af den begrænsede tilgængelighed af datakilder og den utilstrækkelige kvalitet kan indikatorerne for lejeafkastindeks og ledighedsprocenter ikke medtages i denne forordning </w:t>
            </w:r>
            <w:r>
              <w:rPr>
                <w:b/>
                <w:i/>
              </w:rPr>
              <w:t>og bør fortsat udvikles</w:t>
            </w:r>
            <w:r>
              <w:t>. Samtidig er der tilføjet en yderligere vigtig indikator for værdien af transaktioner vedrørende erhvervsejendomme.</w:t>
            </w:r>
          </w:p>
        </w:tc>
        <w:tc>
          <w:tcPr>
            <w:tcW w:w="4876" w:type="dxa"/>
            <w:tcBorders>
              <w:top w:val="nil"/>
              <w:left w:val="nil"/>
              <w:bottom w:val="nil"/>
              <w:right w:val="nil"/>
            </w:tcBorders>
          </w:tcPr>
          <w:p>
            <w:pPr>
              <w:pStyle w:val="Normal6a"/>
            </w:pPr>
            <w:r>
              <w:t>(7)</w:t>
            </w:r>
            <w:r>
              <w:tab/>
            </w:r>
            <w:r>
              <w:t>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På grund af den begrænsede tilgængelighed af datakilder og den utilstrækkelige kvalitet kan indikatorerne for lejeafkastindeks og ledighedsprocenter ikke medtages i denne forordning. Samtidig er der tilføjet en yderligere vigtig indikator for værdien af transaktioner vedrørende erhvervsejendomme.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På grund af den begrænsede tilgængelighed af datakilder og den utilstrækkelige kvalitet kan indikatorerne for lejeafkastindeks og ledighedsprocenter ikke medtages i denne forordning og bør fortsat udvikles. Samtidig er der tilføjet en yderligere vigtig indikator for værdien af transaktioner vedrørende erhvervsejendomme.</w:t>
            </w:r>
          </w:p>
        </w:tc>
        <w:tc>
          <w:tcPr>
            <w:tcW w:w="4876" w:type="dxa"/>
            <w:tcBorders>
              <w:top w:val="nil"/>
              <w:left w:val="nil"/>
              <w:bottom w:val="nil"/>
              <w:right w:val="nil"/>
            </w:tcBorders>
          </w:tcPr>
          <w:p>
            <w:pPr>
              <w:pStyle w:val="Normal6a"/>
            </w:pPr>
            <w:r>
              <w:t>(7)</w:t>
            </w:r>
            <w:r>
              <w:tab/>
            </w:r>
            <w:r>
              <w:t xml:space="preserve">Kommissionen (Eurostat) og de nationale statistiske kontorer vurderede i tæt samarbejde med ESRB gennemførligheden af indikatorer for fysiske erhvervsejendomme, dvs. prisindeks, lejeindeks, lejeafkastindeks, ledighedsprocenter og bygge- og anlægsarbejders start, som anbefalet af ESRB. Det blev bekræftet, at det er muligt at udarbejde prisindekset, lejeindekset- og indikatorerne for bygge- og anlægsarbejders start og færdiggørelse </w:t>
            </w:r>
            <w:r>
              <w:rPr>
                <w:b/>
                <w:i/>
              </w:rPr>
              <w:t>for visse medlemsstater</w:t>
            </w:r>
            <w:r>
              <w:t>. På grund af den begrænsede tilgængelighed af datakilder og den utilstrækkelige kvalitet kan indikatorerne for lejeafkastindeks og ledighedsprocenter ikke medtages i denne forordning og bør fortsat udvikles. Samtidig er der tilføjet en yderligere vigtig indikator for værdien af transaktioner vedrørende erhvervsejendomme.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De nationale statistiske kontorer og Kommissionen (Eurostat) bør også have ret til adgang til nye datakilder, herunder privatejede data, og til at anvende disse til statistiske formål i overensstemmelse med artikel 17b i forordning (EF) nr. 223/2009 som ændret ved forordning (EU) 2024/3018.</w:t>
            </w:r>
            <w:r>
              <w:t xml:space="preserve"> </w:t>
            </w:r>
            <w:r>
              <w:rPr>
                <w:b/>
                <w:i/>
              </w:rPr>
              <w:t>Efter anmodning bør en privat dataindehaver stille data og de relevante metadata gratis til rådighed for de nationale statistiske kontorer eller Kommissionen (Eurostat), hvis de data, der anmodes om, er strengt nødvendige for udvikling, udarbejdelse og formidling af europæiske ikkefinansielle statistikker over erhvervsejendomme og ikke kan opnås på anden vis, eller hvis videreanvendelse heraf vil medføre en betydelig reduktion af responsbyrden for dataindehavere og andre virksomheder.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De nationale statistiske kontorer og Kommissionen (Eurostat) bør også have ret til adgang til nye datakilder, herunder privatejede data, og til at anvende disse til statistiske formål i overensstemmelse med artikel 17b i forordning (EF) nr. 223/2009 som ændret ved forordning (EU) 2024/3018. Efter anmodning bør en privat dataindehaver stille data og de relevante metadata gratis til rådighed for de nationale statistiske kontorer eller Kommissionen (Eurostat), hvis de data, der anmodes om, er strengt nødvendige for udvikling, udarbejdelse og formidling af europæiske ikkefinansielle statistikker over erhvervsejendomme og ikke kan opnås på anden vis, eller hvis videreanvendelse heraf vil medføre en betydelig reduktion af responsbyrden for dataindehavere og andre virksomheder.</w:t>
            </w:r>
          </w:p>
        </w:tc>
        <w:tc>
          <w:tcPr>
            <w:tcW w:w="4876" w:type="dxa"/>
            <w:tcBorders>
              <w:top w:val="nil"/>
              <w:left w:val="nil"/>
              <w:bottom w:val="nil"/>
              <w:right w:val="nil"/>
            </w:tcBorders>
          </w:tcPr>
          <w:p>
            <w:pPr>
              <w:pStyle w:val="Normal6a"/>
            </w:pPr>
            <w:r>
              <w:t>(10)</w:t>
            </w:r>
            <w:r>
              <w:tab/>
            </w:r>
            <w:r>
              <w:t xml:space="preserve">De nationale statistiske kontorer og Kommissionen (Eurostat) bør også have ret til adgang til nye datakilder, herunder privatejede data, og til at anvende disse til statistiske formål i overensstemmelse med artikel 17b i forordning (EF) nr. 223/2009 som ændret ved forordning (EU) 2024/3018. Efter anmodning bør en privat dataindehaver stille data og de relevante metadata gratis til rådighed for de nationale statistiske kontorer eller Kommissionen (Eurostat), hvis de data, der anmodes om, er strengt nødvendige for udvikling, udarbejdelse og formidling af europæiske ikkefinansielle statistikker over erhvervsejendomme og ikke kan opnås på anden vis, eller hvis videreanvendelse heraf vil medføre en betydelig reduktion af responsbyrden for dataindehavere og andre virksomheder. </w:t>
            </w:r>
            <w:r>
              <w:rPr>
                <w:b/>
                <w:i/>
              </w:rPr>
              <w:t>Når de nationale statistiske kontorer og Kommissionen udøver deres ret til at anmode private dataindehavere om data, bør de sikre, at dette ikke medfører en uforholdsmæssig stor økonomisk byrde for virksomheder og foreninger.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De nationale statistiske kontorer og Kommissionen (Eurostat) bør også have ret til adgang til nye datakilder, herunder privatejede data, og til at anvende disse til statistiske formål i overensstemmelse med artikel 17b i forordning (EF) nr. 223/2009 som ændret ved forordning (EU) 2024/3018. Efter anmodning bør en privat dataindehaver stille data og de relevante metadata gratis til rådighed for de nationale statistiske kontorer eller Kommissionen (Eurostat), hvis de data, der anmodes om, er strengt nødvendige for udvikling, udarbejdelse og formidling af europæiske ikkefinansielle statistikker over erhvervsejendomme og ikke kan opnås på anden vis, eller hvis videreanvendelse heraf vil medføre en betydelig reduktion af responsbyrden for dataindehavere og andre virksomheder.</w:t>
            </w:r>
          </w:p>
        </w:tc>
        <w:tc>
          <w:tcPr>
            <w:tcW w:w="4876" w:type="dxa"/>
            <w:tcBorders>
              <w:top w:val="nil"/>
              <w:left w:val="nil"/>
              <w:bottom w:val="nil"/>
              <w:right w:val="nil"/>
            </w:tcBorders>
          </w:tcPr>
          <w:p>
            <w:pPr>
              <w:pStyle w:val="Normal6a"/>
            </w:pPr>
            <w:r>
              <w:t>(10)</w:t>
            </w:r>
            <w:r>
              <w:tab/>
            </w:r>
            <w:r>
              <w:t xml:space="preserve">De nationale statistiske kontorer og Kommissionen (Eurostat) bør også have ret til adgang til nye datakilder, herunder privatejede data, og til at anvende disse til statistiske formål i overensstemmelse med artikel 17b i forordning (EF) nr. 223/2009 som ændret ved forordning (EU) 2024/3018. Efter anmodning bør en privat dataindehaver stille data og de relevante metadata gratis til rådighed for de nationale statistiske kontorer eller Kommissionen (Eurostat), hvis de data, der anmodes om, er strengt nødvendige for udvikling, udarbejdelse og formidling af europæiske ikkefinansielle statistikker over erhvervsejendomme og ikke kan opnås på anden vis, eller hvis videreanvendelse heraf vil medføre en betydelig reduktion af responsbyrden for dataindehavere og andre virksomheder. </w:t>
            </w:r>
            <w:r>
              <w:rPr>
                <w:b/>
                <w:i/>
              </w:rPr>
              <w:t>De nationale statistiske kontorers og Kommissionens ret til at anmode om data fra private dataindehavere bør ikke medføre, at virksomheder eller foreninger pålægges en uforholdsmæssig stor økonomisk byrde.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For at tage højde for den økonomiske og tekniske udvikling bør beføjelsen til at vedtage retsakter i overensstemmelse med artikel 290 i traktaten om Den Europæiske Unions funktionsmåde delegeres til Kommissionen med henblik på at ændre listen over variabler i bilag I.</w:t>
            </w:r>
            <w:r>
              <w:t xml:space="preserve"> </w:t>
            </w:r>
            <w:r>
              <w:rPr>
                <w:b/>
                <w:i/>
              </w:rPr>
              <w:t>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Pr>
                <w:b/>
                <w:i/>
                <w:vertAlign w:val="superscript"/>
              </w:rPr>
              <w:t>8</w:t>
            </w:r>
            <w:r>
              <w:rPr>
                <w:b/>
                <w:i/>
              </w:rPr>
              <w:t>.</w:t>
            </w:r>
            <w:r>
              <w:t xml:space="preserve"> </w:t>
            </w:r>
            <w:r>
              <w:rPr>
                <w:b/>
                <w:i/>
              </w:rPr>
              <w:t>For at sikre 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p>
        </w:tc>
        <w:tc>
          <w:tcPr>
            <w:tcW w:w="4876" w:type="dxa"/>
            <w:tcBorders>
              <w:top w:val="nil"/>
              <w:left w:val="nil"/>
              <w:bottom w:val="nil"/>
              <w:right w:val="nil"/>
            </w:tcBorders>
          </w:tcPr>
          <w:p>
            <w:pPr>
              <w:pStyle w:val="Normal6a"/>
            </w:pPr>
            <w:r>
              <w:rPr>
                <w:b/>
                <w:i/>
              </w:rPr>
              <w:t>udgår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EUT L 123 af 12.5.2016, s. 1.</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For at tage højde for den økonomiske og tekniske udvikling bør beføjelsen til at vedtage retsakter i overensstemmelse med artikel 290 i traktaten om Den Europæiske Unions funktionsmåde delegeres til Kommissionen med henblik på at ændre listen over variabler i bilag I.</w:t>
            </w:r>
            <w:r>
              <w:t xml:space="preserve"> </w:t>
            </w:r>
            <w:r>
              <w:rPr>
                <w:b/>
                <w:i/>
              </w:rPr>
              <w:t>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Pr>
                <w:b/>
                <w:i/>
                <w:vertAlign w:val="superscript"/>
              </w:rPr>
              <w:t>8</w:t>
            </w:r>
            <w:r>
              <w:rPr>
                <w:b/>
                <w:i/>
              </w:rPr>
              <w:t>.</w:t>
            </w:r>
            <w:r>
              <w:t xml:space="preserve"> For at sikre </w:t>
            </w:r>
            <w:r>
              <w:rPr>
                <w:b/>
                <w:i/>
              </w:rPr>
              <w:t>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r>
              <w:t>.</w:t>
            </w:r>
          </w:p>
        </w:tc>
        <w:tc>
          <w:tcPr>
            <w:tcW w:w="4876" w:type="dxa"/>
            <w:tcBorders>
              <w:top w:val="nil"/>
              <w:left w:val="nil"/>
              <w:bottom w:val="nil"/>
              <w:right w:val="nil"/>
            </w:tcBorders>
          </w:tcPr>
          <w:p>
            <w:pPr>
              <w:pStyle w:val="Normal6a"/>
            </w:pPr>
            <w:r>
              <w:t>(16)</w:t>
            </w:r>
            <w:r>
              <w:tab/>
            </w:r>
            <w:r>
              <w:t xml:space="preserve">For at sikre </w:t>
            </w:r>
            <w:r>
              <w:rPr>
                <w:b/>
                <w:i/>
              </w:rPr>
              <w:t>stabile og gennemsigtige lovgivningsmæssige rammer for de statistiske krav, som er fastsat i denne forordning, må der kun foretages tilpasninger af variablerne i bilag I ved at ændre denne forordning efter den almindelige lovgivningsprocedure.</w:t>
            </w:r>
            <w:r>
              <w:t xml:space="preserve"> </w:t>
            </w:r>
            <w:r>
              <w:rPr>
                <w:b/>
                <w:i/>
              </w:rPr>
              <w:t>Gennemførelsesretsakter bør udelukkende begrænses til tekniske detaljer, der ikke fører til nye eller udvidede rapporteringskrav</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EUT L 123 af 12.5.2016, s. 1.</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For at tage højde for den økonomiske og tekniske udvikling bør beføjelsen til at vedtage retsakter i overensstemmelse med artikel 290 i traktaten om Den Europæiske Unions funktionsmåde delegeres til Kommissionen med henblik på at ændre listen over variabler i bilag I.</w:t>
            </w:r>
            <w:r>
              <w:t xml:space="preserve"> </w:t>
            </w:r>
            <w:r>
              <w:rPr>
                <w:b/>
                <w:i/>
              </w:rPr>
              <w:t>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Pr>
                <w:b/>
                <w:i/>
                <w:vertAlign w:val="superscript"/>
              </w:rPr>
              <w:t>8</w:t>
            </w:r>
            <w:r>
              <w:rPr>
                <w:b/>
                <w:i/>
              </w:rPr>
              <w:t>.</w:t>
            </w:r>
            <w:r>
              <w:t xml:space="preserve"> For at sikre </w:t>
            </w:r>
            <w:r>
              <w:rPr>
                <w:b/>
                <w:i/>
              </w:rPr>
              <w:t>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r>
              <w:t>.</w:t>
            </w:r>
          </w:p>
        </w:tc>
        <w:tc>
          <w:tcPr>
            <w:tcW w:w="4876" w:type="dxa"/>
            <w:tcBorders>
              <w:top w:val="nil"/>
              <w:left w:val="nil"/>
              <w:bottom w:val="nil"/>
              <w:right w:val="nil"/>
            </w:tcBorders>
          </w:tcPr>
          <w:p>
            <w:pPr>
              <w:pStyle w:val="Normal6a"/>
            </w:pPr>
            <w:r>
              <w:t>(16)</w:t>
            </w:r>
            <w:r>
              <w:tab/>
            </w:r>
            <w:r>
              <w:t xml:space="preserve">For at sikre </w:t>
            </w:r>
            <w:r>
              <w:rPr>
                <w:b/>
                <w:i/>
              </w:rPr>
              <w:t>at de statistiske krav, der er fastsat i denne forordning, er baseret på stabile og gennemsigtige lovgivningsmæssige rammer, må variablerne i bilag I udelukkende tilpasses gennem en ændring af denne forordning efter den almindelige lovgivningsprocedure.</w:t>
            </w:r>
            <w:r>
              <w:t xml:space="preserve"> </w:t>
            </w:r>
            <w:r>
              <w:rPr>
                <w:b/>
                <w:i/>
              </w:rPr>
              <w:t>Gennemførelsesretsakter bør udelukkende begrænses til tekniske detaljer, der ikke fører til nye eller udvidede rapporteringskrav</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8</w:t>
            </w:r>
            <w:r>
              <w:t xml:space="preserve"> </w:t>
            </w:r>
            <w:r>
              <w:rPr>
                <w:b/>
                <w:i/>
              </w:rPr>
              <w:t>EUT L 123 af 12.5.2016, s. 1.</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For at sikre ensartede betingelser for gennemførelsen af denne forordning for så vidt angår detaljerne for variablerne samt foranstaltningerne vedrørende format, sikkerhed og fortrolighed og proceduren for udveksling af fortrolige data, de nærmere bestemmelser for fremsendelsen af data, indholdet af og fristerne for fremsendelsen af rapporter om kvalitet og metadata, standarderne for fremsendelse af data og metadata og indrømmelse af undtagelser fra kravene i denne forordning eller fra de gennemførelsesretsakter, der vedtages i medfør heraf, bør Kommissionen tillægges gennemførelsesbeføjelser.</w:t>
            </w:r>
            <w:r>
              <w:t xml:space="preserve"> </w:t>
            </w:r>
            <w:r>
              <w:rPr>
                <w:b/>
                <w:i/>
              </w:rPr>
              <w:t>Disse beføjelser bør udøves i overensstemmelse med Europa-Parlamentets og Rådets forordning (EU) nr. 182/2011</w:t>
            </w:r>
            <w:r>
              <w:rPr>
                <w:b/>
                <w:i/>
                <w:vertAlign w:val="superscript"/>
              </w:rPr>
              <w:t>9</w:t>
            </w:r>
            <w:r>
              <w:rPr>
                <w:b/>
                <w:i/>
              </w:rPr>
              <w:t>.</w:t>
            </w:r>
          </w:p>
        </w:tc>
        <w:tc>
          <w:tcPr>
            <w:tcW w:w="4876" w:type="dxa"/>
            <w:tcBorders>
              <w:top w:val="nil"/>
              <w:left w:val="nil"/>
              <w:bottom w:val="nil"/>
              <w:right w:val="nil"/>
            </w:tcBorders>
          </w:tcPr>
          <w:p>
            <w:pPr>
              <w:pStyle w:val="Normal6a"/>
            </w:pPr>
            <w:r>
              <w:rPr>
                <w:b/>
                <w:i/>
              </w:rPr>
              <w:t>udgår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9</w:t>
            </w:r>
            <w:r>
              <w:t xml:space="preserve"> </w:t>
            </w:r>
            <w:r>
              <w:rPr>
                <w:b/>
                <w:i/>
              </w:rPr>
              <w:t>EUT L 55 af 28.2.2011, s. 13.</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For at sikre ensartede betingelser for gennemførelsen af denne forordning </w:t>
            </w:r>
            <w:r>
              <w:rPr>
                <w:b/>
                <w:i/>
              </w:rPr>
              <w:t>for så vidt angår detaljerne for variablerne samt foranstaltningerne vedrørende format, sikkerhed og fortrolighed og proceduren for udveksling af fortrolige data, de nærmere bestemmelser for fremsendelsen af data, indholdet af og fristerne for fremsendelsen af rapporter om kvalitet og metadata, standarderne for fremsendelse af data og metadata og indrømmelse af undtagelser fra kravene i denne forordning eller fra de gennemførelsesretsakter, der vedtages i medfør heraf,</w:t>
            </w:r>
            <w:r>
              <w:t xml:space="preserve"> bør Kommissionen tillægges gennemførelsesbeføjelser. Disse beføjelser bør udøves i overensstemmelse med Europa-Parlamentets og Rådets forordning (EU) nr. 182/2011</w:t>
            </w:r>
            <w:r>
              <w:rPr>
                <w:vertAlign w:val="superscript"/>
              </w:rPr>
              <w:t>9</w:t>
            </w:r>
            <w:r>
              <w:t>.</w:t>
            </w:r>
          </w:p>
        </w:tc>
        <w:tc>
          <w:tcPr>
            <w:tcW w:w="4876" w:type="dxa"/>
            <w:tcBorders>
              <w:top w:val="nil"/>
              <w:left w:val="nil"/>
              <w:bottom w:val="nil"/>
              <w:right w:val="nil"/>
            </w:tcBorders>
          </w:tcPr>
          <w:p>
            <w:pPr>
              <w:pStyle w:val="Normal6a"/>
            </w:pPr>
            <w:r>
              <w:t>(17)</w:t>
            </w:r>
            <w:r>
              <w:tab/>
            </w:r>
            <w:r>
              <w:t>For at sikre ensartede betingelser for gennemførelsen af denne forordning bør Kommissionen tillægges gennemførelsesbeføjelser</w:t>
            </w:r>
            <w:r>
              <w:rPr>
                <w:b/>
                <w:i/>
              </w:rPr>
              <w:t>.</w:t>
            </w:r>
            <w:r>
              <w:t xml:space="preserve"> </w:t>
            </w:r>
            <w:r>
              <w:rPr>
                <w:b/>
                <w:i/>
              </w:rPr>
              <w:t>Disse gennemførelsesretsakter bør kun vedrøre tekniske detaljer og praktiske ordninger, der er nødvendige for anvendelsen af denne forordning, såsom fastlæggelse af formater, dataoverførselsprocedurer, sikkerhedsforanstaltninger eller tekniske specifikationer, herunder fastsættelse af undtagelser fra kravene i denne forordning.</w:t>
            </w:r>
            <w:r>
              <w:t xml:space="preserve"> </w:t>
            </w:r>
            <w:r>
              <w:rPr>
                <w:b/>
                <w:i/>
              </w:rPr>
              <w:t>De bør ikke kunne ligge til grund for nye eller udvidede rapporteringsforpligtelser for medlemsstaterne eller dataudbyderne</w:t>
            </w:r>
            <w:r>
              <w:t>. Disse beføjelser bør udøves i overensstemmelse med Europa-Parlamentets og Rådets forordning (EU) nr. 182/2011</w:t>
            </w:r>
            <w:r>
              <w:rPr>
                <w:vertAlign w:val="superscript"/>
              </w:rPr>
              <w:t>9</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EUT L 55 af 28.2.2011, s. 13.</w:t>
            </w:r>
          </w:p>
        </w:tc>
        <w:tc>
          <w:tcPr>
            <w:tcW w:w="4876" w:type="dxa"/>
            <w:tcBorders>
              <w:top w:val="nil"/>
              <w:left w:val="nil"/>
              <w:bottom w:val="nil"/>
              <w:right w:val="nil"/>
            </w:tcBorders>
          </w:tcPr>
          <w:p>
            <w:pPr>
              <w:pStyle w:val="Normal6a"/>
            </w:pPr>
            <w:r>
              <w:rPr>
                <w:vertAlign w:val="superscript"/>
              </w:rPr>
              <w:t>9</w:t>
            </w:r>
            <w:r>
              <w:t xml:space="preserve"> </w:t>
            </w:r>
            <w:r>
              <w:t>EUT L 55 af 28.2.2011, s. 13.</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Hvis anvendelsen af denne forordning eller af gennemførelsesretsakter, der vedtages i medfør heraf, vil kræve større tilpasninger af en medlemsstats nationale statistiske system, bør Kommissionen i behørigt begrundede tilfælde kunne indrømme den pågældende medlemsstat undtagelser.</w:t>
            </w:r>
            <w:r>
              <w:t xml:space="preserve"> </w:t>
            </w:r>
            <w:r>
              <w:rPr>
                <w:b/>
                <w:i/>
              </w:rPr>
              <w:t>Sådanne undtagelser bør være midlertidige og indrømmes for en periode på højst tre år.</w:t>
            </w:r>
            <w:r>
              <w:t xml:space="preserve"> </w:t>
            </w:r>
            <w:r>
              <w:rPr>
                <w:b/>
                <w:i/>
              </w:rPr>
              <w:t>Kommissionen bør yde støtte til de berørte medlemsstater i deres bestræbelser på at gennemføre de nødvendige tilpasninger af deres statistiske systemer, så undtagelserne kan bringes til ophør hurtigst muligt.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Hvis anvendelsen af denne forordning </w:t>
            </w:r>
            <w:r>
              <w:rPr>
                <w:b/>
                <w:i/>
              </w:rPr>
              <w:t>eller af gennemførelsesretsakter, der vedtages i medfør heraf,</w:t>
            </w:r>
            <w:r>
              <w:t xml:space="preserve"> vil kræve </w:t>
            </w:r>
            <w:r>
              <w:rPr>
                <w:b/>
                <w:i/>
              </w:rPr>
              <w:t>større</w:t>
            </w:r>
            <w:r>
              <w:t xml:space="preserve"> tilpasninger af en medlemsstats nationale statistiske system, bør Kommissionen i behørigt begrundede tilfælde kunne indrømme den pågældende medlemsstat undtagelser. Sådanne undtagelser bør være midlertidige og indrømmes for en periode på højst </w:t>
            </w:r>
            <w:r>
              <w:rPr>
                <w:b/>
                <w:i/>
              </w:rPr>
              <w:t>tre</w:t>
            </w:r>
            <w:r>
              <w:t xml:space="preserve"> år. Kommissionen bør yde støtte til de berørte medlemsstater i deres bestræbelser på at gennemføre de nødvendige tilpasninger af deres statistiske systemer, så undtagelserne kan bringes til ophør hurtigst muligt.</w:t>
            </w:r>
          </w:p>
        </w:tc>
        <w:tc>
          <w:tcPr>
            <w:tcW w:w="4876" w:type="dxa"/>
            <w:tcBorders>
              <w:top w:val="nil"/>
              <w:left w:val="nil"/>
              <w:bottom w:val="nil"/>
              <w:right w:val="nil"/>
            </w:tcBorders>
          </w:tcPr>
          <w:p>
            <w:pPr>
              <w:pStyle w:val="Normal6a"/>
            </w:pPr>
            <w:r>
              <w:t>(18)</w:t>
            </w:r>
            <w:r>
              <w:tab/>
            </w:r>
            <w:r>
              <w:t xml:space="preserve">Hvis anvendelsen af denne forordning vil kræve </w:t>
            </w:r>
            <w:r>
              <w:rPr>
                <w:b/>
                <w:i/>
              </w:rPr>
              <w:t>omfattende</w:t>
            </w:r>
            <w:r>
              <w:t xml:space="preserve"> tilpasninger af en medlemsstats nationale statistiske system </w:t>
            </w:r>
            <w:r>
              <w:rPr>
                <w:b/>
                <w:i/>
              </w:rPr>
              <w:t>– især hvis væsentlige dele af de administrative procedurer</w:t>
            </w:r>
            <w:r>
              <w:t xml:space="preserve">, </w:t>
            </w:r>
            <w:r>
              <w:rPr>
                <w:b/>
                <w:i/>
              </w:rPr>
              <w:t>der er nødvendige for dataindsamling, endnu ikke er digitaliseret –</w:t>
            </w:r>
            <w:r>
              <w:t xml:space="preserve"> bør Kommissionen i behørigt begrundede tilfælde kunne indrømme den pågældende medlemsstat undtagelser. Sådanne undtagelser bør være midlertidige og indrømmes for en periode på højst </w:t>
            </w:r>
            <w:r>
              <w:rPr>
                <w:b/>
                <w:i/>
              </w:rPr>
              <w:t>fem</w:t>
            </w:r>
            <w:r>
              <w:t xml:space="preserve"> år. Kommissionen bør yde støtte til de berørte medlemsstater i deres bestræbelser på at gennemføre de nødvendige tilpasninger af deres statistiske systemer, så undtagelserne kan bringes til ophør hurtigst muligt.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Hvis anvendelsen af denne forordning </w:t>
            </w:r>
            <w:r>
              <w:rPr>
                <w:b/>
                <w:i/>
              </w:rPr>
              <w:t>eller af gennemførelsesretsakter, der vedtages i medfør heraf,</w:t>
            </w:r>
            <w:r>
              <w:t xml:space="preserve"> vil kræve større tilpasninger af en medlemsstats nationale statistiske system, bør Kommissionen i behørigt begrundede tilfælde kunne indrømme den pågældende medlemsstat undtagelser. Sådanne undtagelser bør være midlertidige og indrømmes for en periode på højst </w:t>
            </w:r>
            <w:r>
              <w:rPr>
                <w:b/>
                <w:i/>
              </w:rPr>
              <w:t>tre</w:t>
            </w:r>
            <w:r>
              <w:t xml:space="preserve"> år. Kommissionen bør yde støtte til de berørte medlemsstater i deres bestræbelser på at gennemføre de nødvendige tilpasninger af deres statistiske systemer, så undtagelserne kan bringes til ophør hurtigst muligt.</w:t>
            </w:r>
          </w:p>
        </w:tc>
        <w:tc>
          <w:tcPr>
            <w:tcW w:w="4876" w:type="dxa"/>
            <w:tcBorders>
              <w:top w:val="nil"/>
              <w:left w:val="nil"/>
              <w:bottom w:val="nil"/>
              <w:right w:val="nil"/>
            </w:tcBorders>
          </w:tcPr>
          <w:p>
            <w:pPr>
              <w:pStyle w:val="Normal6a"/>
            </w:pPr>
            <w:r>
              <w:t>(18)</w:t>
            </w:r>
            <w:r>
              <w:tab/>
            </w:r>
            <w:r>
              <w:t xml:space="preserve">Hvis anvendelsen af denne forordning vil kræve større tilpasninger af en medlemsstats nationale statistiske system, bør Kommissionen i behørigt begrundede tilfælde kunne indrømme den pågældende medlemsstat undtagelser. Sådanne undtagelser bør være midlertidige og indrømmes for en periode på højst </w:t>
            </w:r>
            <w:r>
              <w:rPr>
                <w:b/>
                <w:i/>
              </w:rPr>
              <w:t>fem</w:t>
            </w:r>
            <w:r>
              <w:t xml:space="preserve"> år. Kommissionen bør yde støtte til de berørte medlemsstater i deres bestræbelser på at gennemføre de nødvendige tilpasninger af deres statistiske systemer, så undtagelserne kan bringes til ophør hurtigst muligt.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2 – stk. 1 – nr. 2 – litra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almennyttige boliger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Ejendomme, der anvendes til ikkemarkedsmæssige aktiviteter, såsom socialt boligbyggeri, bør ikke medtages i statistikkerne over erhvervsejendomme.</w:t>
      </w:r>
      <w:r>
        <w:t xml:space="preserve"> </w:t>
      </w:r>
      <w:r>
        <w:t>Dette er i overensstemmelse med Eurostats rapport med titlen "Commercial property price indicators:</w:t>
      </w:r>
      <w:r>
        <w:t xml:space="preserve"> </w:t>
      </w:r>
      <w:r>
        <w:t>sources, methods and issues".</w:t>
      </w:r>
    </w:p>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2 – stk. 1 – nr.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"almennyttig bolig":</w:t>
            </w:r>
            <w:r>
              <w:t xml:space="preserve"> </w:t>
            </w:r>
            <w:r>
              <w:rPr>
                <w:b/>
                <w:i/>
              </w:rPr>
              <w:t>enhver beboelsesejendom, der erhverves, ejes eller forvaltes af en juridisk person med det primære formål at udleje den til lejere, navnlig til mindrebemidlede eller vanskeligt stillede samfundsgrupper, til en husleje under markedsprisen, i overensstemmelse med specifikke regler snarere end markedsmekanismer.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3 – stk.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Med henblik på udarbejdelsen af de statistikker, der kræves i henhold til denne forordning, </w:t>
            </w:r>
            <w:r>
              <w:rPr>
                <w:b/>
                <w:i/>
              </w:rPr>
              <w:t>bestræber</w:t>
            </w:r>
            <w:r>
              <w:t xml:space="preserve"> medlemsstaterne </w:t>
            </w:r>
            <w:r>
              <w:rPr>
                <w:b/>
                <w:i/>
              </w:rPr>
              <w:t>sig på i videst muligt omfang at anvende</w:t>
            </w:r>
            <w:r>
              <w:t xml:space="preserve"> administrative data </w:t>
            </w:r>
            <w:r>
              <w:rPr>
                <w:b/>
                <w:i/>
              </w:rPr>
              <w:t>for at reducere responsbyrden</w:t>
            </w:r>
            <w:r>
              <w:t>.</w:t>
            </w:r>
          </w:p>
        </w:tc>
        <w:tc>
          <w:tcPr>
            <w:tcW w:w="4876" w:type="dxa"/>
            <w:tcBorders>
              <w:top w:val="nil"/>
              <w:left w:val="nil"/>
              <w:bottom w:val="nil"/>
              <w:right w:val="nil"/>
            </w:tcBorders>
          </w:tcPr>
          <w:p>
            <w:pPr>
              <w:pStyle w:val="Normal6a"/>
            </w:pPr>
            <w:r>
              <w:t>Med henblik på udarbejdelsen af de statistikker, der kræves i henhold til denne forordning, </w:t>
            </w:r>
            <w:r>
              <w:rPr>
                <w:b/>
                <w:i/>
              </w:rPr>
              <w:t>anvender</w:t>
            </w:r>
            <w:r>
              <w:t xml:space="preserve"> medlemsstaterne </w:t>
            </w:r>
            <w:r>
              <w:rPr>
                <w:b/>
                <w:i/>
              </w:rPr>
              <w:t>udelukkende eksisterende</w:t>
            </w:r>
            <w:r>
              <w:t xml:space="preserve"> administrative data.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3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Når administrative data ikke gør det muligt at udarbejde statistikker, der opfylder kvalitetskravene i denne forordnings artikel 6, kan medlemsstaterne tillige anvende andre relevante datakilder, herunder undersøgelser og data fra private dataindehavere, samt videnskabeligt baserede, veldokumenterede og offentligt tilgængelige metoder eller innovative tilgange, samtidig med at det undgås, at respondenterne pålægges uforholdsmæssigt store byrder.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3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Når administrative data ikke gør det muligt at udarbejde statistikker, der opfylder kvalitetskravene i denne forordnings artikel 6, kan medlemsstaterne tillige anvende andre relevante datakilder, herunder undersøgelser og data fra private dataindehavere, samt videnskabeligt baserede, veldokumenterede og offentligt tilgængelige metoder eller innovative tilgange, samtidig med at det undgås, at respondenterne pålægges uforholdsmæssigt store byrder.</w:t>
            </w:r>
          </w:p>
        </w:tc>
        <w:tc>
          <w:tcPr>
            <w:tcW w:w="4876" w:type="dxa"/>
            <w:tcBorders>
              <w:top w:val="nil"/>
              <w:left w:val="nil"/>
              <w:bottom w:val="nil"/>
              <w:right w:val="nil"/>
            </w:tcBorders>
          </w:tcPr>
          <w:p>
            <w:pPr>
              <w:pStyle w:val="Normal6a"/>
            </w:pPr>
            <w:r>
              <w:t xml:space="preserve">Når administrative data ikke gør det muligt at udarbejde statistikker, der opfylder kvalitetskravene i denne forordnings artikel 6, kan medlemsstaterne tillige anvende andre relevante datakilder, herunder undersøgelser og data fra private dataindehavere, samt videnskabeligt baserede, veldokumenterede og offentligt tilgængelige metoder eller innovative tilgange, samtidig med at det undgås, at respondenterne pålægges uforholdsmæssigt store byrder </w:t>
            </w:r>
            <w:r>
              <w:rPr>
                <w:b/>
                <w:i/>
              </w:rPr>
              <w:t>og uforholdsmæssigt store økonomiske byrder</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De oplysninger, der er nødvendige for at udarbejde ikkefinansielle statistikker over erhvervsejendomme, indhentes fra statistiske enheder som fastsat i Rådets forordning (EØF) nr. 696/93, indehavere af administrative registre</w:t>
            </w:r>
            <w:r>
              <w:rPr>
                <w:b/>
                <w:i/>
              </w:rPr>
              <w:t>, private dataindehavere</w:t>
            </w:r>
            <w:r>
              <w:t xml:space="preserve"> eller andre kilder, forudsat at resultaterne opfylder kvalitetskriterierne i nærværende forordnings artikel 6.</w:t>
            </w:r>
          </w:p>
        </w:tc>
        <w:tc>
          <w:tcPr>
            <w:tcW w:w="4876" w:type="dxa"/>
            <w:tcBorders>
              <w:top w:val="nil"/>
              <w:left w:val="nil"/>
              <w:bottom w:val="nil"/>
              <w:right w:val="nil"/>
            </w:tcBorders>
          </w:tcPr>
          <w:p>
            <w:pPr>
              <w:pStyle w:val="Normal6a"/>
            </w:pPr>
            <w:r>
              <w:t>1.</w:t>
            </w:r>
            <w:r>
              <w:tab/>
            </w:r>
            <w:r>
              <w:t>De oplysninger, der er nødvendige for at udarbejde ikkefinansielle statistikker over erhvervsejendomme, indhentes fra statistiske enheder som fastsat i Rådets forordning (EØF) nr. 696/93, indehavere af administrative registre eller andre kilder, forudsat at resultaterne opfylder kvalitetskriterierne i nærværende forordnings artikel 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r>
        <w:rPr>
          <w:rStyle w:val="HideTWBExt"/>
          <w:b w:val="0"/>
        </w:rPr>
        <w:t>&lt;AuNomDe&gt;</w:t>
      </w:r>
      <w:r>
        <w:rPr>
          <w:rStyle w:val="HideTWBInt"/>
        </w:rPr>
        <w:t>{The Left}</w:t>
      </w:r>
      <w:r>
        <w:t>for The Left-Gruppen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De statistiske enheder, der leverer oplysninger om erhvervsejendomme, samarbejder efter behov om indsamlingen eller leveringen af oplysninger. De statistiske enheder skal levere rettidige, nøjagtige og fuldstændige oplysninger til brug for udarbejdelse af de statistikker, der er omhandlet i denne forordning. De statistiske enheder fremsender disse oplysninger til de nationale statistikmyndigheder, der er ansvarlige for udarbejdelsen af ikkefinansielle statistikker over erhvervsejendomme.</w:t>
            </w:r>
          </w:p>
        </w:tc>
        <w:tc>
          <w:tcPr>
            <w:tcW w:w="4876" w:type="dxa"/>
            <w:tcBorders>
              <w:top w:val="nil"/>
              <w:left w:val="nil"/>
              <w:bottom w:val="nil"/>
              <w:right w:val="nil"/>
            </w:tcBorders>
          </w:tcPr>
          <w:p>
            <w:pPr>
              <w:pStyle w:val="Normal6a"/>
            </w:pPr>
            <w:r>
              <w:t>2.</w:t>
            </w:r>
            <w:r>
              <w:tab/>
            </w:r>
            <w:r>
              <w:t xml:space="preserve">De statistiske enheder, der leverer oplysninger om erhvervsejendomme, samarbejder efter behov om indsamlingen eller leveringen af oplysninger. De statistiske enheder skal levere rettidige, nøjagtige og fuldstændige oplysninger til brug for udarbejdelse af de statistikker, der er omhandlet i denne forordning. De statistiske enheder fremsender disse oplysninger til de nationale statistikmyndigheder, der er ansvarlige for udarbejdelsen af ikkefinansielle statistikker over erhvervsejendomme. </w:t>
            </w:r>
            <w:r>
              <w:rPr>
                <w:b/>
                <w:i/>
              </w:rPr>
              <w:t>Oplysningerne gives i et elektronisk og maskinlæsbart format.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Data bør leveres i et elektronisk og maskinlæsbart format for at sikre interoperabilitet og lette automatiseret anvendelse.</w:t>
      </w:r>
    </w:p>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Jussi Saramo</w:t>
      </w:r>
      <w:r>
        <w:rPr>
          <w:rStyle w:val="HideTWBExt"/>
          <w:b w:val="0"/>
        </w:rPr>
        <w:t>&lt;/Members&gt;</w:t>
      </w:r>
    </w:p>
    <w:p>
      <w:r>
        <w:rPr>
          <w:rStyle w:val="HideTWBExt"/>
          <w:b w:val="0"/>
        </w:rPr>
        <w:t>&lt;AuNomDe&gt;</w:t>
      </w:r>
      <w:r>
        <w:rPr>
          <w:rStyle w:val="HideTWBInt"/>
        </w:rPr>
        <w:t>{The Left}</w:t>
      </w:r>
      <w:r>
        <w:t>for The Left-Gruppen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Efter anmodning fra de nationale statistikmyndigheder, der er ansvarlige for udarbejdelsen af ikkefinansielle statistikker over erhvervsejendomme, forelægger de statistiske enheder elektroniske registreringer af transaktioner, såfremt de foreligger, med den detaljeringsgrad, der er nødvendig for at udarbejde ikkefinansielle statistikker over erhvervsejendomme.</w:t>
            </w:r>
          </w:p>
        </w:tc>
        <w:tc>
          <w:tcPr>
            <w:tcW w:w="4876" w:type="dxa"/>
            <w:tcBorders>
              <w:top w:val="nil"/>
              <w:left w:val="nil"/>
              <w:bottom w:val="nil"/>
              <w:right w:val="nil"/>
            </w:tcBorders>
          </w:tcPr>
          <w:p>
            <w:pPr>
              <w:pStyle w:val="Normal6a"/>
            </w:pPr>
            <w:r>
              <w:t>3.</w:t>
            </w:r>
            <w:r>
              <w:tab/>
            </w:r>
            <w:r>
              <w:t xml:space="preserve">Efter anmodning fra de nationale statistikmyndigheder, der er ansvarlige for udarbejdelsen af ikkefinansielle statistikker over erhvervsejendomme, forelægger de statistiske enheder elektroniske </w:t>
            </w:r>
            <w:r>
              <w:rPr>
                <w:b/>
                <w:i/>
              </w:rPr>
              <w:t>og maskinlæsbare</w:t>
            </w:r>
            <w:r>
              <w:t xml:space="preserve"> registreringer af transaktioner, såfremt de foreligger, med den detaljeringsgrad, der er nødvendig for at udarbejde ikkefinansielle statistikker over erhvervsejendomme.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Data bør leveres i et maskinlæsbart format (ikke blot "elektronisk") for at sikre interoperabilitet og lette automatiseret anvendelse.</w:t>
      </w:r>
    </w:p>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De nationale statistiske kontorer og andre nationale statistikmyndigheder skal have mulighed for gratis at tilgå, anvende og integrere data og de relevante metadata fra administrative datakilder, databaser, interoperabilitetssystemer eller data, der er relevante og nødvendige, rettidigt og med tilstrækkelig hyppighed og detaljeringsgrad med henblik på at udvikle</w:t>
            </w:r>
            <w:r>
              <w:rPr>
                <w:b/>
                <w:i/>
              </w:rPr>
              <w:t>,</w:t>
            </w:r>
            <w:r>
              <w:t xml:space="preserve"> udarbejde </w:t>
            </w:r>
            <w:r>
              <w:rPr>
                <w:b/>
                <w:i/>
              </w:rPr>
              <w:t>og formidle</w:t>
            </w:r>
            <w:r>
              <w:t xml:space="preserve"> europæiske ikkefinansielle statistikker over erhvervsejendomme i overensstemmelse med artikel 17a i forordning (EF) nr. 223/2009. Adgang til sådanne data og metadata for de nationale statistikmyndigheder, der er ansvarlige for at udarbejde ikkefinansielle statistikker over erhvervsejendomme, begrænses til administrative registre inden for deres respektive offentlige administrative systemer.</w:t>
            </w:r>
          </w:p>
        </w:tc>
        <w:tc>
          <w:tcPr>
            <w:tcW w:w="4876" w:type="dxa"/>
            <w:tcBorders>
              <w:top w:val="nil"/>
              <w:left w:val="nil"/>
              <w:bottom w:val="nil"/>
              <w:right w:val="nil"/>
            </w:tcBorders>
          </w:tcPr>
          <w:p>
            <w:pPr>
              <w:pStyle w:val="Normal6a"/>
            </w:pPr>
            <w:r>
              <w:t>4.</w:t>
            </w:r>
            <w:r>
              <w:tab/>
            </w:r>
            <w:r>
              <w:t xml:space="preserve">De nationale statistiske kontorer og andre nationale statistikmyndigheder skal have mulighed for gratis at tilgå, anvende og integrere data og de relevante metadata fra administrative datakilder, databaser, interoperabilitetssystemer eller data, der er relevante og nødvendige, rettidigt og med tilstrækkelig hyppighed og detaljeringsgrad med henblik på at udvikle </w:t>
            </w:r>
            <w:r>
              <w:rPr>
                <w:b/>
                <w:i/>
              </w:rPr>
              <w:t>og</w:t>
            </w:r>
            <w:r>
              <w:t xml:space="preserve"> udarbejde europæiske ikkefinansielle statistikker over erhvervsejendomme i overensstemmelse med artikel 17a i forordning (EF) nr. 223/2009. Adgang til sådanne data og metadata for de nationale statistikmyndigheder, der er ansvarlige for at udarbejde ikkefinansielle statistikker over erhvervsejendomme, begrænses til administrative registre inden for deres respektive offentlige administrative systemer.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Et nationalt statistisk kontor eller Kommissionen (Eurostat) kan anmode en privat dataindehaver om gratis at stille data og de relevante metadata til rådighed, hvis de data, der anmodes om, er strengt nødvendige for udvikling, udarbejdelse og formidling af europæiske statistikker over erhvervsejendomme og ikke kan opnås på anden vis, eller hvis videreanvendelse heraf vil medføre en betydelig reduktion af responsbyrden for dataindehavere og andre virksomheder i overensstemmelse med artikel 17b i forordning (EF) nr. 223/2009.</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Et nationalt statistisk kontor eller Kommissionen (Eurostat) kan anmode en privat dataindehaver om gratis at stille data og de relevante metadata til rådighed, hvis de data, der anmodes om, er strengt nødvendige for udvikling</w:t>
            </w:r>
            <w:r>
              <w:rPr>
                <w:b/>
                <w:i/>
              </w:rPr>
              <w:t>,</w:t>
            </w:r>
            <w:r>
              <w:t xml:space="preserve"> udarbejdelse </w:t>
            </w:r>
            <w:r>
              <w:rPr>
                <w:b/>
                <w:i/>
              </w:rPr>
              <w:t>og formidling</w:t>
            </w:r>
            <w:r>
              <w:t xml:space="preserve"> af europæiske statistikker over erhvervsejendomme og ikke kan opnås på anden vis, eller hvis videreanvendelse heraf vil medføre en betydelig reduktion af responsbyrden for dataindehavere og andre virksomheder i overensstemmelse med artikel 17b i forordning (EF) nr. 223/2009.</w:t>
            </w:r>
          </w:p>
        </w:tc>
        <w:tc>
          <w:tcPr>
            <w:tcW w:w="4876" w:type="dxa"/>
            <w:tcBorders>
              <w:top w:val="nil"/>
              <w:left w:val="nil"/>
              <w:bottom w:val="nil"/>
              <w:right w:val="nil"/>
            </w:tcBorders>
          </w:tcPr>
          <w:p>
            <w:pPr>
              <w:pStyle w:val="Normal6a"/>
            </w:pPr>
            <w:r>
              <w:t>5.</w:t>
            </w:r>
            <w:r>
              <w:tab/>
            </w:r>
            <w:r>
              <w:t xml:space="preserve">Et nationalt statistisk kontor eller Kommissionen (Eurostat) kan anmode en privat dataindehaver om gratis at stille data og de relevante metadata til rådighed, hvis de data, der anmodes om, er strengt nødvendige for udvikling </w:t>
            </w:r>
            <w:r>
              <w:rPr>
                <w:b/>
                <w:i/>
              </w:rPr>
              <w:t>og</w:t>
            </w:r>
            <w:r>
              <w:t xml:space="preserve"> udarbejdelse af europæiske statistikker over erhvervsejendomme og ikke kan opnås på anden vis, eller hvis videreanvendelse heraf vil medføre en betydelig reduktion af responsbyrden for dataindehavere og andre virksomheder i overensstemmelse med artikel 17b i forordning (EF) nr. 223/2009. </w:t>
            </w:r>
            <w:r>
              <w:rPr>
                <w:b/>
                <w:i/>
              </w:rPr>
              <w:t>Enhver overførsel, offentliggørelse eller anden anvendelse af data og metadata, som er modtaget af private dataindehavere, uden for det ansvarsområde, som et nationalt statistisk kontor eller Kommissionen (Eurostat) har, er betinget af den pågældende private dataindehavers udtrykkelige skriftlige samtykke.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4 – stk.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Et nationalt statistisk kontor eller Kommissionen (Eurostat) kan anmode en privat dataindehaver om gratis at stille data og de relevante metadata til rådighed, hvis de data, der anmodes om, er strengt nødvendige for udvikling, udarbejdelse og formidling af europæiske statistikker over erhvervsejendomme og ikke kan opnås på anden vis, eller hvis videreanvendelse heraf vil medføre en betydelig reduktion af responsbyrden for dataindehavere og andre virksomheder i overensstemmelse med artikel 17b i forordning (EF) nr. 223/2009.</w:t>
            </w:r>
          </w:p>
        </w:tc>
        <w:tc>
          <w:tcPr>
            <w:tcW w:w="4876" w:type="dxa"/>
            <w:tcBorders>
              <w:top w:val="nil"/>
              <w:left w:val="nil"/>
              <w:bottom w:val="nil"/>
              <w:right w:val="nil"/>
            </w:tcBorders>
          </w:tcPr>
          <w:p>
            <w:pPr>
              <w:pStyle w:val="Normal6a"/>
            </w:pPr>
            <w:r>
              <w:t>5.</w:t>
            </w:r>
            <w:r>
              <w:tab/>
            </w:r>
            <w:r>
              <w:t xml:space="preserve">Et nationalt statistisk kontor eller Kommissionen (Eurostat) kan anmode en privat dataindehaver om gratis at stille data og de relevante metadata til rådighed, hvis de data, der anmodes om, er strengt nødvendige for udvikling, udarbejdelse og formidling af europæiske statistikker over erhvervsejendomme og ikke kan opnås på anden vis, eller hvis videreanvendelse heraf vil medføre en betydelig reduktion af responsbyrden for dataindehavere og andre virksomheder i overensstemmelse med artikel 17b i forordning (EF) nr. 223/2009. </w:t>
            </w:r>
            <w:r>
              <w:rPr>
                <w:b/>
                <w:i/>
              </w:rPr>
              <w:t>De nationale statistiske kontorers og Kommissionens ret til at anmode private dataindehavere om data må ikke pålægge virksomheder eller foreninger en uforholdsmæssig stor økonomisk byrde.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Medlemsstaterne udarbejder data, der er relevante for hver af de variabler, der er omhandlet i stk. 1, og fremsender dem til Kommissionen (Eurostat).</w:t>
            </w:r>
          </w:p>
        </w:tc>
        <w:tc>
          <w:tcPr>
            <w:tcW w:w="4876" w:type="dxa"/>
            <w:tcBorders>
              <w:top w:val="nil"/>
              <w:left w:val="nil"/>
              <w:bottom w:val="nil"/>
              <w:right w:val="nil"/>
            </w:tcBorders>
          </w:tcPr>
          <w:p>
            <w:pPr>
              <w:pStyle w:val="Normal6a"/>
            </w:pPr>
            <w:r>
              <w:t>2.</w:t>
            </w:r>
            <w:r>
              <w:tab/>
            </w:r>
            <w:r>
              <w:t xml:space="preserve">Medlemsstaterne udarbejder data, der er relevante for hver af de variabler, der er omhandlet i stk. 1, og fremsender dem til Kommissionen (Eurostat). </w:t>
            </w:r>
            <w:r>
              <w:rPr>
                <w:b/>
                <w:i/>
              </w:rPr>
              <w:t>Medlemsstater med et lille marked for erhvervsejendomme udarbejder disse data en gang om året.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Irene Tinagli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Medlemsstaterne udarbejder data, der er relevante for hver af de variabler, der er omhandlet i stk. 1, og fremsender dem til Kommissionen (Eurostat).</w:t>
            </w:r>
          </w:p>
        </w:tc>
        <w:tc>
          <w:tcPr>
            <w:tcW w:w="4876" w:type="dxa"/>
            <w:tcBorders>
              <w:top w:val="nil"/>
              <w:left w:val="nil"/>
              <w:bottom w:val="nil"/>
              <w:right w:val="nil"/>
            </w:tcBorders>
          </w:tcPr>
          <w:p>
            <w:pPr>
              <w:pStyle w:val="Normal6a"/>
            </w:pPr>
            <w:r>
              <w:t>2.</w:t>
            </w:r>
            <w:r>
              <w:tab/>
            </w:r>
            <w:r>
              <w:t xml:space="preserve">Medlemsstaterne udarbejder data, der er relevante for hver af de variabler, der er omhandlet i stk. 1, og fremsender dem til Kommissionen (Eurostat). </w:t>
            </w:r>
            <w:r>
              <w:rPr>
                <w:b/>
                <w:i/>
              </w:rPr>
              <w:t>Dataene indberettes på NUTS 3-niveau, hvis sådanne foreligger, og under alle omstændigheder på NUTS 2-niveau.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Medlemsstaterne udarbejder data, der er relevante for hver af de variabler, der er omhandlet i stk. 1, og fremsender dem til Kommissionen (Eurostat).</w:t>
            </w:r>
          </w:p>
        </w:tc>
        <w:tc>
          <w:tcPr>
            <w:tcW w:w="4876" w:type="dxa"/>
            <w:tcBorders>
              <w:top w:val="nil"/>
              <w:left w:val="nil"/>
              <w:bottom w:val="nil"/>
              <w:right w:val="nil"/>
            </w:tcBorders>
          </w:tcPr>
          <w:p>
            <w:pPr>
              <w:pStyle w:val="Normal6a"/>
            </w:pPr>
            <w:r>
              <w:t>2.</w:t>
            </w:r>
            <w:r>
              <w:tab/>
            </w:r>
            <w:r>
              <w:t xml:space="preserve">Medlemsstaterne udarbejder </w:t>
            </w:r>
            <w:r>
              <w:rPr>
                <w:b/>
                <w:i/>
              </w:rPr>
              <w:t>som minimum hvert kvartal</w:t>
            </w:r>
            <w:r>
              <w:t xml:space="preserve"> data, der er relevante for hver af de variabler, der er omhandlet i stk. 1, og fremsender dem til Kommissionen (Eurostat).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Medlemsstaterne udarbejder data, der er relevante for hver af de variabler, der er omhandlet i stk. 1, og fremsender dem til Kommissionen (Eurostat).</w:t>
            </w:r>
          </w:p>
        </w:tc>
        <w:tc>
          <w:tcPr>
            <w:tcW w:w="4876" w:type="dxa"/>
            <w:tcBorders>
              <w:top w:val="nil"/>
              <w:left w:val="nil"/>
              <w:bottom w:val="nil"/>
              <w:right w:val="nil"/>
            </w:tcBorders>
          </w:tcPr>
          <w:p>
            <w:pPr>
              <w:pStyle w:val="Normal6a"/>
            </w:pPr>
            <w:r>
              <w:t>2.</w:t>
            </w:r>
            <w:r>
              <w:tab/>
            </w:r>
            <w:r>
              <w:t xml:space="preserve">Medlemsstaterne udarbejder </w:t>
            </w:r>
            <w:r>
              <w:rPr>
                <w:b/>
                <w:i/>
              </w:rPr>
              <w:t>hvert år</w:t>
            </w:r>
            <w:r>
              <w:t xml:space="preserve"> data, der er relevante for hver af de variabler, der er omhandlet i stk. 1, og fremsender dem til Kommissionen (Eurostat).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Medlemsstaterne udarbejder data, der er relevante for hver af de variabler, der er omhandlet i stk. 1, og fremsender dem til Kommissionen (Eurostat).</w:t>
            </w:r>
          </w:p>
        </w:tc>
        <w:tc>
          <w:tcPr>
            <w:tcW w:w="4876" w:type="dxa"/>
            <w:tcBorders>
              <w:top w:val="nil"/>
              <w:left w:val="nil"/>
              <w:bottom w:val="nil"/>
              <w:right w:val="nil"/>
            </w:tcBorders>
          </w:tcPr>
          <w:p>
            <w:pPr>
              <w:pStyle w:val="Normal6a"/>
            </w:pPr>
            <w:r>
              <w:t>2.</w:t>
            </w:r>
            <w:r>
              <w:tab/>
            </w:r>
            <w:r>
              <w:t xml:space="preserve">Medlemsstaterne udarbejder </w:t>
            </w:r>
            <w:r>
              <w:rPr>
                <w:b/>
                <w:i/>
              </w:rPr>
              <w:t>hvert år</w:t>
            </w:r>
            <w:r>
              <w:t xml:space="preserve"> data, der er relevante for hver af de variabler, der er omhandlet i stk. 1, og fremsender dem til Kommissionen (Eurostat).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Kommissionen tillægges beføjelse til at vedtage delegerede retsakter i overensstemmelse med artikel 9 for at ændre listen over variabler i bilaget.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Kommissionen tillægges beføjelse til at vedtage delegerede retsakter i overensstemmelse med artikel 9 for at ændre listen over variabler i bilaget.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Dette bør være en beføjelse for fælleslovgiveren.</w:t>
      </w:r>
    </w:p>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Kommissionen tillægges beføjelse til at vedtage delegerede retsakter i overensstemmelse med artikel 9 for at ændre listen over variabler i bilaget</w:t>
            </w:r>
            <w:r>
              <w:t>.</w:t>
            </w:r>
          </w:p>
        </w:tc>
        <w:tc>
          <w:tcPr>
            <w:tcW w:w="4876" w:type="dxa"/>
            <w:tcBorders>
              <w:top w:val="nil"/>
              <w:left w:val="nil"/>
              <w:bottom w:val="nil"/>
              <w:right w:val="nil"/>
            </w:tcBorders>
          </w:tcPr>
          <w:p>
            <w:pPr>
              <w:pStyle w:val="Normal6a"/>
            </w:pPr>
            <w:r>
              <w:t>3.</w:t>
            </w:r>
            <w:r>
              <w:tab/>
            </w:r>
            <w:r>
              <w:rPr>
                <w:b/>
                <w:i/>
              </w:rPr>
              <w:t>Variablerne i bilag I er defineret på udtømmende vis i denne forordning</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Kommissionen sikrer ved udøvelsen af beføjelsen til at vedtage delegerede retsakter, at de delegerede retsakter ikke pålægger medlemsstaterne og respondenterne en væsentlig yderligere omkostning eller byrde.</w:t>
            </w:r>
            <w:r>
              <w:t xml:space="preserve"> </w:t>
            </w:r>
            <w:r>
              <w:rPr>
                <w:b/>
                <w:i/>
              </w:rPr>
              <w:t>For at vurdere potentielle nye datakravs omkostninger, byrde og gennemførlighed, herunder gøre eksisterende frivillige datakrav obligatoriske, skal der gennemføres pilotundersøgelser i overensstemmelse med artikel 7, og resultaterne heraf vurderes behørigt og tages i betragtning inden vedtagelsen af den delegerede retsakt.</w:t>
            </w:r>
            <w:r>
              <w:t xml:space="preserve"> </w:t>
            </w:r>
            <w:r>
              <w:rPr>
                <w:b/>
                <w:i/>
              </w:rPr>
              <w:t>Der indføres kun nye variabler, hvis pilotundersøgelserne viser, at det er muligt at indsamle disse variabler i alle medlemsstaterne.</w:t>
            </w:r>
            <w:r>
              <w:t xml:space="preserve"> </w:t>
            </w:r>
            <w:r>
              <w:rPr>
                <w:b/>
                <w:i/>
              </w:rPr>
              <w:t>De pilotundersøgelser, der er omhandlet i dette stykke, finansieres i overensstemmelse med artikel 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Variablerne i bilag I er defineret på udtømmende vis i denne forordning.</w:t>
            </w:r>
            <w:r>
              <w:t xml:space="preserve"> </w:t>
            </w:r>
            <w:r>
              <w:rPr>
                <w:b/>
                <w:i/>
              </w:rPr>
              <w:t>Ændringer må udelukkende foretages efter den almindelige lovgivningsprocedure.</w:t>
            </w:r>
            <w:r>
              <w:t xml:space="preserve"> </w:t>
            </w:r>
            <w:r>
              <w:rPr>
                <w:b/>
                <w:i/>
              </w:rPr>
              <w:t>Gennemførelsesretsakter må udelukkende vedrøre tekniske detaljer, der ikke fører til nye eller udvidede rapporteringskrav.</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Kommissionen kan ved hjælp af gennemførelsesretsakter præcisere følgende elementer i de data, der skal fremsendes, og deres tekniske definitioner og forenklinger:</w:t>
            </w:r>
          </w:p>
        </w:tc>
        <w:tc>
          <w:tcPr>
            <w:tcW w:w="4876" w:type="dxa"/>
            <w:tcBorders>
              <w:top w:val="nil"/>
              <w:left w:val="nil"/>
              <w:bottom w:val="nil"/>
              <w:right w:val="nil"/>
            </w:tcBorders>
          </w:tcPr>
          <w:p>
            <w:pPr>
              <w:pStyle w:val="Normal6a"/>
            </w:pPr>
            <w:r>
              <w:rPr>
                <w:b/>
                <w:i/>
              </w:rPr>
              <w:t>udgår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måleenhed</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statistisk population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klassifikationer og opdelinger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indeksberegning</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anvendelse af approksimationer og kvalitetskrav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referenceperiode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frist for fremsendelse af data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 første referenceperiode.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Kommissionen kan ved hjælp af gennemførelsesretsakter præcisere følgende elementer i de data, der skal fremsendes, og deres tekniske definitioner og forenklinger:</w:t>
            </w:r>
          </w:p>
        </w:tc>
        <w:tc>
          <w:tcPr>
            <w:tcW w:w="4876" w:type="dxa"/>
            <w:tcBorders>
              <w:top w:val="nil"/>
              <w:left w:val="nil"/>
              <w:bottom w:val="nil"/>
              <w:right w:val="nil"/>
            </w:tcBorders>
          </w:tcPr>
          <w:p>
            <w:pPr>
              <w:pStyle w:val="Normal6a"/>
            </w:pPr>
            <w:r>
              <w:rPr>
                <w:b/>
                <w:i/>
              </w:rPr>
              <w:t>udgår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måleenhed</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statistisk population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klassifikationer og opdelinger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 indeksberegning</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 anvendelse af approksimationer og kvalitetskrav</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 referenceperiode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 frist for fremsendelse af data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 første referenceperiode.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indledning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Kommissionen </w:t>
            </w:r>
            <w:r>
              <w:rPr>
                <w:b/>
                <w:i/>
              </w:rPr>
              <w:t>kan</w:t>
            </w:r>
            <w:r>
              <w:t xml:space="preserve"> ved hjælp af gennemførelsesretsakter </w:t>
            </w:r>
            <w:r>
              <w:rPr>
                <w:b/>
                <w:i/>
              </w:rPr>
              <w:t>præcisere</w:t>
            </w:r>
            <w:r>
              <w:t xml:space="preserve"> følgende elementer i de data, der skal fremsendes, og deres tekniske definitioner og forenklinger:</w:t>
            </w:r>
          </w:p>
        </w:tc>
        <w:tc>
          <w:tcPr>
            <w:tcW w:w="4876" w:type="dxa"/>
            <w:tcBorders>
              <w:top w:val="nil"/>
              <w:left w:val="nil"/>
              <w:bottom w:val="nil"/>
              <w:right w:val="nil"/>
            </w:tcBorders>
          </w:tcPr>
          <w:p>
            <w:pPr>
              <w:pStyle w:val="Normal6a"/>
            </w:pPr>
            <w:r>
              <w:t>4.</w:t>
            </w:r>
            <w:r>
              <w:tab/>
            </w:r>
            <w:r>
              <w:t xml:space="preserve">Kommissionen </w:t>
            </w:r>
            <w:r>
              <w:rPr>
                <w:b/>
                <w:i/>
              </w:rPr>
              <w:t>præciserer</w:t>
            </w:r>
            <w:r>
              <w:t xml:space="preserve"> ved hjælp af gennemførelsesretsakter følgende elementer i de data, der skal fremsendes, og deres tekniske definitioner og forenklinger: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måleenhed</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måleenhed</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statistisk population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statistisk population</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klassifikationer og opdelinger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klassifikationer og opdelinger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indeksberegning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indeksberegning</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anvendelse af approksimationer og kvalitetskrav</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anvendelse af approksimationer og kvalitetskrav</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referenceperiode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referenceperiode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w:t>
            </w:r>
            <w:r>
              <w:tab/>
            </w:r>
            <w:r>
              <w:rPr>
                <w:b/>
                <w:i/>
              </w:rPr>
              <w:t>frist for fremsendelse af data</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w:t>
            </w:r>
            <w:r>
              <w:tab/>
            </w:r>
            <w:r>
              <w:rPr>
                <w:b/>
                <w:i/>
              </w:rPr>
              <w:t>frist for fremsendelse af data</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w:t>
            </w:r>
            <w:r>
              <w:tab/>
            </w:r>
            <w:r>
              <w:rPr>
                <w:b/>
                <w:i/>
              </w:rPr>
              <w:t>første referenceperiode.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4 – litra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w:t>
            </w:r>
            <w:r>
              <w:tab/>
            </w:r>
            <w:r>
              <w:rPr>
                <w:b/>
                <w:i/>
              </w:rPr>
              <w:t>første referenceperiode.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Med hensyn til de opdelinger, der er omhandlet i stk. 4, litra c), skal Kommissionen som minimum: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skelne mellem erhvervsejendomme, der ejes af fysiske og juridiske personer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skelne mellem beboelsesejendomme og erhvervsejendomme, der ikke anvendes til beboelse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identificere korttidsudlejning.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5 – stk.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De i stk. 4 omhandlede gennemførelsesretsakter vedtages efter undersøgelsesproceduren, jf. artikel 10.</w:t>
            </w:r>
          </w:p>
        </w:tc>
        <w:tc>
          <w:tcPr>
            <w:tcW w:w="4876" w:type="dxa"/>
            <w:tcBorders>
              <w:top w:val="nil"/>
              <w:left w:val="nil"/>
              <w:bottom w:val="nil"/>
              <w:right w:val="nil"/>
            </w:tcBorders>
          </w:tcPr>
          <w:p>
            <w:pPr>
              <w:pStyle w:val="Normal6a"/>
            </w:pPr>
            <w:r>
              <w:t>6.</w:t>
            </w:r>
            <w:r>
              <w:tab/>
            </w:r>
            <w:r>
              <w:t>De i stk. 4 omhandlede gennemførelsesretsakter vedtages efter undersøgelsesproceduren, jf. artikel 10</w:t>
            </w:r>
            <w:r>
              <w:rPr>
                <w:b/>
                <w:i/>
              </w:rPr>
              <w:t>, senest 24 måneder før starten af den relevante referenceperiode</w:t>
            </w:r>
            <w:r>
              <w:t xml:space="preserve">. </w:t>
            </w:r>
            <w:r>
              <w:rPr>
                <w:b/>
                <w:i/>
              </w:rPr>
              <w:t>Kommissionen sikrer, at de gennemførelsesretsakter, der vedtages i henhold til dette stykke, overholder proportionalitetsprincippet og ikke pålægger medlemsstaterne eller virksomhederne en væsentlig yderligere omkostning eller byrde.</w:t>
            </w:r>
            <w:r>
              <w:t xml:space="preserve"> </w:t>
            </w:r>
            <w:r>
              <w:rPr>
                <w:b/>
                <w:i/>
              </w:rPr>
              <w:t>Der foretages pilotundersøgelser som omhandlet i artikel 7, og resultaterne heraf vurderes og tages behørigt i betragtning, inden der foretages ændringer af de dataelementer, der er omhandlet i denne artikels stk. 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6 – stk. 4 – litra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årlige</w:t>
            </w:r>
            <w:r>
              <w:t xml:space="preserve"> referencemetadata og kvalitetsrapporter</w:t>
            </w:r>
          </w:p>
        </w:tc>
        <w:tc>
          <w:tcPr>
            <w:tcW w:w="4876" w:type="dxa"/>
            <w:tcBorders>
              <w:top w:val="nil"/>
              <w:left w:val="nil"/>
              <w:bottom w:val="nil"/>
              <w:right w:val="nil"/>
            </w:tcBorders>
          </w:tcPr>
          <w:p>
            <w:pPr>
              <w:pStyle w:val="Normal6a"/>
            </w:pPr>
            <w:r>
              <w:t>a)</w:t>
            </w:r>
            <w:r>
              <w:tab/>
            </w:r>
            <w:r>
              <w:rPr>
                <w:b/>
                <w:i/>
              </w:rPr>
              <w:t>kvartalsvise</w:t>
            </w:r>
            <w:r>
              <w:t> referencemetadata og kvalitetsrapporter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7 – stk.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Hvis Kommissionen (Eurostat) konstaterer, at der er behov for væsentlige nye datakrav eller forbedringer af de data, der er omfattet af denne forordning, </w:t>
            </w:r>
            <w:r>
              <w:rPr>
                <w:b/>
                <w:i/>
              </w:rPr>
              <w:t>kan den iværksætte</w:t>
            </w:r>
            <w:r>
              <w:t xml:space="preserve"> pilotundersøgelser, der gennemføres af medlemsstaterne på frivillig basis, inden en ny dataindsamling.</w:t>
            </w:r>
          </w:p>
        </w:tc>
        <w:tc>
          <w:tcPr>
            <w:tcW w:w="4876" w:type="dxa"/>
            <w:tcBorders>
              <w:top w:val="nil"/>
              <w:left w:val="nil"/>
              <w:bottom w:val="nil"/>
              <w:right w:val="nil"/>
            </w:tcBorders>
          </w:tcPr>
          <w:p>
            <w:pPr>
              <w:pStyle w:val="Normal6a"/>
            </w:pPr>
            <w:r>
              <w:t>1.</w:t>
            </w:r>
            <w:r>
              <w:tab/>
            </w:r>
            <w:r>
              <w:t xml:space="preserve">Hvis Kommissionen (Eurostat) konstaterer, at der er behov for væsentlige nye datakrav eller forbedringer af de data, der er omfattet af denne forordning, </w:t>
            </w:r>
            <w:r>
              <w:rPr>
                <w:b/>
                <w:i/>
              </w:rPr>
              <w:t>iværksætter den</w:t>
            </w:r>
            <w:r>
              <w:t xml:space="preserve"> pilotundersøgelser, der gennemføres af medlemsstaterne på frivillig basis, inden en ny dataindsamling.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7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Pilotundersøgelser som omhandlet i stk. 1 gennemføres for at vurdere, om det er relevant og gennemførligt at opfylde de nye datakrav eller forbedringerne. Kommissionen fremsætter, hvis det er relevant og under hensyntagen til resultaterne af pilotundersøgelserne, forslag til indførelse af nye datakrav.</w:t>
            </w:r>
          </w:p>
        </w:tc>
        <w:tc>
          <w:tcPr>
            <w:tcW w:w="4876" w:type="dxa"/>
            <w:tcBorders>
              <w:top w:val="nil"/>
              <w:left w:val="nil"/>
              <w:bottom w:val="nil"/>
              <w:right w:val="nil"/>
            </w:tcBorders>
          </w:tcPr>
          <w:p>
            <w:pPr>
              <w:pStyle w:val="Normal6a"/>
            </w:pPr>
            <w:r>
              <w:t>2.</w:t>
            </w:r>
            <w:r>
              <w:tab/>
            </w:r>
            <w:r>
              <w:t xml:space="preserve">Pilotundersøgelser som omhandlet i stk. 1 gennemføres for at vurdere, om det er relevant og gennemførligt at opfylde de nye datakrav eller forbedringerne </w:t>
            </w:r>
            <w:r>
              <w:rPr>
                <w:b/>
                <w:i/>
              </w:rPr>
              <w:t>og gennemføres på en måde, der minimerer byrden for private dataindehavere</w:t>
            </w:r>
            <w:r>
              <w:t>. Kommissionen fremsætter, hvis det er relevant og under hensyntagen til resultaterne af pilotundersøgelserne, forslag til indførelse af nye datakrav.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7 – stk.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Pilotundersøgelser som omhandlet i stk. 1 gennemføres for at vurdere, om det er relevant og gennemførligt at opfylde de nye datakrav eller forbedringerne. Kommissionen fremsætter, hvis det er relevant og under hensyntagen til resultaterne af pilotundersøgelserne, forslag til indførelse af nye datakrav.</w:t>
            </w:r>
          </w:p>
        </w:tc>
        <w:tc>
          <w:tcPr>
            <w:tcW w:w="4876" w:type="dxa"/>
            <w:tcBorders>
              <w:top w:val="nil"/>
              <w:left w:val="nil"/>
              <w:bottom w:val="nil"/>
              <w:right w:val="nil"/>
            </w:tcBorders>
          </w:tcPr>
          <w:p>
            <w:pPr>
              <w:pStyle w:val="Normal6a"/>
            </w:pPr>
            <w:r>
              <w:t>2.</w:t>
            </w:r>
            <w:r>
              <w:tab/>
            </w:r>
            <w:r>
              <w:t xml:space="preserve">Pilotundersøgelser som omhandlet i stk. 1 gennemføres for at vurdere, om det er relevant og gennemførligt at opfylde de nye datakrav eller forbedringerne. Kommissionen fremsætter, hvis det er relevant og under hensyntagen til resultaterne af pilotundersøgelserne, </w:t>
            </w:r>
            <w:r>
              <w:rPr>
                <w:b/>
                <w:i/>
              </w:rPr>
              <w:t>herunder den mulige forøgelse af den administrative byrde,</w:t>
            </w:r>
            <w:r>
              <w:t xml:space="preserve"> forslag til indførelse af nye datakrav.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7 – stk. 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Der kan gennemføres en pilotundersøgelse med henblik på at indsamle data om værdien af transaktioner vedrørende erhvervsejendomme.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7 – stk.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Medlemsstaterne sikrer sammen med</w:t>
            </w:r>
            <w:r>
              <w:t xml:space="preserve"> Kommissionen (Eurostat), at disse undersøgelser er repræsentative på EU-plan.</w:t>
            </w:r>
          </w:p>
        </w:tc>
        <w:tc>
          <w:tcPr>
            <w:tcW w:w="4876" w:type="dxa"/>
            <w:tcBorders>
              <w:top w:val="nil"/>
              <w:left w:val="nil"/>
              <w:bottom w:val="nil"/>
              <w:right w:val="nil"/>
            </w:tcBorders>
          </w:tcPr>
          <w:p>
            <w:pPr>
              <w:pStyle w:val="Normal6a"/>
            </w:pPr>
            <w:r>
              <w:t>3.</w:t>
            </w:r>
            <w:r>
              <w:tab/>
            </w:r>
            <w:r>
              <w:t xml:space="preserve">Kommissionen (Eurostat) </w:t>
            </w:r>
            <w:r>
              <w:rPr>
                <w:b/>
                <w:i/>
              </w:rPr>
              <w:t>sikrer i samarbejde med medlemsstaterne</w:t>
            </w:r>
            <w:r>
              <w:t>, at disse undersøgelser er repræsentative på EU-plan.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Artikel 11</w:t>
            </w:r>
            <w:r>
              <w:tab/>
            </w:r>
          </w:p>
        </w:tc>
        <w:tc>
          <w:tcPr>
            <w:tcW w:w="4876" w:type="dxa"/>
            <w:tcBorders>
              <w:top w:val="nil"/>
              <w:left w:val="nil"/>
              <w:bottom w:val="nil"/>
              <w:right w:val="nil"/>
            </w:tcBorders>
          </w:tcPr>
          <w:p>
            <w:pPr>
              <w:pStyle w:val="Normal6a"/>
            </w:pPr>
            <w:r>
              <w:rPr>
                <w:b/>
                <w:i/>
              </w:rPr>
              <w:t>udgår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Undtagelser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Hvis anvendelsen af denne forordning eller af de gennemførelsesforanstaltninger, der vedtages i henhold hertil, kræver større tilpasninger af en medlemsstats nationale statistiske system, kan Kommissionen ved hjælp af gennemførelsesretsakter indrømme den pågældende medlemsstat undtagelser for en periode på højst tre år.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Den relevante medlemsstat forelægger Kommissionen en behørigt begrundet anmodning om en undtagelse i henhold til stk. 1 senest tre måneder efter datoen for ikrafttrædelsen af den retsakt, der anmodes om undtagelse fra.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Indvirkningen af undtagelser, der er omhandlet i stk. 1, på sammenligneligheden af medlemsstaternes data eller på beregningen af de nødvendige aktuelle og repræsentative europæiske aggregater skal holdes på et minimum.</w:t>
            </w:r>
            <w:r>
              <w:rPr>
                <w:b/>
                <w:i/>
              </w:rPr>
              <w:t xml:space="preserve"> </w:t>
            </w:r>
            <w:r>
              <w:rPr>
                <w:b/>
                <w:i/>
              </w:rPr>
              <w:t>Kommissionen tager hensyn til byrden for respondenterne, når den indrømmer undtagelser.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rPr>
                <w:b/>
                <w:i/>
              </w:rPr>
              <w:t xml:space="preserve"> </w:t>
            </w:r>
            <w:r>
              <w:rPr>
                <w:b/>
                <w:i/>
              </w:rPr>
              <w:t>De i stk. 1 omhandlede gennemførelsesretsakter vedtages efter undersøgelsesproceduren, jf. artikel 10.</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Eftersom internationale organer i stigende grad påpeger de voksende sårbarheder, der skyldes erhvervsejendomssektoren, er det af afgørende betydning at lukke datahullet så hurtigt som muligt.</w:t>
      </w:r>
      <w:r>
        <w:t xml:space="preserve"> </w:t>
      </w:r>
      <w:r>
        <w:t>Indikatorerne i denne forordning blev allerede anbefalet af ESRB for ti år siden, hvilket gav medlemsstaterne tilstrækkelig tid til at tilpasse deres statistiske rammer.</w:t>
      </w:r>
    </w:p>
    <w:p>
      <w:r>
        <w:rPr>
          <w:rStyle w:val="HideTWBExt"/>
        </w:rPr>
        <w:t>&lt;/Amend&gt;</w:t>
      </w:r>
    </w:p>
    <w:p>
      <w:pPr>
        <w:pStyle w:val="AmNumberTabs"/>
      </w:pPr>
      <w:r>
        <w:rPr>
          <w:rStyle w:val="HideTWBExt"/>
        </w:rPr>
        <w:t>&lt;Amend&gt;</w:t>
      </w:r>
      <w:r>
        <w:t>Ændringsforslag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11 – stk.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Hvis anvendelsen af denne forordning eller af de gennemførelsesforanstaltninger, der vedtages i henhold hertil, kræver større tilpasninger af en medlemsstats nationale statistiske system, kan Kommissionen ved hjælp af gennemførelsesretsakter indrømme den pågældende medlemsstat undtagelser for en periode på </w:t>
            </w:r>
            <w:r>
              <w:rPr>
                <w:b/>
                <w:i/>
              </w:rPr>
              <w:t>højst tre</w:t>
            </w:r>
            <w:r>
              <w:t xml:space="preserve"> år.</w:t>
            </w:r>
          </w:p>
        </w:tc>
        <w:tc>
          <w:tcPr>
            <w:tcW w:w="4876" w:type="dxa"/>
            <w:tcBorders>
              <w:top w:val="nil"/>
              <w:left w:val="nil"/>
              <w:bottom w:val="nil"/>
              <w:right w:val="nil"/>
            </w:tcBorders>
          </w:tcPr>
          <w:p>
            <w:pPr>
              <w:pStyle w:val="Normal6a"/>
            </w:pPr>
            <w:r>
              <w:t>1.</w:t>
            </w:r>
            <w:r>
              <w:tab/>
            </w:r>
            <w:r>
              <w:t xml:space="preserve">Hvis anvendelsen af denne forordning eller af de gennemførelsesforanstaltninger, der vedtages i henhold hertil, kræver større tilpasninger af en medlemsstats nationale statistiske system, </w:t>
            </w:r>
            <w:r>
              <w:rPr>
                <w:b/>
                <w:i/>
              </w:rPr>
              <w:t>navnlig i medlemsstater, hvor væsentlige dele af de administrative procedurer, der er nødvendige for indsamlingen af data, endnu ikke er digitaliseret,</w:t>
            </w:r>
            <w:r>
              <w:t xml:space="preserve"> kan Kommissionen ved hjælp af gennemførelsesretsakter indrømme den pågældende medlemsstat undtagelser for en periode på </w:t>
            </w:r>
            <w:r>
              <w:rPr>
                <w:b/>
                <w:i/>
              </w:rPr>
              <w:t>op til fem</w:t>
            </w:r>
            <w:r>
              <w:t xml:space="preserve"> 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11 – stk.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Hvis anvendelsen af denne forordning eller af de gennemførelsesforanstaltninger, der vedtages i henhold hertil, kræver større tilpasninger af en medlemsstats nationale statistiske system, kan Kommissionen ved hjælp af gennemførelsesretsakter indrømme den pågældende medlemsstat undtagelser for en periode på højst </w:t>
            </w:r>
            <w:r>
              <w:rPr>
                <w:b/>
                <w:i/>
              </w:rPr>
              <w:t>tre</w:t>
            </w:r>
            <w:r>
              <w:t xml:space="preserve"> år.</w:t>
            </w:r>
          </w:p>
        </w:tc>
        <w:tc>
          <w:tcPr>
            <w:tcW w:w="4876" w:type="dxa"/>
            <w:tcBorders>
              <w:top w:val="nil"/>
              <w:left w:val="nil"/>
              <w:bottom w:val="nil"/>
              <w:right w:val="nil"/>
            </w:tcBorders>
          </w:tcPr>
          <w:p>
            <w:pPr>
              <w:pStyle w:val="Normal6a"/>
            </w:pPr>
            <w:r>
              <w:t>1.</w:t>
            </w:r>
            <w:r>
              <w:tab/>
            </w:r>
            <w:r>
              <w:t xml:space="preserve">Hvis anvendelsen af denne forordning eller af de gennemførelsesforanstaltninger, der vedtages i henhold hertil, kræver større tilpasninger af en medlemsstats nationale statistiske system, kan Kommissionen ved hjælp af gennemførelsesretsakter indrømme den pågældende medlemsstat undtagelser for en periode på højst </w:t>
            </w:r>
            <w:r>
              <w:rPr>
                <w:b/>
                <w:i/>
              </w:rPr>
              <w:t>fem</w:t>
            </w:r>
            <w:r>
              <w:t xml:space="preserve"> år.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11 – stk.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Hvis en undtagelse fortsat er begrundet ved udløbet af den periode, for hvilken den blev indrømmet, kan Kommissionen vedtage en gennemførelsesretsakt om indrømmelse af en yderligere undtagelse for en periode på højst tre år.</w:t>
            </w:r>
            <w:r>
              <w:t xml:space="preserve"> </w:t>
            </w:r>
            <w:r>
              <w:rPr>
                <w:b/>
                <w:i/>
              </w:rPr>
              <w:t>Den pågældende medlemsstat indgiver en anmodning, der angiver begrundelsen og de detaljerede grunde til støtte for en sådan forlængelse, til Kommissionen senest seks måneder inden udløbet af gyldighedsperioden for den undtagelse, der er indrømmet i henhold til stk.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13 – stk. 2 – afsnit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Den finder anvendelse fra den 1. januar </w:t>
            </w:r>
            <w:r>
              <w:rPr>
                <w:b/>
                <w:i/>
              </w:rPr>
              <w:t>2026</w:t>
            </w:r>
            <w:r>
              <w:t>.</w:t>
            </w:r>
          </w:p>
        </w:tc>
        <w:tc>
          <w:tcPr>
            <w:tcW w:w="4876" w:type="dxa"/>
            <w:tcBorders>
              <w:top w:val="nil"/>
              <w:left w:val="nil"/>
              <w:bottom w:val="nil"/>
              <w:right w:val="nil"/>
            </w:tcBorders>
          </w:tcPr>
          <w:p>
            <w:pPr>
              <w:pStyle w:val="Normal6a"/>
            </w:pPr>
            <w:r>
              <w:t xml:space="preserve">Den finder anvendelse fra den 1. januar </w:t>
            </w:r>
            <w:r>
              <w:rPr>
                <w:b/>
                <w:i/>
              </w:rPr>
              <w:t>2029</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13 – stk. 2 – afsnit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Den finder anvendelse fra den 1. januar </w:t>
            </w:r>
            <w:r>
              <w:rPr>
                <w:b/>
                <w:i/>
              </w:rPr>
              <w:t>2026</w:t>
            </w:r>
            <w:r>
              <w:t>.</w:t>
            </w:r>
          </w:p>
        </w:tc>
        <w:tc>
          <w:tcPr>
            <w:tcW w:w="4876" w:type="dxa"/>
            <w:tcBorders>
              <w:top w:val="nil"/>
              <w:left w:val="nil"/>
              <w:bottom w:val="nil"/>
              <w:right w:val="nil"/>
            </w:tcBorders>
          </w:tcPr>
          <w:p>
            <w:pPr>
              <w:pStyle w:val="Normal6a"/>
            </w:pPr>
            <w:r>
              <w:t xml:space="preserve">Den finder anvendelse fra den 1. januar </w:t>
            </w:r>
            <w:r>
              <w:rPr>
                <w:b/>
                <w:i/>
              </w:rPr>
              <w:t>2028</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13 – stk. 2 – afsnit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Den finder anvendelse fra den 1. januar </w:t>
            </w:r>
            <w:r>
              <w:rPr>
                <w:b/>
                <w:i/>
              </w:rPr>
              <w:t>2026</w:t>
            </w:r>
            <w:r>
              <w:t>.</w:t>
            </w:r>
          </w:p>
        </w:tc>
        <w:tc>
          <w:tcPr>
            <w:tcW w:w="4876" w:type="dxa"/>
            <w:tcBorders>
              <w:top w:val="nil"/>
              <w:left w:val="nil"/>
              <w:bottom w:val="nil"/>
              <w:right w:val="nil"/>
            </w:tcBorders>
          </w:tcPr>
          <w:p>
            <w:pPr>
              <w:pStyle w:val="Normal6a"/>
            </w:pPr>
            <w:r>
              <w:t xml:space="preserve">Den finder anvendelse fra den 1. januar </w:t>
            </w:r>
            <w:r>
              <w:rPr>
                <w:b/>
                <w:i/>
              </w:rPr>
              <w:t>2028</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Stefan Berger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13 – stk. 2 – afsnit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Den finder anvendelse fra den 1. januar </w:t>
            </w:r>
            <w:r>
              <w:rPr>
                <w:b/>
                <w:i/>
              </w:rPr>
              <w:t>2026</w:t>
            </w:r>
            <w:r>
              <w:t>.</w:t>
            </w:r>
          </w:p>
        </w:tc>
        <w:tc>
          <w:tcPr>
            <w:tcW w:w="4876" w:type="dxa"/>
            <w:tcBorders>
              <w:top w:val="nil"/>
              <w:left w:val="nil"/>
              <w:bottom w:val="nil"/>
              <w:right w:val="nil"/>
            </w:tcBorders>
          </w:tcPr>
          <w:p>
            <w:pPr>
              <w:pStyle w:val="Normal6a"/>
            </w:pPr>
            <w:r>
              <w:t xml:space="preserve">Den finder anvendelse fra den 1. januar </w:t>
            </w:r>
            <w:r>
              <w:rPr>
                <w:b/>
                <w:i/>
              </w:rPr>
              <w:t>2029</w:t>
            </w:r>
            <w:r>
              <w: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Irene Tinagli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a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Byggetilladelser (antal boliger, nytteetageareal) opdelt efter socialt boligbyggeri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Irene Tinagli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b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Bygge- og anlægsarbejders start og færdiggørelse (nytteetageareal) opdelt efter socialt boligbyggeri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Prisindeks for erhvervsejendomme</w:t>
            </w:r>
          </w:p>
        </w:tc>
        <w:tc>
          <w:tcPr>
            <w:tcW w:w="4876" w:type="dxa"/>
            <w:tcBorders>
              <w:top w:val="nil"/>
              <w:left w:val="nil"/>
              <w:bottom w:val="nil"/>
              <w:right w:val="nil"/>
            </w:tcBorders>
          </w:tcPr>
          <w:p>
            <w:pPr>
              <w:pStyle w:val="Normal6a"/>
            </w:pPr>
            <w:r>
              <w:t>c)</w:t>
            </w:r>
            <w:r>
              <w:tab/>
            </w:r>
            <w:r>
              <w:t xml:space="preserve">Prisindeks for erhvervsejendomme </w:t>
            </w:r>
            <w:r>
              <w:rPr>
                <w:b/>
                <w:i/>
              </w:rPr>
              <w:t>(på frivillig basis)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Irene Tinagli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c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Prisindeks for erhvervsejendomme opdelt efter indtægtsgivende ejendom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Irene Tinagli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d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Lejeindeks for erhvervsejendomme opdelt efter indtægtsgivende ejendom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Værdien af transaktioner vedrørende erhvervsejendomme.</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Værdien af transaktioner vedrørende erhvervsejendomme.</w:t>
            </w:r>
          </w:p>
        </w:tc>
        <w:tc>
          <w:tcPr>
            <w:tcW w:w="4876" w:type="dxa"/>
            <w:tcBorders>
              <w:top w:val="nil"/>
              <w:left w:val="nil"/>
              <w:bottom w:val="nil"/>
              <w:right w:val="nil"/>
            </w:tcBorders>
          </w:tcPr>
          <w:p>
            <w:pPr>
              <w:pStyle w:val="Normal6a"/>
            </w:pPr>
            <w:r>
              <w:t>e)</w:t>
            </w:r>
            <w:r>
              <w:tab/>
            </w:r>
            <w:r>
              <w:t xml:space="preserve">Værdien af transaktioner vedrørende erhvervsejendomme </w:t>
            </w:r>
            <w:r>
              <w:rPr>
                <w:b/>
                <w:i/>
              </w:rPr>
              <w:t>(på frivillig basis)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e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Lejeafkastindeks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e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Ledighedsprocenter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Kira Marie Peter-Hansen</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Bilag I – litra e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ec)</w:t>
            </w:r>
            <w:r>
              <w:tab/>
            </w:r>
            <w:r>
              <w:rPr>
                <w:b/>
                <w:i/>
              </w:rPr>
              <w:t>korttidsudlejning, herunder antallet af beboelsesejendomme, der helt eller delvis anvendes til korttidsudlejning, det gennemsnitlige antal dage om året, disse beboelsesejendomme er udlejet, og det gennemsnitlige afkast af denne udleje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779.504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42</w:t>
    </w:r>
    <w:r>
      <w:fldChar w:fldCharType="end"/>
    </w:r>
    <w:r>
      <w:t>/</w:t>
    </w:r>
    <w:r>
      <w:fldChar w:fldCharType="begin"/>
    </w:r>
    <w:r>
      <w:instrText xml:space="preserve"> NUMPAGES </w:instrText>
    </w:r>
    <w:r>
      <w:fldChar w:fldCharType="separate"/>
    </w:r>
    <w:r>
      <w:t>42</w:t>
    </w:r>
    <w:r>
      <w:fldChar w:fldCharType="end"/>
    </w:r>
    <w:r>
      <w:tab/>
    </w:r>
    <w:r>
      <w:rPr>
        <w:rStyle w:val="HideTWBExt"/>
      </w:rPr>
      <w:t>&lt;PathFdR&gt;</w:t>
    </w:r>
    <w:r>
      <w:t>AM\1331374DA.docx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AM\1331374DA.docx</w:t>
    </w:r>
    <w:r>
      <w:rPr>
        <w:rStyle w:val="HideTWBExt"/>
      </w:rPr>
      <w:t>&lt;/PathFdR&gt;</w:t>
    </w:r>
    <w:r>
      <w:tab/>
    </w:r>
    <w:r>
      <w:fldChar w:fldCharType="begin"/>
    </w:r>
    <w:r>
      <w:instrText xml:space="preserve"> PAGE </w:instrText>
    </w:r>
    <w:r>
      <w:fldChar w:fldCharType="separate"/>
    </w:r>
    <w:r>
      <w:t>41</w:t>
    </w:r>
    <w:r>
      <w:fldChar w:fldCharType="end"/>
    </w:r>
    <w:r>
      <w:t>/</w:t>
    </w:r>
    <w:r>
      <w:fldChar w:fldCharType="begin"/>
    </w:r>
    <w:r>
      <w:instrText xml:space="preserve"> NUMPAGES </w:instrText>
    </w:r>
    <w:r>
      <w:fldChar w:fldCharType="separate"/>
    </w:r>
    <w:r>
      <w:t>42</w:t>
    </w:r>
    <w:r>
      <w:fldChar w:fldCharType="end"/>
    </w:r>
    <w:r>
      <w:tab/>
    </w:r>
    <w:r>
      <w:t>PE</w:t>
    </w:r>
    <w:r>
      <w:rPr>
        <w:rStyle w:val="HideTWBExt"/>
      </w:rPr>
      <w:t>&lt;NoPE&gt;</w:t>
    </w:r>
    <w:r>
      <w:t>779.504</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AM\1331374DA.docx</w:t>
    </w:r>
    <w:r>
      <w:rPr>
        <w:rStyle w:val="HideTWBExt"/>
      </w:rPr>
      <w:t>&lt;/PathFdR&gt;</w:t>
    </w:r>
    <w:r>
      <w:tab/>
    </w:r>
    <w:r>
      <w:tab/>
    </w:r>
    <w:r>
      <w:t>PE</w:t>
    </w:r>
    <w:r>
      <w:rPr>
        <w:rStyle w:val="HideTWBExt"/>
      </w:rPr>
      <w:t>&lt;NoPE&gt;</w:t>
    </w:r>
    <w:r>
      <w:t>779.504</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42</Pages>
  <Words>7359</Words>
  <Characters>48030</Characters>
  <Application>Microsoft Office Word</Application>
  <DocSecurity>0</DocSecurity>
  <Lines>1</Lines>
  <Paragraphs>831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1331374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289777</vt:lpwstr>
  </property>
  <property fmtid="{D5CDD505-2E9C-101B-9397-08002B2CF9AE}" pid="7" name="dmxml.render.traceId">
    <vt:lpwstr>691d8228c58febae2037d6285de5094e</vt:lpwstr>
  </property>
  <property fmtid="{D5CDD505-2E9C-101B-9397-08002B2CF9AE}" pid="8" name="FooterPath">
    <vt:lpwstr>AM\1331374DA.docx</vt:lpwstr>
  </property>
  <property fmtid="{D5CDD505-2E9C-101B-9397-08002B2CF9AE}" pid="9" name="PE Number">
    <vt:lpwstr>779.504</vt:lpwstr>
  </property>
  <property fmtid="{D5CDD505-2E9C-101B-9397-08002B2CF9AE}" pid="10" name="UID">
    <vt:lpwstr>eu.europa.europarl-DIN1-2025-0000212645_02.00-da-01.00_text-xml</vt:lpwstr>
  </property>
</Properties>
</file>