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Talous- ja raha-asioiden valiokunta</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{07/11/2025}</w:t>
      </w:r>
      <w:r>
        <w:t>7.11.2025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16</w:t>
      </w:r>
      <w:r>
        <w:t xml:space="preserve"> - </w:t>
      </w:r>
      <w:r>
        <w:t>100</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Aurore Lalucq</w:t>
      </w:r>
      <w:r>
        <w:rPr>
          <w:rStyle w:val="HideTWBExt"/>
        </w:rPr>
        <w:t>&lt;/Rapporteur&gt;</w:t>
      </w:r>
    </w:p>
    <w:p>
      <w:pPr>
        <w:pStyle w:val="CoverNormal24a"/>
      </w:pPr>
      <w:r>
        <w:rPr>
          <w:rStyle w:val="HideTWBExt"/>
        </w:rPr>
        <w:t>&lt;DocRefPE&gt;</w:t>
      </w:r>
      <w:r>
        <w:t>(PE778.148v01-00)</w:t>
      </w:r>
      <w:r>
        <w:rPr>
          <w:rStyle w:val="HideTWBExt"/>
        </w:rPr>
        <w:t>&lt;/DocRefPE&gt;</w:t>
      </w:r>
    </w:p>
    <w:p>
      <w:pPr>
        <w:pStyle w:val="CoverNormal24a"/>
      </w:pPr>
      <w:r>
        <w:rPr>
          <w:rStyle w:val="HideTWBExt"/>
        </w:rPr>
        <w:t>&lt;Titre&gt;</w:t>
      </w:r>
      <w:r>
        <w:t>Liikekiinteistöjä koskevat muut kuin rahoitustilastot</w:t>
      </w:r>
      <w:r>
        <w:rPr>
          <w:rStyle w:val="HideTWBExt"/>
        </w:rPr>
        <w:t>&lt;/Titre&gt;</w:t>
      </w:r>
    </w:p>
    <w:p>
      <w:pPr>
        <w:pStyle w:val="CoverNormal"/>
      </w:pPr>
      <w:r>
        <w:rPr>
          <w:rStyle w:val="HideTWBExt"/>
        </w:rPr>
        <w:t>&lt;DocAmend&gt;</w:t>
      </w:r>
      <w:r>
        <w:t>Ehdotus asetukseksi</w:t>
      </w:r>
      <w:r>
        <w:rPr>
          <w:rStyle w:val="HideTWBExt"/>
        </w:rPr>
        <w:t>&lt;/DocAmend&gt;</w:t>
      </w:r>
    </w:p>
    <w:p>
      <w:pPr>
        <w:pStyle w:val="CoverNormal24a"/>
      </w:pPr>
      <w:r>
        <w:rPr>
          <w:rStyle w:val="HideTWBExt"/>
        </w:rPr>
        <w:t>&lt;DocRef&gt;</w:t>
      </w:r>
      <w:r>
        <w:t>(COM(2025)0100 – 2025/0052(COD))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The Left -ryhmän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Kiinteistömarkkinoiden kehitystä koskevat tilastot ovat olennaisen tärkeitä talous- ja rahapolitiikan, järjestelmäriskien seurannan ja makrovakauspolitiikan kannalta.</w:t>
            </w:r>
          </w:p>
        </w:tc>
        <w:tc>
          <w:tcPr>
            <w:tcW w:w="4876" w:type="dxa"/>
            <w:tcBorders>
              <w:top w:val="nil"/>
              <w:left w:val="nil"/>
              <w:bottom w:val="nil"/>
              <w:right w:val="nil"/>
            </w:tcBorders>
          </w:tcPr>
          <w:p>
            <w:pPr>
              <w:pStyle w:val="Normal6a"/>
            </w:pPr>
            <w:r>
              <w:t>(1)</w:t>
            </w:r>
            <w:r>
              <w:tab/>
            </w:r>
            <w:r>
              <w:t xml:space="preserve">Kiinteistömarkkinoiden kehitystä koskevat tilastot ovat olennaisen tärkeitä talous- ja rahapolitiikan, järjestelmäriskien seurannan ja makrovakauspolitiikan kannalta. </w:t>
            </w:r>
            <w:r>
              <w:rPr>
                <w:b/>
                <w:i/>
              </w:rPr>
              <w:t>Aiemmat finanssikriisit ovat osoittaneet, että kiinteistömarkkinoiden kehitys voi heijastua koko rahoitusjärjestelmään ja vaikuttaa vakavasti reaalitalouteen.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Finanssimarkkinoiden vakauden valvontaryhmä yksilöi 19 päivänä kesäkuuta 2025 antamassaan raportissa ”Vulnerabilities in Non-bank Commercial Real Estate Investors” tärkeimmät liikekiinteistöalasta johtuvat haavoittuvuudet.</w:t>
            </w:r>
            <w:r>
              <w:t xml:space="preserve"> </w:t>
            </w:r>
            <w:r>
              <w:rPr>
                <w:b/>
                <w:i/>
              </w:rPr>
              <w:t>Raportissa tuodaan esiin tiedoissa vielä olevia puutteita, jotka hankaloittavat makrovakausvalvonnasta vastaavien viranomaisten toimeksiannon toteuttamista.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Samassa vuoden 2019 suosituksessa EJRK määritteli fyysisen liikekiinteistön miksi tahansa tuloa tuottavaksi kiinteistöksi, joka on joko olemassa tai rakenteilla, mukaan lukien vuokrakiinteistöt, tai joko olemassa tai rakenteilla olevaksi kiinteistöksi, jota sen omistajat käyttävät liiketoiminnan, tehtävän tai toiminnan harjoittamiseen, jota ei luokitella asuinkiinteistöksi ja joka käsittää sosiaaliset vuokrakiinteistöt. Tämän asetuksen määritelmät ovat yhdenmukaisia EJRK:n vuonna 2019 suosittamien määritelmien kanssa.</w:t>
            </w:r>
          </w:p>
        </w:tc>
        <w:tc>
          <w:tcPr>
            <w:tcW w:w="4876" w:type="dxa"/>
            <w:tcBorders>
              <w:top w:val="nil"/>
              <w:left w:val="nil"/>
              <w:bottom w:val="nil"/>
              <w:right w:val="nil"/>
            </w:tcBorders>
          </w:tcPr>
          <w:p>
            <w:pPr>
              <w:pStyle w:val="Normal6a"/>
            </w:pPr>
            <w:r>
              <w:t>(6)</w:t>
            </w:r>
            <w:r>
              <w:tab/>
            </w:r>
            <w:r>
              <w:t xml:space="preserve">Samassa vuoden 2019 suosituksessa EJRK määritteli fyysisen liikekiinteistön miksi tahansa tuloa tuottavaksi kiinteistöksi, joka on joko olemassa tai rakenteilla, mukaan lukien vuokrakiinteistöt, tai joko olemassa tai rakenteilla olevaksi kiinteistöksi, jota sen omistajat käyttävät liiketoiminnan, tehtävän tai toiminnan harjoittamiseen, jota ei luokitella asuinkiinteistöksi ja joka käsittää sosiaaliset vuokrakiinteistöt. Tämän asetuksen määritelmät ovat yhdenmukaisia EJRK:n vuonna 2019 suosittamien määritelmien kanssa </w:t>
            </w:r>
            <w:r>
              <w:rPr>
                <w:b/>
                <w:i/>
              </w:rPr>
              <w:t>lukuun ottamatta sosiaalisia kiinteistöjä, jotka eivät EJRK:n vuonna 2016 antaman suosituksen mukaisesti kuulu liikekiinteistöjen piiriin, ja ne ovat yhdenmukaisia Eurostatin raportin ”Commercial property price indicators: sources, methods and issues” kanssa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Komissio (Eurostat) ja kansalliset tilastolaitokset arvioivat tiiviissä yhteistyössä EJRK:n kanssa</w:t>
            </w:r>
            <w:r>
              <w:t xml:space="preserve"> fyysisiä liikekiinteistöjä </w:t>
            </w:r>
            <w:r>
              <w:rPr>
                <w:b/>
                <w:i/>
              </w:rPr>
              <w:t>koskevien EJRK:n suosittelemien indikaattorien eli hintaindeksin, vuokra-indeksin, vuokratuottoindeksin</w:t>
            </w:r>
            <w:r>
              <w:t xml:space="preserve">, tyhjillään olevien kiinteistöjen </w:t>
            </w:r>
            <w:r>
              <w:rPr>
                <w:b/>
                <w:i/>
              </w:rPr>
              <w:t>määrän</w:t>
            </w:r>
            <w:r>
              <w:t xml:space="preserve"> ja rakentamisen </w:t>
            </w:r>
            <w:r>
              <w:rPr>
                <w:b/>
                <w:i/>
              </w:rPr>
              <w:t>aloittamisen toteutettavuutta</w:t>
            </w:r>
            <w:r>
              <w:t xml:space="preserve">. </w:t>
            </w:r>
            <w:r>
              <w:rPr>
                <w:b/>
                <w:i/>
              </w:rPr>
              <w:t>Hintaindeksiä, vuokraindeksiä, rakentamisen aloittamista ja loppuun saattamista koskevien indikaattorien toteutettavuus vahvistettiin.</w:t>
            </w:r>
            <w:r>
              <w:t xml:space="preserve"> </w:t>
            </w:r>
            <w:r>
              <w:rPr>
                <w:b/>
                <w:i/>
              </w:rPr>
              <w:t>Koska tietolähteitä on saatavilla rajoitetusti eivätkä ne ole riittävän laadukkaita, vuokratuottoindeksejä ja tyhjillään olevien kiinteistöjen määrää koskevia indikaattoreita ei voida ottaa mukaan tähän asetukseen vaan niitä on kehitettävä.</w:t>
            </w:r>
            <w:r>
              <w:t xml:space="preserve"> </w:t>
            </w:r>
            <w:r>
              <w:rPr>
                <w:b/>
                <w:i/>
              </w:rPr>
              <w:t>Sen sijaan</w:t>
            </w:r>
            <w:r>
              <w:t xml:space="preserve"> asetukseen on lisätty merkittävä liikekiinteistökauppojen arvoa koskeva indikaattori.</w:t>
            </w:r>
          </w:p>
        </w:tc>
        <w:tc>
          <w:tcPr>
            <w:tcW w:w="4876" w:type="dxa"/>
            <w:tcBorders>
              <w:top w:val="nil"/>
              <w:left w:val="nil"/>
              <w:bottom w:val="nil"/>
              <w:right w:val="nil"/>
            </w:tcBorders>
          </w:tcPr>
          <w:p>
            <w:pPr>
              <w:pStyle w:val="Normal6a"/>
            </w:pPr>
            <w:r>
              <w:t>(7)</w:t>
            </w:r>
            <w:r>
              <w:tab/>
            </w:r>
            <w:r>
              <w:rPr>
                <w:b/>
                <w:i/>
              </w:rPr>
              <w:t>EJRK:n vuoden 2019 suosituksen mukaisesti olisi kerättävä</w:t>
            </w:r>
            <w:r>
              <w:t xml:space="preserve"> fyysisiä liikekiinteistöjä </w:t>
            </w:r>
            <w:r>
              <w:rPr>
                <w:b/>
                <w:i/>
              </w:rPr>
              <w:t>koskevat indikaattorit eli hintaindeksi, vuokraindeksi, vuokratuottoindeksi</w:t>
            </w:r>
            <w:r>
              <w:t xml:space="preserve">, tyhjillään olevien kiinteistöjen </w:t>
            </w:r>
            <w:r>
              <w:rPr>
                <w:b/>
                <w:i/>
              </w:rPr>
              <w:t>määrä</w:t>
            </w:r>
            <w:r>
              <w:t xml:space="preserve"> ja rakentamisen </w:t>
            </w:r>
            <w:r>
              <w:rPr>
                <w:b/>
                <w:i/>
              </w:rPr>
              <w:t>aloittaminen</w:t>
            </w:r>
            <w:r>
              <w:t>. Asetukseen on lisätty merkittävä liikekiinteistökauppojen arvoa koskeva indikaattori.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Koska vuokratuottoindeksiä ja tyhjillään olevien kiinteistöjen määrää koskevat indikaattorit sisältyivät jo muiden indikaattorien ohella EJRK:n vuoden 2016 suositukseen, niitä olisi pyydettävä tämän asetuksen voimaantulosta alkaen.</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Komissio (Eurostat) ja kansalliset tilastolaitokset arvioivat tiiviissä yhteistyössä EJRK:n kanssa fyysisiä liikekiinteistöjä koskevien EJRK:n suosittelemien indikaattorien eli hintaindeksin, </w:t>
            </w:r>
            <w:r>
              <w:rPr>
                <w:b/>
                <w:i/>
              </w:rPr>
              <w:t>vuokra-indeksin</w:t>
            </w:r>
            <w:r>
              <w:t xml:space="preserve">, vuokratuottoindeksin, tyhjillään olevien kiinteistöjen määrän ja rakentamisen aloittamisen toteutettavuutta. Hintaindeksiä, vuokraindeksiä, rakentamisen aloittamista ja loppuun saattamista koskevien indikaattorien toteutettavuus vahvistettiin. Koska tietolähteitä on saatavilla rajoitetusti eivätkä ne ole riittävän laadukkaita, vuokratuottoindeksejä ja tyhjillään olevien kiinteistöjen määrää koskevia indikaattoreita ei voida ottaa mukaan tähän asetukseen </w:t>
            </w:r>
            <w:r>
              <w:rPr>
                <w:b/>
                <w:i/>
              </w:rPr>
              <w:t>vaan niitä on kehitettävä</w:t>
            </w:r>
            <w:r>
              <w:t>. Sen sijaan asetukseen on lisätty merkittävä liikekiinteistökauppojen arvoa koskeva indikaattori.</w:t>
            </w:r>
          </w:p>
        </w:tc>
        <w:tc>
          <w:tcPr>
            <w:tcW w:w="4876" w:type="dxa"/>
            <w:tcBorders>
              <w:top w:val="nil"/>
              <w:left w:val="nil"/>
              <w:bottom w:val="nil"/>
              <w:right w:val="nil"/>
            </w:tcBorders>
          </w:tcPr>
          <w:p>
            <w:pPr>
              <w:pStyle w:val="Normal6a"/>
            </w:pPr>
            <w:r>
              <w:t>(7)</w:t>
            </w:r>
            <w:r>
              <w:tab/>
            </w:r>
            <w:r>
              <w:t xml:space="preserve">Komissio (Eurostat) ja kansalliset tilastolaitokset arvioivat tiiviissä yhteistyössä EJRK:n kanssa fyysisiä liikekiinteistöjä koskevien EJRK:n suosittelemien indikaattorien eli hintaindeksin, </w:t>
            </w:r>
            <w:r>
              <w:rPr>
                <w:b/>
                <w:i/>
              </w:rPr>
              <w:t>vuokraindeksin</w:t>
            </w:r>
            <w:r>
              <w:t>, vuokratuottoindeksin, tyhjillään olevien kiinteistöjen määrän ja rakentamisen aloittamisen toteutettavuutta. Hintaindeksiä, vuokraindeksiä, rakentamisen aloittamista ja loppuun saattamista koskevien indikaattorien toteutettavuus vahvistettiin. Koska tietolähteitä on saatavilla rajoitetusti eivätkä ne ole riittävän laadukkaita, vuokratuottoindeksejä ja tyhjillään olevien kiinteistöjen määrää koskevia indikaattoreita ei voida ottaa mukaan tähän asetukseen. Sen sijaan asetukseen on lisätty merkittävä liikekiinteistökauppojen arvoa koskeva indikaattori.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Komissio (Eurostat) ja kansalliset tilastolaitokset arvioivat tiiviissä yhteistyössä EJRK:n kanssa fyysisiä liikekiinteistöjä koskevien EJRK:n suosittelemien indikaattorien eli hintaindeksin, </w:t>
            </w:r>
            <w:r>
              <w:rPr>
                <w:b/>
                <w:i/>
              </w:rPr>
              <w:t>vuokra-indeksin</w:t>
            </w:r>
            <w:r>
              <w:t xml:space="preserve">, vuokratuottoindeksin, tyhjillään olevien kiinteistöjen määrän ja rakentamisen aloittamisen toteutettavuutta. Hintaindeksiä, vuokraindeksiä, rakentamisen aloittamista ja loppuun saattamista koskevien indikaattorien toteutettavuus vahvistettiin. Koska tietolähteitä on saatavilla rajoitetusti eivätkä ne ole riittävän laadukkaita, vuokratuottoindeksejä ja tyhjillään olevien kiinteistöjen määrää koskevia indikaattoreita ei voida ottaa mukaan tähän asetukseen </w:t>
            </w:r>
            <w:r>
              <w:rPr>
                <w:b/>
                <w:i/>
              </w:rPr>
              <w:t>vaan niitä on kehitettävä</w:t>
            </w:r>
            <w:r>
              <w:t>. Sen sijaan asetukseen on lisätty merkittävä liikekiinteistökauppojen arvoa koskeva indikaattori.</w:t>
            </w:r>
          </w:p>
        </w:tc>
        <w:tc>
          <w:tcPr>
            <w:tcW w:w="4876" w:type="dxa"/>
            <w:tcBorders>
              <w:top w:val="nil"/>
              <w:left w:val="nil"/>
              <w:bottom w:val="nil"/>
              <w:right w:val="nil"/>
            </w:tcBorders>
          </w:tcPr>
          <w:p>
            <w:pPr>
              <w:pStyle w:val="Normal6a"/>
            </w:pPr>
            <w:r>
              <w:t>(7)</w:t>
            </w:r>
            <w:r>
              <w:tab/>
            </w:r>
            <w:r>
              <w:t xml:space="preserve">Komissio (Eurostat) ja kansalliset tilastolaitokset arvioivat tiiviissä yhteistyössä EJRK:n kanssa fyysisiä liikekiinteistöjä koskevien EJRK:n suosittelemien indikaattorien eli hintaindeksin, </w:t>
            </w:r>
            <w:r>
              <w:rPr>
                <w:b/>
                <w:i/>
              </w:rPr>
              <w:t>vuokraindeksin</w:t>
            </w:r>
            <w:r>
              <w:t>, vuokratuottoindeksin, tyhjillään olevien kiinteistöjen määrän ja rakentamisen aloittamisen toteutettavuutta. Hintaindeksiä, vuokraindeksiä, rakentamisen aloittamista ja loppuun saattamista koskevien indikaattorien toteutettavuus vahvistettiin. Koska tietolähteitä on saatavilla rajoitetusti eivätkä ne ole riittävän laadukkaita, vuokratuottoindeksejä ja tyhjillään olevien kiinteistöjen määrää koskevia indikaattoreita ei voida ottaa mukaan tähän asetukseen. Sen sijaan asetukseen on lisätty merkittävä liikekiinteistökauppojen arvoa koskeva indikaattori.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Komissio (Eurostat) ja kansalliset tilastolaitokset arvioivat tiiviissä yhteistyössä EJRK:n kanssa fyysisiä liikekiinteistöjä koskevien EJRK:n suosittelemien indikaattorien eli hintaindeksin, </w:t>
            </w:r>
            <w:r>
              <w:rPr>
                <w:b/>
                <w:i/>
              </w:rPr>
              <w:t>vuokra-indeksin</w:t>
            </w:r>
            <w:r>
              <w:t>, vuokratuottoindeksin, tyhjillään olevien kiinteistöjen määrän ja rakentamisen aloittamisen toteutettavuutta. Hintaindeksiä, vuokraindeksiä, rakentamisen aloittamista ja loppuun saattamista koskevien indikaattorien toteutettavuus vahvistettiin. Koska tietolähteitä on saatavilla rajoitetusti eivätkä ne ole riittävän laadukkaita, vuokratuottoindeksejä ja tyhjillään olevien kiinteistöjen määrää koskevia indikaattoreita ei voida ottaa mukaan tähän asetukseen vaan niitä on kehitettävä. Sen sijaan asetukseen on lisätty merkittävä liikekiinteistökauppojen arvoa koskeva indikaattori.</w:t>
            </w:r>
          </w:p>
        </w:tc>
        <w:tc>
          <w:tcPr>
            <w:tcW w:w="4876" w:type="dxa"/>
            <w:tcBorders>
              <w:top w:val="nil"/>
              <w:left w:val="nil"/>
              <w:bottom w:val="nil"/>
              <w:right w:val="nil"/>
            </w:tcBorders>
          </w:tcPr>
          <w:p>
            <w:pPr>
              <w:pStyle w:val="Normal6a"/>
            </w:pPr>
            <w:r>
              <w:t>(7)</w:t>
            </w:r>
            <w:r>
              <w:tab/>
            </w:r>
            <w:r>
              <w:t xml:space="preserve">Komissio (Eurostat) ja kansalliset tilastolaitokset arvioivat tiiviissä yhteistyössä EJRK:n kanssa fyysisiä liikekiinteistöjä koskevien EJRK:n suosittelemien indikaattorien eli hintaindeksin, </w:t>
            </w:r>
            <w:r>
              <w:rPr>
                <w:b/>
                <w:i/>
              </w:rPr>
              <w:t>vuokraindeksin</w:t>
            </w:r>
            <w:r>
              <w:t xml:space="preserve">, vuokratuottoindeksin, tyhjillään olevien kiinteistöjen määrän ja rakentamisen aloittamisen toteutettavuutta. Hintaindeksiä, vuokraindeksiä, rakentamisen aloittamista ja loppuun saattamista koskevien indikaattorien toteutettavuus vahvistettiin </w:t>
            </w:r>
            <w:r>
              <w:rPr>
                <w:b/>
                <w:i/>
              </w:rPr>
              <w:t>joidenkin jäsenvaltioiden osalta</w:t>
            </w:r>
            <w:r>
              <w:t>. Koska tietolähteitä on saatavilla rajoitetusti eivätkä ne ole riittävän laadukkaita, vuokratuottoindeksejä ja tyhjillään olevien kiinteistöjen määrää koskevia indikaattoreita ei voida ottaa mukaan tähän asetukseen vaan niitä on kehitettävä. Sen sijaan asetukseen on lisätty merkittävä liikekiinteistökauppojen arvoa koskeva indikaattori.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Asetuksen (EY) N:o 223/2009, sellaisena kuin se on muutettuna asetuksella (EU) 2024/3018, 17 b artiklan mukaisesti kansallisilla tilastolaitoksilla ja komissiolla (Eurostatilla) olisi myös oltava pääsy uusiin tietolähteisiin, mukaan lukien yksityisen tahon hallussa olevat tiedot, ja oikeus käyttää niitä tilastotarkoituksiin.</w:t>
            </w:r>
            <w:r>
              <w:t xml:space="preserve"> </w:t>
            </w:r>
            <w:r>
              <w:rPr>
                <w:b/>
                <w:i/>
              </w:rPr>
              <w:t>Yksityisten tietojen haltijoiden olisi pyynnöstä asetettava tiedot ja merkitykselliset metatiedot maksutta kansallisten tilastolaitosten tai komission (Eurostatin) saataville, jos pyydetyt tiedot ovat ehdottomasti tarpeen Euroopan liikekiinteistöjä koskevien muiden kuin rahoitustilastojen kehittämiseksi, tuottamiseksi ja jakelemiseksi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Asetuksen (EY) N:o 223/2009, sellaisena kuin se on muutettuna asetuksella (EU) 2024/3018, 17 b artiklan mukaisesti kansallisilla tilastolaitoksilla ja komissiolla (Eurostatilla) olisi myös oltava pääsy uusiin tietolähteisiin, mukaan lukien yksityisen tahon hallussa olevat tiedot, ja oikeus käyttää niitä tilastotarkoituksiin. Yksityisten tietojen haltijoiden olisi pyynnöstä asetettava tiedot ja merkitykselliset metatiedot maksutta kansallisten tilastolaitosten tai komission (Eurostatin) saataville, jos pyydetyt tiedot ovat ehdottomasti tarpeen Euroopan liikekiinteistöjä koskevien muiden kuin rahoitustilastojen kehittämiseksi, tuottamiseksi ja jakelemiseksi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t>(10)</w:t>
            </w:r>
            <w:r>
              <w:tab/>
            </w:r>
            <w:r>
              <w:t xml:space="preserve">Asetuksen (EY) N:o 223/2009, sellaisena kuin se on muutettuna asetuksella (EU) 2024/3018, 17 b artiklan mukaisesti kansallisilla tilastolaitoksilla ja komissiolla (Eurostatilla) olisi myös oltava pääsy uusiin tietolähteisiin, mukaan lukien yksityisen tahon hallussa olevat tiedot, ja oikeus käyttää niitä tilastotarkoituksiin. Yksityisten tietojen haltijoiden olisi pyynnöstä asetettava tiedot ja merkitykselliset metatiedot maksutta kansallisten tilastolaitosten tai komission (Eurostatin) saataville, jos pyydetyt tiedot ovat ehdottomasti tarpeen Euroopan liikekiinteistöjä koskevien muiden kuin rahoitustilastojen kehittämiseksi, tuottamiseksi ja jakelemiseksi ja jos tietoja ei voida saada muilla tavoin tai niiden uudelleenkäyttö keventää huomattavasti tietojen haltijoille ja muille yrityksille aiheutuvaa vastausrasitetta. </w:t>
            </w:r>
            <w:r>
              <w:rPr>
                <w:b/>
                <w:i/>
              </w:rPr>
              <w:t>Käyttäessään oikeuttaan pyytää tietoja yksityisiltä tiedon haltijoilta kansallisten tilastolaitosten ja komission olisi varmistettava, että tämä ei aiheuta kohtuutonta taloudellista rasitetta yrityksille ja yhdistyksille.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Asetuksen (EY) N:o 223/2009, sellaisena kuin se on muutettuna asetuksella (EU) 2024/3018, 17 b artiklan mukaisesti kansallisilla tilastolaitoksilla ja komissiolla (Eurostatilla) olisi myös oltava pääsy uusiin tietolähteisiin, mukaan lukien yksityisen tahon hallussa olevat tiedot, ja oikeus käyttää niitä tilastotarkoituksiin. Yksityisten tietojen haltijoiden olisi pyynnöstä asetettava tiedot ja merkitykselliset metatiedot maksutta kansallisten tilastolaitosten tai komission (Eurostatin) saataville, jos pyydetyt tiedot ovat ehdottomasti tarpeen Euroopan liikekiinteistöjä koskevien muiden kuin rahoitustilastojen kehittämiseksi, tuottamiseksi ja jakelemiseksi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t>(10)</w:t>
            </w:r>
            <w:r>
              <w:tab/>
            </w:r>
            <w:r>
              <w:t xml:space="preserve">Asetuksen (EY) N:o 223/2009, sellaisena kuin se on muutettuna asetuksella (EU) 2024/3018, 17 b artiklan mukaisesti kansallisilla tilastolaitoksilla ja komissiolla (Eurostatilla) olisi myös oltava pääsy uusiin tietolähteisiin, mukaan lukien yksityisen tahon hallussa olevat tiedot, ja oikeus käyttää niitä tilastotarkoituksiin. Yksityisten tietojen haltijoiden olisi pyynnöstä asetettava tiedot ja merkitykselliset metatiedot maksutta kansallisten tilastolaitosten tai komission (Eurostatin) saataville, jos pyydetyt tiedot ovat ehdottomasti tarpeen Euroopan liikekiinteistöjä koskevien muiden kuin rahoitustilastojen kehittämiseksi, tuottamiseksi ja jakelemiseksi ja jos tietoja ei voida saada muilla tavoin tai niiden uudelleenkäyttö keventää huomattavasti tietojen haltijoille ja muille yrityksille aiheutuvaa vastausrasitetta. </w:t>
            </w:r>
            <w:r>
              <w:rPr>
                <w:b/>
                <w:i/>
              </w:rPr>
              <w:t>Kansallisten tilastolaitosten ja komission oikeus pyytää tietoja yksityisiltä tiedon haltijoilta ei saisi aiheuttaa kohtuutonta taloudellista rasitetta yrityksille tai yhdistyksille.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Jotta voidaan ottaa huomioon talouden ja tekniikan kehitys, komissiolle olisi siirrettävä valta hyväksyä säädösvallan siirron nojalla annettavia delegoituja säädöksiä Euroopan unionin toiminnasta tehdyn sopimuksen 290 artiklan mukaisesti liitteessä I vahvistettujen muuttujien luettelon muuttamiseksi.</w:t>
            </w:r>
            <w:r>
              <w:t xml:space="preserve"> </w:t>
            </w:r>
            <w:r>
              <w:rPr>
                <w:b/>
                <w:i/>
              </w:rPr>
              <w:t>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Pr>
                <w:b/>
                <w:i/>
                <w:vertAlign w:val="superscript"/>
              </w:rPr>
              <w:t>8</w:t>
            </w:r>
            <w:r>
              <w:rPr>
                <w:b/>
                <w:i/>
              </w:rPr>
              <w:t>vahvistettujen periaatteiden mukaisesti.</w:t>
            </w:r>
            <w:r>
              <w:t xml:space="preserve"> </w:t>
            </w:r>
            <w:r>
              <w:rPr>
                <w:b/>
                <w:i/>
              </w:rPr>
              <w:t>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EUVL L 123,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Jotta voidaan </w:t>
            </w:r>
            <w:r>
              <w:rPr>
                <w:b/>
                <w:i/>
              </w:rPr>
              <w:t>ottaa huomioon talouden ja tekniikan kehitys, komissiolle olisi siirrettävä valta hyväksyä säädösvallan siirron nojalla annettavia delegoituja säädöksiä Euroopan unionin toiminnasta tehdyn sopimuksen 290 artiklan mukaisesti</w:t>
            </w:r>
            <w:r>
              <w:t xml:space="preserve"> liitteessä I </w:t>
            </w:r>
            <w:r>
              <w:rPr>
                <w:b/>
                <w:i/>
              </w:rPr>
              <w:t>vahvistettujen muuttujien luettelon muuttamiseksi.</w:t>
            </w:r>
            <w:r>
              <w:t xml:space="preserve"> </w:t>
            </w:r>
            <w:r>
              <w:rPr>
                <w:b/>
                <w:i/>
              </w:rPr>
              <w:t>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Pr>
                <w:b/>
                <w:i/>
                <w:vertAlign w:val="superscript"/>
              </w:rPr>
              <w:t>8</w:t>
            </w:r>
            <w:r>
              <w:rPr>
                <w:b/>
                <w:i/>
              </w:rPr>
              <w:t>vahvistettujen periaatteiden mukaisesti</w:t>
            </w:r>
            <w:r>
              <w:t xml:space="preserve">. </w:t>
            </w:r>
            <w:r>
              <w:rPr>
                <w:b/>
                <w:i/>
              </w:rPr>
              <w:t>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pPr>
              <w:pStyle w:val="Normal6a"/>
            </w:pPr>
            <w:r>
              <w:t>(16)</w:t>
            </w:r>
            <w:r>
              <w:tab/>
            </w:r>
            <w:r>
              <w:t xml:space="preserve">Jotta voidaan </w:t>
            </w:r>
            <w:r>
              <w:rPr>
                <w:b/>
                <w:i/>
              </w:rPr>
              <w:t>varmistaa vakaa ja avoin sääntelykehys tässä asetuksessa säädettyjä tilastollisia vaatimuksia varten,</w:t>
            </w:r>
            <w:r>
              <w:t xml:space="preserve"> liitteessä I </w:t>
            </w:r>
            <w:r>
              <w:rPr>
                <w:b/>
                <w:i/>
              </w:rPr>
              <w:t>lueteltuja muuttujia voidaan mukauttaa ainoastaan muuttamalla tätä asetusta tavallista lainsäätämisjärjestystä noudattaen.</w:t>
            </w:r>
            <w:r>
              <w:t xml:space="preserve"> </w:t>
            </w:r>
            <w:r>
              <w:rPr>
                <w:b/>
                <w:i/>
              </w:rPr>
              <w:t>Täytäntöönpanosäädöksissä olisi käsiteltävä ainoastaan teknisiä yksityiskohtia, jotka eivät johda uusiin tai laajennettuihin raportointivelvoitteisiin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EUVL L 123,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Jotta voidaan ottaa huomioon talouden ja tekniikan kehitys</w:t>
            </w:r>
            <w:r>
              <w:t xml:space="preserve">, </w:t>
            </w:r>
            <w:r>
              <w:rPr>
                <w:b/>
                <w:i/>
              </w:rPr>
              <w:t>komissiolle olisi siirrettävä valta hyväksyä säädösvallan siirron nojalla annettavia delegoituja säädöksiä Euroopan unionin toiminnasta tehdyn sopimuksen 290 artiklan mukaisesti</w:t>
            </w:r>
            <w:r>
              <w:t xml:space="preserve"> liitteessä I </w:t>
            </w:r>
            <w:r>
              <w:rPr>
                <w:b/>
                <w:i/>
              </w:rPr>
              <w:t>vahvistettujen muuttujien luettelon muuttamiseksi.</w:t>
            </w:r>
            <w:r>
              <w:t xml:space="preserve"> </w:t>
            </w:r>
            <w:r>
              <w:rPr>
                <w:b/>
                <w:i/>
              </w:rPr>
              <w:t>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Pr>
                <w:b/>
                <w:i/>
                <w:vertAlign w:val="superscript"/>
              </w:rPr>
              <w:t>8</w:t>
            </w:r>
            <w:r>
              <w:rPr>
                <w:b/>
                <w:i/>
              </w:rPr>
              <w:t>vahvistettujen periaatteiden mukaisesti</w:t>
            </w:r>
            <w:r>
              <w:t xml:space="preserve">. </w:t>
            </w:r>
            <w:r>
              <w:rPr>
                <w:b/>
                <w:i/>
              </w:rPr>
              <w:t>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pPr>
              <w:pStyle w:val="Normal6a"/>
            </w:pPr>
            <w:r>
              <w:t>(16)</w:t>
            </w:r>
            <w:r>
              <w:tab/>
            </w:r>
            <w:r>
              <w:rPr>
                <w:b/>
                <w:i/>
              </w:rPr>
              <w:t>Sen varmistamiseksi, että tässä asetuksessa säädetyt tilastolliset vaatimukset perustuvat vakaaseen ja avoimeen sääntelykehykseen</w:t>
            </w:r>
            <w:r>
              <w:t xml:space="preserve">, liitteessä I </w:t>
            </w:r>
            <w:r>
              <w:rPr>
                <w:b/>
                <w:i/>
              </w:rPr>
              <w:t>lueteltuja muuttujia voidaan mukauttaa ainoastaan muuttamalla tätä asetusta tavallista lainsäätämisjärjestystä noudattaen.</w:t>
            </w:r>
            <w:r>
              <w:t xml:space="preserve"> </w:t>
            </w:r>
            <w:r>
              <w:rPr>
                <w:b/>
                <w:i/>
              </w:rPr>
              <w:t>Täytäntöönpanosäädösten olisi koskettava ainoastaan teknisiä yksityiskohtia, jotka eivät johda uusiin tai laajennettuihin raportointivelvoitteisiin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EUVL L 123,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Jotta voidaan varmistaa tämän asetuksen yhdenmukainen täytäntöönpano muuttujien yksityiskohtien sekä muotoa, turvallisuutta ja salassapitoa koskevien toimenpiteiden ja salassapidettävien tietojen vaihdon, laatu- ja metatietojen selvitysten siirtoa, sisältöä ja määräaikoja koskevien järjestelyjen, tietojen ja metatietojen siirtoa koskevien standardien sekä tämän asetuksen vaatimuksista tai tämän asetuksen nojalla annettujen delegoitujen säädösten tai täytäntöönpanosäädösten vaatimuksista poikkeamisen osalta, komissiolle olisi siirrettävä täytäntöönpanovaltaa.</w:t>
            </w:r>
            <w:r>
              <w:t xml:space="preserve"> </w:t>
            </w:r>
            <w:r>
              <w:rPr>
                <w:b/>
                <w:i/>
              </w:rPr>
              <w:t>Tätä valtaa olisi käytettävä Euroopan parlamentin ja neuvoston asetuksen (EU) N:o 182/2011</w:t>
            </w:r>
            <w:r>
              <w:rPr>
                <w:b/>
                <w:i/>
                <w:vertAlign w:val="superscript"/>
              </w:rPr>
              <w:t>9</w:t>
            </w:r>
            <w:r>
              <w:rPr>
                <w:b/>
                <w:i/>
              </w:rPr>
              <w:t>mukaisesti.</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9</w:t>
            </w:r>
            <w:r>
              <w:t xml:space="preserve"> </w:t>
            </w:r>
            <w:r>
              <w:rPr>
                <w:b/>
                <w:i/>
              </w:rPr>
              <w:t>EUVL L 55, 28.2.2011, s.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Jotta voidaan varmistaa tämän asetuksen yhdenmukainen täytäntöönpano </w:t>
            </w:r>
            <w:r>
              <w:rPr>
                <w:b/>
                <w:i/>
              </w:rPr>
              <w:t>muuttujien yksityiskohtien sekä muotoa, turvallisuutta ja salassapitoa koskevien toimenpiteiden ja salassapidettävien tietojen vaihdon, laatu- ja metatietojen selvitysten siirtoa, sisältöä ja määräaikoja koskevien järjestelyjen, tietojen ja metatietojen siirtoa koskevien standardien sekä tämän asetuksen vaatimuksista tai tämän asetuksen nojalla annettujen delegoitujen säädösten tai täytäntöönpanosäädösten vaatimuksista poikkeamisen osalta</w:t>
            </w:r>
            <w:r>
              <w:t>, komissiolle olisi siirrettävä täytäntöönpanovaltaa. Tätä valtaa olisi käytettävä Euroopan parlamentin ja neuvoston asetuksen (EU) N:o 182/2011</w:t>
            </w:r>
            <w:r>
              <w:rPr>
                <w:vertAlign w:val="superscript"/>
              </w:rPr>
              <w:t>9</w:t>
            </w:r>
            <w:r>
              <w:t>mukaisesti.</w:t>
            </w:r>
          </w:p>
        </w:tc>
        <w:tc>
          <w:tcPr>
            <w:tcW w:w="4876" w:type="dxa"/>
            <w:tcBorders>
              <w:top w:val="nil"/>
              <w:left w:val="nil"/>
              <w:bottom w:val="nil"/>
              <w:right w:val="nil"/>
            </w:tcBorders>
          </w:tcPr>
          <w:p>
            <w:pPr>
              <w:pStyle w:val="Normal6a"/>
            </w:pPr>
            <w:r>
              <w:t>(17)</w:t>
            </w:r>
            <w:r>
              <w:tab/>
            </w:r>
            <w:r>
              <w:t>Jotta voidaan varmistaa tämän asetuksen yhdenmukainen täytäntöönpano, komissiolle olisi siirrettävä täytäntöönpanovaltaa</w:t>
            </w:r>
            <w:r>
              <w:rPr>
                <w:b/>
                <w:i/>
              </w:rPr>
              <w:t>.</w:t>
            </w:r>
            <w:r>
              <w:t xml:space="preserve"> </w:t>
            </w:r>
            <w:r>
              <w:rPr>
                <w:b/>
                <w:i/>
              </w:rPr>
              <w:t>Näiden täytäntöönpanosäädösten olisi koskettava ainoastaan tämän asetuksen soveltamiseksi tarvittavia teknisiä yksityiskohtia ja käytännön järjestelyjä, kuten muotojen, tiedonsiirtomenettelyjen, turvatoimien tai teknisten eritelmien vahvistamista, mukaan lukien tämän asetuksen vaatimuksia koskevin poikkeusten vahvistaminen.</w:t>
            </w:r>
            <w:r>
              <w:t xml:space="preserve"> </w:t>
            </w:r>
            <w:r>
              <w:rPr>
                <w:b/>
                <w:i/>
              </w:rPr>
              <w:t>Niiden avulla ei pitäisi voida perustella jäsenvaltioille tai tietojen toimittajille asetettavia uusia tai laajennettuja raportointivelvoitteita</w:t>
            </w:r>
            <w:r>
              <w:t>. Tätä valtaa olisi käytettävä Euroopan parlamentin ja neuvoston asetuksen (EU) N:o 182/2011</w:t>
            </w:r>
            <w:r>
              <w:rPr>
                <w:vertAlign w:val="superscript"/>
              </w:rPr>
              <w:t>9</w:t>
            </w:r>
            <w:r>
              <w:t xml:space="preserve">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EUVL L 55, 28.2.2011, s. 13.</w:t>
            </w:r>
          </w:p>
        </w:tc>
        <w:tc>
          <w:tcPr>
            <w:tcW w:w="4876" w:type="dxa"/>
            <w:tcBorders>
              <w:top w:val="nil"/>
              <w:left w:val="nil"/>
              <w:bottom w:val="nil"/>
              <w:right w:val="nil"/>
            </w:tcBorders>
          </w:tcPr>
          <w:p>
            <w:pPr>
              <w:pStyle w:val="Normal6a"/>
            </w:pPr>
            <w:r>
              <w:rPr>
                <w:vertAlign w:val="superscript"/>
              </w:rPr>
              <w:t>9</w:t>
            </w:r>
            <w:r>
              <w:t xml:space="preserve"> </w:t>
            </w:r>
            <w:r>
              <w:t>EUVL L 55, 28.2.2011, s. 13.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Jos tämän asetuksen tai tämän asetuksen nojalla annettujen täytäntöönpanosäädösten soveltaminen edellyttää merkittäviä mukautuksia jonkin jäsenvaltion kansalliseen tilastojärjestelmään, komission olisi voitava asianmukaisesti perustelluissa tapauksissa myöntää asianomaiselle jäsenvaltiolle poikkeuksia.</w:t>
            </w:r>
            <w:r>
              <w:t xml:space="preserve"> </w:t>
            </w:r>
            <w:r>
              <w:rPr>
                <w:b/>
                <w:i/>
              </w:rPr>
              <w:t>Tällaisten poikkeusten olisi oltava väliaikaisia, ja ne olisi myönnettävä enintään kolmeksi vuodeksi.</w:t>
            </w:r>
            <w:r>
              <w:t xml:space="preserve"> </w:t>
            </w:r>
            <w:r>
              <w:rPr>
                <w:b/>
                <w:i/>
              </w:rPr>
              <w:t>Komission olisi tuettava asianomaisia jäsenvaltioita toimissa, joilla pyritään toteuttamaan niiden tilastojärjestelmiin mukautukset, joita vaaditaan, jotta poikkeuksista voidaan luopua mahdollisimman pian.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Jos tämän asetuksen </w:t>
            </w:r>
            <w:r>
              <w:rPr>
                <w:b/>
                <w:i/>
              </w:rPr>
              <w:t>tai tämän asetuksen nojalla annettujen täytäntöönpanosäädösten</w:t>
            </w:r>
            <w:r>
              <w:t xml:space="preserve"> soveltaminen edellyttää merkittäviä mukautuksia jonkin jäsenvaltion kansalliseen tilastojärjestelmään, komission olisi voitava asianmukaisesti perustelluissa tapauksissa myöntää asianomaiselle jäsenvaltiolle poikkeuksia. Tällaisten poikkeusten olisi oltava väliaikaisia, ja ne olisi myönnettävä enintään </w:t>
            </w:r>
            <w:r>
              <w:rPr>
                <w:b/>
                <w:i/>
              </w:rPr>
              <w:t>kolmeksi</w:t>
            </w:r>
            <w:r>
              <w:t xml:space="preserve"> vuodeksi. Komission olisi tuettava asianomaisia jäsenvaltioita toimissa, joilla pyritään toteuttamaan niiden tilastojärjestelmiin mukautukset, joita vaaditaan, jotta poikkeuksista voidaan luopua mahdollisimman pian.</w:t>
            </w:r>
          </w:p>
        </w:tc>
        <w:tc>
          <w:tcPr>
            <w:tcW w:w="4876" w:type="dxa"/>
            <w:tcBorders>
              <w:top w:val="nil"/>
              <w:left w:val="nil"/>
              <w:bottom w:val="nil"/>
              <w:right w:val="nil"/>
            </w:tcBorders>
          </w:tcPr>
          <w:p>
            <w:pPr>
              <w:pStyle w:val="Normal6a"/>
            </w:pPr>
            <w:r>
              <w:t>(18)</w:t>
            </w:r>
            <w:r>
              <w:tab/>
            </w:r>
            <w:r>
              <w:t>Jos tämän asetuksen soveltaminen edellyttää merkittäviä mukautuksia jonkin jäsenvaltion kansalliseen tilastojärjestelmään</w:t>
            </w:r>
            <w:r>
              <w:rPr>
                <w:b/>
                <w:i/>
              </w:rPr>
              <w:t>, erityisesti jos olennaisia osia tiedonkeruun edellyttämistä hallinnollisista menettelyistä ei ole vielä digitalisoitu</w:t>
            </w:r>
            <w:r>
              <w:t xml:space="preserve">, komission olisi voitava asianmukaisesti perustelluissa tapauksissa myöntää asianomaiselle jäsenvaltiolle poikkeuksia. Tällaisten poikkeusten olisi oltava väliaikaisia, ja ne olisi myönnettävä enintään </w:t>
            </w:r>
            <w:r>
              <w:rPr>
                <w:b/>
                <w:i/>
              </w:rPr>
              <w:t>viideksi</w:t>
            </w:r>
            <w:r>
              <w:t xml:space="preserve"> vuodeksi. Komission olisi tuettava asianomaisia jäsenvaltioita toimissa, joilla pyritään toteuttamaan niiden tilastojärjestelmiin mukautukset, joita vaaditaan, jotta poikkeuksista voidaan luopua mahdollisimman pian.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Jos tämän asetuksen </w:t>
            </w:r>
            <w:r>
              <w:rPr>
                <w:b/>
                <w:i/>
              </w:rPr>
              <w:t>tai tämän asetuksen nojalla annettujen täytäntöönpanosäädösten</w:t>
            </w:r>
            <w:r>
              <w:t xml:space="preserve"> soveltaminen edellyttää </w:t>
            </w:r>
            <w:r>
              <w:rPr>
                <w:b/>
                <w:i/>
              </w:rPr>
              <w:t>merkittäviä</w:t>
            </w:r>
            <w:r>
              <w:t xml:space="preserve"> mukautuksia jonkin jäsenvaltion kansalliseen tilastojärjestelmään, komission olisi voitava asianmukaisesti perustelluissa tapauksissa myöntää asianomaiselle jäsenvaltiolle poikkeuksia. Tällaisten poikkeusten olisi oltava väliaikaisia, ja ne olisi myönnettävä enintään </w:t>
            </w:r>
            <w:r>
              <w:rPr>
                <w:b/>
                <w:i/>
              </w:rPr>
              <w:t>kolmeksi</w:t>
            </w:r>
            <w:r>
              <w:t xml:space="preserve"> vuodeksi. Komission olisi tuettava asianomaisia jäsenvaltioita toimissa, joilla pyritään toteuttamaan niiden tilastojärjestelmiin mukautukset, joita vaaditaan, jotta poikkeuksista voidaan luopua mahdollisimman pian.</w:t>
            </w:r>
          </w:p>
        </w:tc>
        <w:tc>
          <w:tcPr>
            <w:tcW w:w="4876" w:type="dxa"/>
            <w:tcBorders>
              <w:top w:val="nil"/>
              <w:left w:val="nil"/>
              <w:bottom w:val="nil"/>
              <w:right w:val="nil"/>
            </w:tcBorders>
          </w:tcPr>
          <w:p>
            <w:pPr>
              <w:pStyle w:val="Normal6a"/>
            </w:pPr>
            <w:r>
              <w:t>(18)</w:t>
            </w:r>
            <w:r>
              <w:tab/>
            </w:r>
            <w:r>
              <w:t xml:space="preserve">Jos tämän asetuksen soveltaminen edellyttää mukautuksia jonkin jäsenvaltion kansalliseen tilastojärjestelmään, komission olisi voitava asianmukaisesti perustelluissa tapauksissa myöntää asianomaiselle jäsenvaltiolle poikkeuksia. Tällaisten poikkeusten olisi oltava väliaikaisia, ja ne olisi myönnettävä enintään </w:t>
            </w:r>
            <w:r>
              <w:rPr>
                <w:b/>
                <w:i/>
              </w:rPr>
              <w:t>viideksi</w:t>
            </w:r>
            <w:r>
              <w:t xml:space="preserve"> vuodeksi. Komission olisi tuettava asianomaisia jäsenvaltioita toimissa, joilla pyritään toteuttamaan niiden tilastojärjestelmiin mukautukset, joita vaaditaan, jotta poikkeuksista voidaan luopua mahdollisimman pian.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sosiaalinen kiinteistö;</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Markkinattomaan toimintaan, kuten sosiaaliseen asuntotuotantoon, käytettäviä kiinteistöjä ei pitäisi sisällyttää liikekiinteistöjä koskeviin tilastoihin.</w:t>
      </w:r>
      <w:r>
        <w:t xml:space="preserve"> </w:t>
      </w:r>
      <w:r>
        <w:t>Tämä vastaa Eurostatin raporttia ”Commercial property price indicators:</w:t>
      </w:r>
      <w:r>
        <w:t xml:space="preserve"> </w:t>
      </w:r>
      <w:r>
        <w:t>sources, methods and issues”.</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 – 10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“sosiaalisella asunnolla” asuinkiinteistöä, jonka oikeushenkilö omistaa tai jota tämä hallinnoi tarkoituksena vuokrata se heikommassa asemassa tai sosioekonomisesti epäsuotuisassa asemassa oleville henkilöille markkinahintoja alhaisemmalla hinnalla erityisten sääntöjen eikä markkinamekanismien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Tuottaessaan tässä asetuksessa edellytettyjä tilastoja jäsenvaltioiden on </w:t>
            </w:r>
            <w:r>
              <w:rPr>
                <w:b/>
                <w:i/>
              </w:rPr>
              <w:t>pyrittävä käyttämään</w:t>
            </w:r>
            <w:r>
              <w:t xml:space="preserve"> hallinnollisia tietoja </w:t>
            </w:r>
            <w:r>
              <w:rPr>
                <w:b/>
                <w:i/>
              </w:rPr>
              <w:t>mahdollisimman suuressa määrin vastausrasitteen keventämiseksi</w:t>
            </w:r>
            <w:r>
              <w:t>.</w:t>
            </w:r>
          </w:p>
        </w:tc>
        <w:tc>
          <w:tcPr>
            <w:tcW w:w="4876" w:type="dxa"/>
            <w:tcBorders>
              <w:top w:val="nil"/>
              <w:left w:val="nil"/>
              <w:bottom w:val="nil"/>
              <w:right w:val="nil"/>
            </w:tcBorders>
          </w:tcPr>
          <w:p>
            <w:pPr>
              <w:pStyle w:val="Normal6a"/>
            </w:pPr>
            <w:r>
              <w:t xml:space="preserve">Tuottaessaan tässä asetuksessa edellytettyjä tilastoja jäsenvaltioiden on </w:t>
            </w:r>
            <w:r>
              <w:rPr>
                <w:b/>
                <w:i/>
              </w:rPr>
              <w:t>käytettävä yksinomaan olemassa olevia</w:t>
            </w:r>
            <w:r>
              <w:t xml:space="preserve"> hallinnollisia tietoja.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Jos hallinnollisten tietojen avulla ei pystytä tuottamaan tilastoja, jotka täyttävät tämän asetuksen 6 artiklassa säädetyt laatuvaatimukset, jäsenvaltiot voivat käyttää lisäksi muita asiaankuuluvia tietolähteitä, mukaan lukien kyselytutkimukset ja yksityisten tahojen hallussa olevat tiedot, sekä tieteellisesti perusteltuja, hyvin dokumentoituja ja julkisesti saatavilla olevia menetelmiä tai innovatiivisia lähestymistapoja välttäen samalla liiallista rasitusta vastaajille.</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Jos hallinnollisten tietojen avulla ei pystytä tuottamaan tilastoja, jotka täyttävät tämän asetuksen 6 artiklassa säädetyt laatuvaatimukset, jäsenvaltiot voivat käyttää lisäksi muita asiaankuuluvia tietolähteitä, mukaan lukien kyselytutkimukset ja yksityisten tahojen hallussa olevat tiedot, sekä tieteellisesti perusteltuja, hyvin dokumentoituja ja julkisesti saatavilla olevia menetelmiä tai innovatiivisia lähestymistapoja välttäen samalla liiallista rasitusta vastaajille.</w:t>
            </w:r>
          </w:p>
        </w:tc>
        <w:tc>
          <w:tcPr>
            <w:tcW w:w="4876" w:type="dxa"/>
            <w:tcBorders>
              <w:top w:val="nil"/>
              <w:left w:val="nil"/>
              <w:bottom w:val="nil"/>
              <w:right w:val="nil"/>
            </w:tcBorders>
          </w:tcPr>
          <w:p>
            <w:pPr>
              <w:pStyle w:val="Normal6a"/>
            </w:pPr>
            <w:r>
              <w:t xml:space="preserve">Jos hallinnollisten tietojen avulla ei pystytä tuottamaan tilastoja, jotka täyttävät tämän asetuksen 6 artiklassa säädetyt laatuvaatimukset, jäsenvaltiot voivat käyttää lisäksi muita asiaankuuluvia tietolähteitä, mukaan lukien kyselytutkimukset ja yksityisten tahojen hallussa olevat tiedot, sekä tieteellisesti perusteltuja, hyvin dokumentoituja ja julkisesti saatavilla olevia menetelmiä tai innovatiivisia lähestymistapoja välttäen samalla liiallista rasitusta </w:t>
            </w:r>
            <w:r>
              <w:rPr>
                <w:b/>
                <w:i/>
              </w:rPr>
              <w:t>sekä kohtuutonta taloudellista rasitetta</w:t>
            </w:r>
            <w:r>
              <w:t xml:space="preserve"> vastaajille.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Liikekiinteistöjä koskevien muiden kuin rahoitustilastojen tuottamiseen tarvittavat tiedot on hankittava neuvoston asetuksessa (ETY) N:o 696/93 tarkoitetuilta tilastoyksiköiltä, hallinnollisten rekisterien haltijoilta</w:t>
            </w:r>
            <w:r>
              <w:rPr>
                <w:b/>
                <w:i/>
              </w:rPr>
              <w:t>, yksityisiltä tiedon haltijoilta</w:t>
            </w:r>
            <w:r>
              <w:t xml:space="preserve"> tai muista lähteistä edellyttäen, että tulokset täyttävät tämän asetuksen 6 artiklassa säädetyt laatuvaatimukset.</w:t>
            </w:r>
          </w:p>
        </w:tc>
        <w:tc>
          <w:tcPr>
            <w:tcW w:w="4876" w:type="dxa"/>
            <w:tcBorders>
              <w:top w:val="nil"/>
              <w:left w:val="nil"/>
              <w:bottom w:val="nil"/>
              <w:right w:val="nil"/>
            </w:tcBorders>
          </w:tcPr>
          <w:p>
            <w:pPr>
              <w:pStyle w:val="Normal6a"/>
            </w:pPr>
            <w:r>
              <w:t>1.</w:t>
            </w:r>
            <w:r>
              <w:tab/>
            </w:r>
            <w:r>
              <w:t>Liikekiinteistöjä koskevien muiden kuin rahoitustilastojen tuottamiseen tarvittavat tiedot on hankittava neuvoston asetuksessa (ETY) N:o 696/93 tarkoitetuilta tilastoyksiköiltä, hallinnollisten rekisterien haltijoilta tai muista lähteistä edellyttäen, että tulokset täyttävät tämän asetuksen 6 artiklassa säädetyt laatuvaatimukset.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The Left -ryhmän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Tilastoyksiköiden, joilta liikekiinteistöjä koskevia tietoja saadaan, on tarvittaessa tehtävä yhteistyötä tietojen keräämisessä tai toimittamisessa. Tilastoyksiköiden on annettava oikea-aikaiset, tarkat ja kattavat tiedot, joita tarvitaan tässä asetuksessa säädettyjen tilastojen tuottamiseen. Tilastoyksiköiden on toimitettava kyseiset tiedot kansallisille tilastoviranomaisille, jotka vastaavat liikekiinteistöjä koskevien muiden kuin rahoitustilastojen kokoamisesta.</w:t>
            </w:r>
          </w:p>
        </w:tc>
        <w:tc>
          <w:tcPr>
            <w:tcW w:w="4876" w:type="dxa"/>
            <w:tcBorders>
              <w:top w:val="nil"/>
              <w:left w:val="nil"/>
              <w:bottom w:val="nil"/>
              <w:right w:val="nil"/>
            </w:tcBorders>
          </w:tcPr>
          <w:p>
            <w:pPr>
              <w:pStyle w:val="Normal6a"/>
            </w:pPr>
            <w:r>
              <w:t>2.</w:t>
            </w:r>
            <w:r>
              <w:tab/>
            </w:r>
            <w:r>
              <w:t xml:space="preserve">Tilastoyksiköiden, joilta liikekiinteistöjä koskevia tietoja saadaan, on tarvittaessa tehtävä yhteistyötä tietojen keräämisessä tai toimittamisessa. Tilastoyksiköiden on annettava oikea-aikaiset, tarkat ja kattavat tiedot, joita tarvitaan tässä asetuksessa säädettyjen tilastojen tuottamiseen. Tilastoyksiköiden on toimitettava kyseiset tiedot kansallisille tilastoviranomaisille, jotka vastaavat liikekiinteistöjä koskevien muiden kuin rahoitustilastojen kokoamisesta. </w:t>
            </w:r>
            <w:r>
              <w:rPr>
                <w:b/>
                <w:i/>
              </w:rPr>
              <w:t>Tiedot on annettava sähköisessä ja koneluettavassa muodossa.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Tiedot olisi annettava sähköisessä ja koneluettavassa muodossa yhteentoimivuuden varmistamiseksi ja automaattisen käytön helpottamiseksi.</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The Left -ryhmän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Liikekiinteistöjä koskevien muiden kuin rahoitustilastojen kokoamisesta vastaavien kansallisten tilastoviranomaisten pyynnöstä tilastoyksiköiden on toimitettava liiketoimia koskevat sähköiset asiakirja-aineistot, jos sellaisia on saatavilla, niin yksityiskohtaisesti kuin on tarpeen liikekiinteistöjä koskevien muiden kuin rahoitustilastojen tuottamiseksi.</w:t>
            </w:r>
          </w:p>
        </w:tc>
        <w:tc>
          <w:tcPr>
            <w:tcW w:w="4876" w:type="dxa"/>
            <w:tcBorders>
              <w:top w:val="nil"/>
              <w:left w:val="nil"/>
              <w:bottom w:val="nil"/>
              <w:right w:val="nil"/>
            </w:tcBorders>
          </w:tcPr>
          <w:p>
            <w:pPr>
              <w:pStyle w:val="Normal6a"/>
            </w:pPr>
            <w:r>
              <w:t>3.</w:t>
            </w:r>
            <w:r>
              <w:tab/>
            </w:r>
            <w:r>
              <w:t xml:space="preserve">Liikekiinteistöjä koskevien muiden kuin rahoitustilastojen kokoamisesta vastaavien kansallisten tilastoviranomaisten pyynnöstä tilastoyksiköiden on toimitettava liiketoimia koskevat sähköiset </w:t>
            </w:r>
            <w:r>
              <w:rPr>
                <w:b/>
                <w:i/>
              </w:rPr>
              <w:t>ja koneluettavat</w:t>
            </w:r>
            <w:r>
              <w:t xml:space="preserve"> asiakirja-aineistot, jos sellaisia on saatavilla, niin yksityiskohtaisesti kuin on tarpeen liikekiinteistöjä koskevien muiden kuin rahoitustilastojen tuottamiseksi.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Tiedot olisi annettava koneluettavassa muodossa (ei pelkästään "sähköisesti") yhteentoimivuuden varmistamiseksi ja automaattisen käytön helpottamiseksi.</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Asetuksen (EY) N:o 223/2009 17 a artiklan mukaisesti kansallisilla tilastolaitoksilla ja muilla kansallisilla tilastoviranomaisilla on oltava maksutta, viipymättä ja riittävällä tiheydellä ja tarkkuudella pääsy hallinnollisten tietolähteiden tietoihin ja merkityksellisiin metatietoihin, tietokantoihin, yhteentoimivuusjärjestelmiin ja kaikkiin liikekiinteistöjä koskevien muiden kuin rahoitustilastojen tuottamisessa merkityksellisiin ja tarpeellisiin tietoihin ja oikeus käyttää ja integroida niitä. Liikekiinteistöjä koskevien muiden kuin rahoitustilastojen laatimisesta vastaavien kansallisten tilastoviranomaisten pääsy tällaisiin tietoihin ja metatietoihin on rajoitettava hallinnollisiin rekistereihin niiden omissa julkisissa hallintojärjestelmissä.</w:t>
            </w:r>
          </w:p>
        </w:tc>
        <w:tc>
          <w:tcPr>
            <w:tcW w:w="4876" w:type="dxa"/>
            <w:tcBorders>
              <w:top w:val="nil"/>
              <w:left w:val="nil"/>
              <w:bottom w:val="nil"/>
              <w:right w:val="nil"/>
            </w:tcBorders>
          </w:tcPr>
          <w:p>
            <w:pPr>
              <w:pStyle w:val="Normal6a"/>
            </w:pPr>
            <w:r>
              <w:t>4.</w:t>
            </w:r>
            <w:r>
              <w:tab/>
            </w:r>
            <w:r>
              <w:t xml:space="preserve">Asetuksen (EY) N:o 223/2009 17 a artiklan mukaisesti kansallisilla tilastolaitoksilla ja muilla kansallisilla tilastoviranomaisilla on oltava maksutta, viipymättä ja riittävällä tiheydellä ja tarkkuudella pääsy hallinnollisten tietolähteiden tietoihin ja merkityksellisiin metatietoihin, tietokantoihin, yhteentoimivuusjärjestelmiin ja kaikkiin liikekiinteistöjä koskevien muiden kuin rahoitustilastojen </w:t>
            </w:r>
            <w:r>
              <w:rPr>
                <w:b/>
                <w:i/>
              </w:rPr>
              <w:t>kehittämisessä ja</w:t>
            </w:r>
            <w:r>
              <w:t xml:space="preserve"> tuottamisessa merkityksellisiin ja tarpeellisiin tietoihin ja oikeus käyttää ja integroida niitä. Liikekiinteistöjä koskevien muiden kuin rahoitustilastojen laatimisesta vastaavien kansallisten tilastoviranomaisten pääsy tällaisiin tietoihin ja metatietoihin on rajoitettava hallinnollisiin rekistereihin niiden omissa julkisissa hallintojärjestelmissä.</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Kansallinen tilastolaitos tai komissio (Eurostat) voi asetuksen (EY) N:o 223/2009 17 b artiklan mukaisesti pyytää yksityistä tiedon haltijaa asettamaan maksutta saataville tietoja ja merkityksellisiä metatietoja, jos pyydetyt tiedot ovat ehdottoman välttämättömiä Euroopan liikekiinteistöjä koskevien tilastojen kehittämiseksi, tuottamiseksi ja levittämiseksi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Kansallinen tilastolaitos tai komissio (Eurostat) voi asetuksen (EY) N:o 223/2009 17 b artiklan mukaisesti pyytää yksityistä tiedon haltijaa asettamaan maksutta saataville tietoja ja merkityksellisiä metatietoja, jos pyydetyt tiedot ovat ehdottoman välttämättömiä Euroopan liikekiinteistöjä koskevien tilastojen kehittämiseksi</w:t>
            </w:r>
            <w:r>
              <w:rPr>
                <w:b/>
                <w:i/>
              </w:rPr>
              <w:t>,</w:t>
            </w:r>
            <w:r>
              <w:t xml:space="preserve"> tuottamiseksi </w:t>
            </w:r>
            <w:r>
              <w:rPr>
                <w:b/>
                <w:i/>
              </w:rPr>
              <w:t>ja levittämiseksi</w:t>
            </w:r>
            <w:r>
              <w:t xml:space="preserve">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t>5.</w:t>
            </w:r>
            <w:r>
              <w:tab/>
            </w:r>
            <w:r>
              <w:t xml:space="preserve">Kansallinen tilastolaitos tai komissio (Eurostat) voi asetuksen (EY) N:o 223/2009 17 b artiklan mukaisesti pyytää yksityistä tiedon haltijaa asettamaan maksutta saataville tietoja ja merkityksellisiä metatietoja, jos pyydetyt tiedot ovat ehdottoman välttämättömiä Euroopan liikekiinteistöjä koskevien tilastojen kehittämiseksi </w:t>
            </w:r>
            <w:r>
              <w:rPr>
                <w:b/>
                <w:i/>
              </w:rPr>
              <w:t>ja</w:t>
            </w:r>
            <w:r>
              <w:t xml:space="preserve"> tuottamiseksi ja jos tietoja ei voida saada muilla tavoin tai niiden uudelleenkäyttö keventää huomattavasti tietojen haltijoille ja muille yrityksille aiheutuvaa vastausrasitetta. </w:t>
            </w:r>
            <w:r>
              <w:rPr>
                <w:b/>
                <w:i/>
              </w:rPr>
              <w:t>Yksityisiltä tiedon haltijoilta saatujen, kansallisen tilastolaitoksen tai komission (Eurostatin) toimivaltaan kuulumattomien tietojen ja metatietojen siirto, julkaiseminen tai muu käyttö edellyttää asianomaisen yksityisen tiedon haltijan nimenomaista kirjallista suostumusta.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Kansallinen tilastolaitos tai komissio (Eurostat) voi asetuksen (EY) N:o 223/2009 17 b artiklan mukaisesti pyytää yksityistä tiedon haltijaa asettamaan maksutta saataville tietoja ja merkityksellisiä metatietoja, jos pyydetyt tiedot ovat ehdottoman välttämättömiä Euroopan liikekiinteistöjä koskevien tilastojen kehittämiseksi, tuottamiseksi ja levittämiseksi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t>5.</w:t>
            </w:r>
            <w:r>
              <w:tab/>
            </w:r>
            <w:r>
              <w:t xml:space="preserve">Kansallinen tilastolaitos tai komissio (Eurostat) voi asetuksen (EY) N:o 223/2009 17 b artiklan mukaisesti pyytää yksityistä tiedon haltijaa asettamaan maksutta saataville tietoja ja merkityksellisiä metatietoja, jos pyydetyt tiedot ovat ehdottoman välttämättömiä Euroopan liikekiinteistöjä koskevien tilastojen kehittämiseksi, tuottamiseksi ja levittämiseksi ja jos tietoja ei voida saada muilla tavoin tai niiden uudelleenkäyttö keventää huomattavasti tietojen haltijoille ja muille yrityksille aiheutuvaa vastausrasitetta. </w:t>
            </w:r>
            <w:r>
              <w:rPr>
                <w:b/>
                <w:i/>
              </w:rPr>
              <w:t>Kansallisten tilastolaitosten ja komission oikeus pyytää tietoja yksityisiltä tiedon haltijoilta ei saa aiheuttaa kohtuutonta taloudellista rasitetta yrityksille tai yhdistyksille.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p>
        </w:tc>
        <w:tc>
          <w:tcPr>
            <w:tcW w:w="4876" w:type="dxa"/>
            <w:tcBorders>
              <w:top w:val="nil"/>
              <w:left w:val="nil"/>
              <w:bottom w:val="nil"/>
              <w:right w:val="nil"/>
            </w:tcBorders>
          </w:tcPr>
          <w:p>
            <w:pPr>
              <w:pStyle w:val="Normal6a"/>
            </w:pPr>
            <w:r>
              <w:t>2.</w:t>
            </w:r>
            <w:r>
              <w:tab/>
            </w:r>
            <w:r>
              <w:t xml:space="preserve">Jäsenvaltioiden on koottava ja toimitettava komissiolle (Eurostatille) kunkin 1 kohdassa tarkoitetun muuttujan kannalta merkitykselliset tiedot. </w:t>
            </w:r>
            <w:r>
              <w:rPr>
                <w:b/>
                <w:i/>
              </w:rPr>
              <w:t>Jäsenvaltioiden, joiden liikekiinteistömarkkinat ovat pienet, on koottava nämä tiedot vuosittain.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p>
        </w:tc>
        <w:tc>
          <w:tcPr>
            <w:tcW w:w="4876" w:type="dxa"/>
            <w:tcBorders>
              <w:top w:val="nil"/>
              <w:left w:val="nil"/>
              <w:bottom w:val="nil"/>
              <w:right w:val="nil"/>
            </w:tcBorders>
          </w:tcPr>
          <w:p>
            <w:pPr>
              <w:pStyle w:val="Normal6a"/>
            </w:pPr>
            <w:r>
              <w:t>2.</w:t>
            </w:r>
            <w:r>
              <w:tab/>
            </w:r>
            <w:r>
              <w:t xml:space="preserve">Jäsenvaltioiden on koottava ja toimitettava komissiolle (Eurostatille) kunkin 1 kohdassa tarkoitetun muuttujan kannalta merkitykselliset tiedot. </w:t>
            </w:r>
            <w:r>
              <w:rPr>
                <w:b/>
                <w:i/>
              </w:rPr>
              <w:t>Tiedot on toimitettava NUTS 3 -tasolla, jos ne ovat saatavilla, ja joka tapauksessa NUTS 2 -tasolla.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p>
        </w:tc>
        <w:tc>
          <w:tcPr>
            <w:tcW w:w="4876" w:type="dxa"/>
            <w:tcBorders>
              <w:top w:val="nil"/>
              <w:left w:val="nil"/>
              <w:bottom w:val="nil"/>
              <w:right w:val="nil"/>
            </w:tcBorders>
          </w:tcPr>
          <w:p>
            <w:pPr>
              <w:pStyle w:val="Normal6a"/>
            </w:pPr>
            <w:r>
              <w:t>2.</w:t>
            </w:r>
            <w:r>
              <w:tab/>
            </w:r>
            <w:r>
              <w:t xml:space="preserve">Jäsenvaltioiden on koottava ja toimitettava komissiolle (Eurostatille) </w:t>
            </w:r>
            <w:r>
              <w:rPr>
                <w:b/>
                <w:i/>
              </w:rPr>
              <w:t>vähintään neljännesvuosittain</w:t>
            </w:r>
            <w:r>
              <w:t xml:space="preserve"> kunkin 1 kohdassa tarkoitetun muuttujan kannalta merkitykselliset tiedot.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p>
        </w:tc>
        <w:tc>
          <w:tcPr>
            <w:tcW w:w="4876" w:type="dxa"/>
            <w:tcBorders>
              <w:top w:val="nil"/>
              <w:left w:val="nil"/>
              <w:bottom w:val="nil"/>
              <w:right w:val="nil"/>
            </w:tcBorders>
          </w:tcPr>
          <w:p>
            <w:pPr>
              <w:pStyle w:val="Normal6a"/>
            </w:pPr>
            <w:r>
              <w:t>2.</w:t>
            </w:r>
            <w:r>
              <w:tab/>
            </w:r>
            <w:r>
              <w:t xml:space="preserve">Jäsenvaltioiden on koottava ja toimitettava komissiolle (Eurostatille) </w:t>
            </w:r>
            <w:r>
              <w:rPr>
                <w:b/>
                <w:i/>
              </w:rPr>
              <w:t>vuosittain</w:t>
            </w:r>
            <w:r>
              <w:t xml:space="preserve"> kunkin 1 kohdassa tarkoitetun muuttujan kannalta merkitykselliset tiedot.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p>
        </w:tc>
        <w:tc>
          <w:tcPr>
            <w:tcW w:w="4876" w:type="dxa"/>
            <w:tcBorders>
              <w:top w:val="nil"/>
              <w:left w:val="nil"/>
              <w:bottom w:val="nil"/>
              <w:right w:val="nil"/>
            </w:tcBorders>
          </w:tcPr>
          <w:p>
            <w:pPr>
              <w:pStyle w:val="Normal6a"/>
            </w:pPr>
            <w:r>
              <w:t>2.</w:t>
            </w:r>
            <w:r>
              <w:tab/>
            </w:r>
            <w:r>
              <w:t xml:space="preserve">Jäsenvaltioiden on koottava </w:t>
            </w:r>
            <w:r>
              <w:rPr>
                <w:b/>
                <w:i/>
              </w:rPr>
              <w:t>vuosittain</w:t>
            </w:r>
            <w:r>
              <w:t> ja toimitettava komissiolle (Eurostatille) kunkin 1 kohdassa tarkoitetun muuttujan kannalta merkitykselliset tiedot.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Siirretään komissiolle valta antaa delegoituja säädöksiä 9 artiklan mukaisesti liitteessä olevan muuttujien luettelon muuttamiseksi.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Siirretään komissiolle valta antaa delegoituja säädöksiä 9 artiklan mukaisesti liitteessä olevan muuttujien luettelon muuttamiseksi.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Tämän olisi kuuluttava lainsäätäjien toimivaltaan.</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Siirretään komissiolle valta antaa delegoituja säädöksiä 9 artiklan mukaisesti</w:t>
            </w:r>
            <w:r>
              <w:t xml:space="preserve"> liitteessä </w:t>
            </w:r>
            <w:r>
              <w:rPr>
                <w:b/>
                <w:i/>
              </w:rPr>
              <w:t>olevan muuttujien luettelon muuttamiseksi</w:t>
            </w:r>
            <w:r>
              <w:t>.</w:t>
            </w:r>
          </w:p>
        </w:tc>
        <w:tc>
          <w:tcPr>
            <w:tcW w:w="4876" w:type="dxa"/>
            <w:tcBorders>
              <w:top w:val="nil"/>
              <w:left w:val="nil"/>
              <w:bottom w:val="nil"/>
              <w:right w:val="nil"/>
            </w:tcBorders>
          </w:tcPr>
          <w:p>
            <w:pPr>
              <w:pStyle w:val="Normal6a"/>
            </w:pPr>
            <w:r>
              <w:t>3.</w:t>
            </w:r>
            <w:r>
              <w:tab/>
            </w:r>
            <w:r>
              <w:t xml:space="preserve">Liitteessä </w:t>
            </w:r>
            <w:r>
              <w:rPr>
                <w:b/>
                <w:i/>
              </w:rPr>
              <w:t>I olevat muuttujat määritetään tyhjentävästi tässä asetuksessa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Käyttäessään valtaansa antaa delegoituja säädöksiä komissio varmistaa, ettei delegoiduista säädöksistä aiheudu merkittäviä lisäkustannuksia tai merkittävää lisärasitetta jäsenvaltioille tai vastaajille.</w:t>
            </w:r>
            <w:r>
              <w:t xml:space="preserve"> </w:t>
            </w:r>
            <w:r>
              <w:rPr>
                <w:b/>
                <w:i/>
              </w:rPr>
              <w:t>Jota voidaan arvioida mahdollisista uusista tietovaatimuksista, myös nykyisten vapaaehtoisten tietovaatimusten pakollisiksi tekemisestä, aiheutuvia kustannuksia ja rasitteita sekä niiden toteutettavuutta, toteutetaan pilottitutkimuksia 7 artiklan mukaisesti, ja niiden tulokset arvioidaan ja otetaan huomioon asianmukaisesti ennen delegoidun säädöksen hyväksymistä.</w:t>
            </w:r>
            <w:r>
              <w:t xml:space="preserve"> </w:t>
            </w:r>
            <w:r>
              <w:rPr>
                <w:b/>
                <w:i/>
              </w:rPr>
              <w:t>Uusia muuttujia otetaan käyttöön ainoastaan, jos pilottitutkimukset osoittavat, että kyseisten muuttujien kerääminen on mahdollista kaikissa jäsenvaltioissa.</w:t>
            </w:r>
            <w:r>
              <w:t xml:space="preserve"> </w:t>
            </w:r>
            <w:r>
              <w:rPr>
                <w:b/>
                <w:i/>
              </w:rPr>
              <w:t>Tässä kohdassa tarkoitetut pilottitutkimukset rahoitetaan 8 artiklan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Liitteessä I olevat muuttujat määritetään tyhjentävästi tässä asetuksessa.</w:t>
            </w:r>
            <w:r>
              <w:t xml:space="preserve"> </w:t>
            </w:r>
            <w:r>
              <w:rPr>
                <w:b/>
                <w:i/>
              </w:rPr>
              <w:t>Muutoksia voidaan tehdä ainoastaan tavallista lainsäätämisjärjestystä noudattaen.</w:t>
            </w:r>
            <w:r>
              <w:t xml:space="preserve"> </w:t>
            </w:r>
            <w:r>
              <w:rPr>
                <w:b/>
                <w:i/>
              </w:rPr>
              <w:t>Täytäntöönpanosäädökset voivat koskea ainoastaan teknisiä yksityiskohtia, joiden perusteella ei voi asettaa uusia tai laajennettuja raportointivelvoitteita.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Komissio voi antaa täytäntöönpanosäädöksiä, joissa täsmennetään seuraavat toimitettavien tietojen osatekijät sekä niiden tekniset määritelmät ja yksinkertaistukset:</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mittayksikkö;</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tilastoinnin perusjoukko;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luokitukset ja jaottelut;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indeksien laatiminen;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approksimaatioiden käyttö ja laatuvaatimukset;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viitekausi;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tietojen toimittamisen määräaika;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ensimmäinen viitekausi.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Komissio voi antaa täytäntöönpanosäädöksiä, joissa täsmennetään seuraavat toimitettavien tietojen osatekijät sekä niiden tekniset määritelmät ja yksinkertaistukset:</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mittayksikkö;</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tilastoinnin perusjoukko;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luokitukset ja jaottelut;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indeksien laatiminen;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approksimaatioiden käyttö ja laatuvaatimukset;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viitekausi;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tietojen toimittamisen määräaika;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ensimmäinen viitekausi.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Komissio </w:t>
            </w:r>
            <w:r>
              <w:rPr>
                <w:b/>
                <w:i/>
              </w:rPr>
              <w:t>voi</w:t>
            </w:r>
            <w:r>
              <w:t xml:space="preserve"> antaa täytäntöönpanosäädöksiä, joissa täsmennetään seuraavat toimitettavien tietojen osatekijät sekä niiden tekniset määritelmät ja yksinkertaistukset:</w:t>
            </w:r>
          </w:p>
        </w:tc>
        <w:tc>
          <w:tcPr>
            <w:tcW w:w="4876" w:type="dxa"/>
            <w:tcBorders>
              <w:top w:val="nil"/>
              <w:left w:val="nil"/>
              <w:bottom w:val="nil"/>
              <w:right w:val="nil"/>
            </w:tcBorders>
          </w:tcPr>
          <w:p>
            <w:pPr>
              <w:pStyle w:val="Normal6a"/>
            </w:pPr>
            <w:r>
              <w:t>4.</w:t>
            </w:r>
            <w:r>
              <w:tab/>
            </w:r>
            <w:r>
              <w:t>Komissio antaa täytäntöönpanosäädöksiä, joissa täsmennetään seuraavat toimitettavien tietojen osatekijät sekä niiden tekniset määritelmät ja yksinkertaistukset: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mittayksikkö;</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mittayksikkö;</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tilastoinnin perusjoukko;</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tilastoinnin perusjoukko;</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luokitukset ja jaottelut;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luokitukset ja jaottelut;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indeksien laatiminen;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indeksien laatiminen;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approksimaatioiden käyttö ja laatuvaatimukset;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approksimaatioiden käyttö ja laatuvaatimukset;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viitekausi;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viitekausi;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tietojen toimittamisen määräaika;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tietojen toimittamisen määräaika;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h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ensimmäinen viitekausi.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h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ensimmäinen viitekausi.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Edellä 4 kohdan c alakohdassa tarkoitettujen jaottelujen osalta komissio vähintään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tekee eron luonnollisten henkilöiden ja oikeushenkilöiden omistamien liikekiinteistöjen välillä;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tekee eron asumiseen tarkoitettujen liikekiinteistöjen ja muiden liikekiinteistöjen välillä;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yksilöi lyhytaikaiseen vuokramajoitukseen tarkoitetut kiinteistöt.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Edellä 4 kohdassa tarkoitetut täytäntöönpanosäädökset hyväksytään 10 artiklassa tarkoitettua tarkastelumenettelyä noudattaen.</w:t>
            </w:r>
          </w:p>
        </w:tc>
        <w:tc>
          <w:tcPr>
            <w:tcW w:w="4876" w:type="dxa"/>
            <w:tcBorders>
              <w:top w:val="nil"/>
              <w:left w:val="nil"/>
              <w:bottom w:val="nil"/>
              <w:right w:val="nil"/>
            </w:tcBorders>
          </w:tcPr>
          <w:p>
            <w:pPr>
              <w:pStyle w:val="Normal6a"/>
            </w:pPr>
            <w:r>
              <w:t>6.</w:t>
            </w:r>
            <w:r>
              <w:tab/>
            </w:r>
            <w:r>
              <w:t xml:space="preserve">Edellä 4 kohdassa tarkoitetut täytäntöönpanosäädökset hyväksytään 10 artiklassa tarkoitettua tarkastelumenettelyä noudattaen </w:t>
            </w:r>
            <w:r>
              <w:rPr>
                <w:b/>
                <w:i/>
              </w:rPr>
              <w:t>vähintään 24 kuukautta ennen kyseisen viitekauden alkua</w:t>
            </w:r>
            <w:r>
              <w:t xml:space="preserve">. </w:t>
            </w:r>
            <w:r>
              <w:rPr>
                <w:b/>
                <w:i/>
              </w:rPr>
              <w:t>Komissio varmistaa, että tämän kohdan nojalla annetut täytäntöönpanosäädökset ovat suhteellisuusperiaatteen mukaisia eikä niistä aiheudu merkittäviä lisäkustannuksia tai merkittävää lisärasitetta jäsenvaltioille tai yrityksille.</w:t>
            </w:r>
            <w:r>
              <w:t xml:space="preserve"> </w:t>
            </w:r>
            <w:r>
              <w:rPr>
                <w:b/>
                <w:i/>
              </w:rPr>
              <w:t>Jäljempänä 7 artiklassa tarkoitetut pilottitutkimukset tehdään ja niiden tulokset arvioidaan ja otetaan huomioon asianmukaisesti ennen tämän artiklan 4 kohdassa tarkoitettujen dataelementtien muuttamista.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4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vuosittaiset</w:t>
            </w:r>
            <w:r>
              <w:t xml:space="preserve"> viitemetatiedot ja laaturaportit;</w:t>
            </w:r>
          </w:p>
        </w:tc>
        <w:tc>
          <w:tcPr>
            <w:tcW w:w="4876" w:type="dxa"/>
            <w:tcBorders>
              <w:top w:val="nil"/>
              <w:left w:val="nil"/>
              <w:bottom w:val="nil"/>
              <w:right w:val="nil"/>
            </w:tcBorders>
          </w:tcPr>
          <w:p>
            <w:pPr>
              <w:pStyle w:val="Normal6a"/>
            </w:pPr>
            <w:r>
              <w:t>a)</w:t>
            </w:r>
            <w:r>
              <w:tab/>
            </w:r>
            <w:r>
              <w:rPr>
                <w:b/>
                <w:i/>
              </w:rPr>
              <w:t>neljännesvuosittaiset</w:t>
            </w:r>
            <w:r>
              <w:t xml:space="preserve"> viitemetatiedot ja laaturaportit;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Jos komissio (Eurostat) toteaa, että tämän asetuksen soveltamisalaan kuuluviin tietokokonaisuuksiin tarvitaan uusia tietovaatimuksia tai parannuksia, se </w:t>
            </w:r>
            <w:r>
              <w:rPr>
                <w:b/>
                <w:i/>
              </w:rPr>
              <w:t>voi</w:t>
            </w:r>
            <w:r>
              <w:t xml:space="preserve"> ennen uutta tiedonkeruuta </w:t>
            </w:r>
            <w:r>
              <w:rPr>
                <w:b/>
                <w:i/>
              </w:rPr>
              <w:t>käynnistää</w:t>
            </w:r>
            <w:r>
              <w:t xml:space="preserve"> pilottitutkimuksia, joita jäsenvaltiot toteuttavat vapaaehtoisuuden pohjalta.</w:t>
            </w:r>
          </w:p>
        </w:tc>
        <w:tc>
          <w:tcPr>
            <w:tcW w:w="4876" w:type="dxa"/>
            <w:tcBorders>
              <w:top w:val="nil"/>
              <w:left w:val="nil"/>
              <w:bottom w:val="nil"/>
              <w:right w:val="nil"/>
            </w:tcBorders>
          </w:tcPr>
          <w:p>
            <w:pPr>
              <w:pStyle w:val="Normal6a"/>
            </w:pPr>
            <w:r>
              <w:t>1.</w:t>
            </w:r>
            <w:r>
              <w:tab/>
            </w:r>
            <w:r>
              <w:t xml:space="preserve">Jos komissio (Eurostat) toteaa, että tämän asetuksen soveltamisalaan kuuluviin tietokokonaisuuksiin tarvitaan uusia tietovaatimuksia tai parannuksia, se </w:t>
            </w:r>
            <w:r>
              <w:rPr>
                <w:b/>
                <w:i/>
              </w:rPr>
              <w:t>käynnistää</w:t>
            </w:r>
            <w:r>
              <w:t xml:space="preserve"> ennen uutta tiedonkeruuta pilottitutkimuksia, joita jäsenvaltiot toteuttavat vapaaehtoisuuden pohjalta.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Edellä 1 kohdassa tarkoitetut pilottitutkimukset on toteutettava uusien tietovaatimusten tai parannusten tarkoituksenmukaisuuden ja toteutettavuuden arvioimiseksi. Komissio tekee tarvittaessa ja pilottitutkimusten tulokset huomioon ottaen ehdotuksia uusien tietovaatimusten käyttöönottamiseksi.</w:t>
            </w:r>
          </w:p>
        </w:tc>
        <w:tc>
          <w:tcPr>
            <w:tcW w:w="4876" w:type="dxa"/>
            <w:tcBorders>
              <w:top w:val="nil"/>
              <w:left w:val="nil"/>
              <w:bottom w:val="nil"/>
              <w:right w:val="nil"/>
            </w:tcBorders>
          </w:tcPr>
          <w:p>
            <w:pPr>
              <w:pStyle w:val="Normal6a"/>
            </w:pPr>
            <w:r>
              <w:t>2.</w:t>
            </w:r>
            <w:r>
              <w:tab/>
            </w:r>
            <w:r>
              <w:t>Edellä 1 kohdassa tarkoitetut pilottitutkimukset on toteutettava uusien tietovaatimusten tai parannusten tarkoituksenmukaisuuden ja toteutettavuuden arvioimiseksi</w:t>
            </w:r>
            <w:r>
              <w:rPr>
                <w:b/>
                <w:i/>
              </w:rPr>
              <w:t>, ja niitä toteutettaessa on minimoitava yksityisille tiedon haltijoille aiheutuva rasite</w:t>
            </w:r>
            <w:r>
              <w:t>. Komissio tekee tarvittaessa ja pilottitutkimusten tulokset huomioon ottaen ehdotuksia uusien tietovaatimusten käyttöönottamiseksi.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Edellä 1 kohdassa tarkoitetut pilottitutkimukset on toteutettava uusien tietovaatimusten tai parannusten tarkoituksenmukaisuuden ja toteutettavuuden arvioimiseksi. Komissio tekee tarvittaessa ja pilottitutkimusten tulokset huomioon ottaen ehdotuksia uusien tietovaatimusten käyttöönottamiseksi.</w:t>
            </w:r>
          </w:p>
        </w:tc>
        <w:tc>
          <w:tcPr>
            <w:tcW w:w="4876" w:type="dxa"/>
            <w:tcBorders>
              <w:top w:val="nil"/>
              <w:left w:val="nil"/>
              <w:bottom w:val="nil"/>
              <w:right w:val="nil"/>
            </w:tcBorders>
          </w:tcPr>
          <w:p>
            <w:pPr>
              <w:pStyle w:val="Normal6a"/>
            </w:pPr>
            <w:r>
              <w:t>2.</w:t>
            </w:r>
            <w:r>
              <w:tab/>
            </w:r>
            <w:r>
              <w:t>Edellä 1 kohdassa tarkoitetut pilottitutkimukset on toteutettava uusien tietovaatimusten tai parannusten tarkoituksenmukaisuuden ja toteutettavuuden arvioimiseksi. Komissio tekee tarvittaessa ja pilottitutkimusten tulokset</w:t>
            </w:r>
            <w:r>
              <w:rPr>
                <w:b/>
                <w:i/>
              </w:rPr>
              <w:t>, myös hallinnollisen rasitteen mahdollisen lisääntymisen,</w:t>
            </w:r>
            <w:r>
              <w:t xml:space="preserve"> huomioon ottaen ehdotuksia uusien tietovaatimusten käyttöönottamiseksi.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Liikekiinteistöjä koskevien liiketoimien arvosta voitaisiin toteuttaa pilottitutkimus tietojen keräämiseksi.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w:t>
            </w:r>
            <w:r>
              <w:rPr>
                <w:b/>
                <w:i/>
              </w:rPr>
              <w:t>on varmistettava yhdessä komission (Eurostatin)</w:t>
            </w:r>
            <w:r>
              <w:t xml:space="preserve"> kanssa, että nämä tutkimukset ovat edustavia unionin tasolla.</w:t>
            </w:r>
          </w:p>
        </w:tc>
        <w:tc>
          <w:tcPr>
            <w:tcW w:w="4876" w:type="dxa"/>
            <w:tcBorders>
              <w:top w:val="nil"/>
              <w:left w:val="nil"/>
              <w:bottom w:val="nil"/>
              <w:right w:val="nil"/>
            </w:tcBorders>
          </w:tcPr>
          <w:p>
            <w:pPr>
              <w:pStyle w:val="Normal6a"/>
            </w:pPr>
            <w:r>
              <w:t>3.</w:t>
            </w:r>
            <w:r>
              <w:tab/>
            </w:r>
            <w:r>
              <w:rPr>
                <w:b/>
                <w:i/>
              </w:rPr>
              <w:t>Komissio (Eurostat) varmistaa yhteistyössä</w:t>
            </w:r>
            <w:r>
              <w:t xml:space="preserve"> jäsenvaltioiden kanssa, että nämä tutkimukset ovat edustavia unionin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11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11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Poikkeukset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kolmeksi vuodeksi.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Asianomaisen jäsenvaltion on toimitettava komissiolle asianmukaisesti perusteltu 1 kohdan mukaista poikkeusta koskeva pyyntö kolmen kuukauden kuluessa sen säädöksen voimaantulopäivästä, josta poikkeamista pyydetään.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Edellä 1 kohdassa tarkoitettujen poikkeusten vaikutukset jäsenvaltioiden tietojen vertailukelpoisuuteen tai edellytettyjen ajantasaisten ja edustavien Euroopan aggregaattien laskemiseen on pidettävä mahdollisimman vähäisinä.</w:t>
            </w:r>
            <w:r>
              <w:rPr>
                <w:b/>
                <w:i/>
              </w:rPr>
              <w:t xml:space="preserve"> </w:t>
            </w:r>
            <w:r>
              <w:rPr>
                <w:b/>
                <w:i/>
              </w:rPr>
              <w:t>Komissio ottaa vastaajille aiheutuvan rasitteen huomioon myöntäessään poikkeuksia.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Edellä 1 kohdassa tarkoitetut täytäntöönpanosäädökset hyväksytään 10 artiklassa tarkoitettua tarkastelumenettelyä noudattaen.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Koska kansainväliset elimet tuovat yhä useammin esiin liikekiinteistöalan aiheuttamia kasvavia haavoittuvuuksia, on ensiarvoisen tärkeää korjata tiedoissa olevat puutteet mahdollisimman pian.</w:t>
      </w:r>
      <w:r>
        <w:t xml:space="preserve"> </w:t>
      </w:r>
      <w:r>
        <w:t>EJRK suositti tähän asetukseen sisältyviä indikaattoreita jo kymmenen vuotta sitten, joten jäsenvaltioilla on ollut riittävästi aikaa mukauttaa tilastokehystään.</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w:t>
            </w:r>
            <w:r>
              <w:rPr>
                <w:b/>
                <w:i/>
              </w:rPr>
              <w:t>kolmeksi</w:t>
            </w:r>
            <w:r>
              <w:t xml:space="preserve"> vuodeksi.</w:t>
            </w:r>
          </w:p>
        </w:tc>
        <w:tc>
          <w:tcPr>
            <w:tcW w:w="4876" w:type="dxa"/>
            <w:tcBorders>
              <w:top w:val="nil"/>
              <w:left w:val="nil"/>
              <w:bottom w:val="nil"/>
              <w:right w:val="nil"/>
            </w:tcBorders>
          </w:tcPr>
          <w:p>
            <w:pPr>
              <w:pStyle w:val="Normal6a"/>
            </w:pPr>
            <w:r>
              <w:t>1.</w:t>
            </w:r>
            <w:r>
              <w:tab/>
            </w:r>
            <w:r>
              <w:t>Jos tämän asetuksen tai sen nojalla hyväksyttyjen täytäntöönpanotoimenpiteiden soveltaminen edellyttää huomattavia mukautuksia jonkin jäsenvaltion kansalliseen tilastojärjestelmään</w:t>
            </w:r>
            <w:r>
              <w:rPr>
                <w:b/>
                <w:i/>
              </w:rPr>
              <w:t> erityisesti niissä jäsenvaltioissa, joissa olennaisia osia tiedonkeruun edellyttämistä hallinnollisista menettelyistä ei ole vielä digitalisoitu</w:t>
            </w:r>
            <w:r>
              <w:t xml:space="preserve">, komissio voi antaa täytäntöönpanosäädöksiä, joilla myönnetään asianomaiselle jäsenvaltiolle poikkeuksia enintään </w:t>
            </w:r>
            <w:r>
              <w:rPr>
                <w:b/>
                <w:i/>
              </w:rPr>
              <w:t>viideksi</w:t>
            </w:r>
            <w:r>
              <w:t xml:space="preserve"> vuodeksi.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w:t>
            </w:r>
            <w:r>
              <w:rPr>
                <w:b/>
                <w:i/>
              </w:rPr>
              <w:t>kolmeksi</w:t>
            </w:r>
            <w:r>
              <w:t xml:space="preserve"> vuodeksi.</w:t>
            </w:r>
          </w:p>
        </w:tc>
        <w:tc>
          <w:tcPr>
            <w:tcW w:w="4876" w:type="dxa"/>
            <w:tcBorders>
              <w:top w:val="nil"/>
              <w:left w:val="nil"/>
              <w:bottom w:val="nil"/>
              <w:right w:val="nil"/>
            </w:tcBorders>
          </w:tcPr>
          <w:p>
            <w:pPr>
              <w:pStyle w:val="Normal6a"/>
            </w:pPr>
            <w:r>
              <w:t>1.</w:t>
            </w:r>
            <w:r>
              <w:tab/>
            </w:r>
            <w:r>
              <w:t xml:space="preserve">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w:t>
            </w:r>
            <w:r>
              <w:rPr>
                <w:b/>
                <w:i/>
              </w:rPr>
              <w:t>viideksi</w:t>
            </w:r>
            <w:r>
              <w:t xml:space="preserve"> vuodeksi.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11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Jos poikkeus on yhä perusteltu sen ajanjakson päättyessä, jolle se on myönnetty, komissio voi hyväksyä täytäntöönpanosäädöksen, jolla myönnetään uusi poikkeus enintään kolmeksi vuodeksi.</w:t>
            </w:r>
            <w:r>
              <w:t xml:space="preserve"> </w:t>
            </w:r>
            <w:r>
              <w:rPr>
                <w:b/>
                <w:i/>
              </w:rPr>
              <w:t>Asianomaisen jäsenvaltion on toimitettava komissiolle pyyntö, jossa esitetään syyt ja yksityiskohtaiset perustelut tällaiselle poikkeuksen jatkamiselle, viimeistään kuusi kuukautta ennen 1 kohdan nojalla myönnetyn poikkeuksen voimassaoloajan päättymistä.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13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Sitä sovelletaan 1 päivästä tammikuuta </w:t>
            </w:r>
            <w:r>
              <w:rPr>
                <w:b/>
                <w:i/>
              </w:rPr>
              <w:t>2026</w:t>
            </w:r>
            <w:r>
              <w:t>.</w:t>
            </w:r>
          </w:p>
        </w:tc>
        <w:tc>
          <w:tcPr>
            <w:tcW w:w="4876" w:type="dxa"/>
            <w:tcBorders>
              <w:top w:val="nil"/>
              <w:left w:val="nil"/>
              <w:bottom w:val="nil"/>
              <w:right w:val="nil"/>
            </w:tcBorders>
          </w:tcPr>
          <w:p>
            <w:pPr>
              <w:pStyle w:val="Normal6a"/>
            </w:pPr>
            <w:r>
              <w:t xml:space="preserve">Sitä sovelletaan 1 päivästä tammikuuta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13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Sitä sovelletaan 1 päivästä tammikuuta </w:t>
            </w:r>
            <w:r>
              <w:rPr>
                <w:b/>
                <w:i/>
              </w:rPr>
              <w:t>2026</w:t>
            </w:r>
            <w:r>
              <w:t>.</w:t>
            </w:r>
          </w:p>
        </w:tc>
        <w:tc>
          <w:tcPr>
            <w:tcW w:w="4876" w:type="dxa"/>
            <w:tcBorders>
              <w:top w:val="nil"/>
              <w:left w:val="nil"/>
              <w:bottom w:val="nil"/>
              <w:right w:val="nil"/>
            </w:tcBorders>
          </w:tcPr>
          <w:p>
            <w:pPr>
              <w:pStyle w:val="Normal6a"/>
            </w:pPr>
            <w:r>
              <w:t xml:space="preserve">Sitä sovelletaan 1 päivästä tammikuuta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13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Sitä sovelletaan 1 päivästä tammikuuta </w:t>
            </w:r>
            <w:r>
              <w:rPr>
                <w:b/>
                <w:i/>
              </w:rPr>
              <w:t>2026</w:t>
            </w:r>
            <w:r>
              <w:t>.</w:t>
            </w:r>
          </w:p>
        </w:tc>
        <w:tc>
          <w:tcPr>
            <w:tcW w:w="4876" w:type="dxa"/>
            <w:tcBorders>
              <w:top w:val="nil"/>
              <w:left w:val="nil"/>
              <w:bottom w:val="nil"/>
              <w:right w:val="nil"/>
            </w:tcBorders>
          </w:tcPr>
          <w:p>
            <w:pPr>
              <w:pStyle w:val="Normal6a"/>
            </w:pPr>
            <w:r>
              <w:t xml:space="preserve">Sitä sovelletaan 1 päivästä tammikuuta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13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Sitä sovelletaan 1 päivästä tammikuuta </w:t>
            </w:r>
            <w:r>
              <w:rPr>
                <w:b/>
                <w:i/>
              </w:rPr>
              <w:t>2026</w:t>
            </w:r>
            <w:r>
              <w:t>.</w:t>
            </w:r>
          </w:p>
        </w:tc>
        <w:tc>
          <w:tcPr>
            <w:tcW w:w="4876" w:type="dxa"/>
            <w:tcBorders>
              <w:top w:val="nil"/>
              <w:left w:val="nil"/>
              <w:bottom w:val="nil"/>
              <w:right w:val="nil"/>
            </w:tcBorders>
          </w:tcPr>
          <w:p>
            <w:pPr>
              <w:pStyle w:val="Normal6a"/>
            </w:pPr>
            <w:r>
              <w:t xml:space="preserve">Sitä sovelletaan 1 päivästä tammikuuta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a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Rakennusluvat (asuntojen lukumäärä, käytettävissä oleva lattiapinta-ala) sosiaalisten kiinteistöjen mukaan jaoteltuina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b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Rakentamisen aloittamiset ja loppuun saattamiset (käytettävissä oleva lattiapinta-ala) sosiaalisten kiinteistöjen mukaan jaoteltuina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c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Liikekiinteistöjen hintaindeksit</w:t>
            </w:r>
          </w:p>
        </w:tc>
        <w:tc>
          <w:tcPr>
            <w:tcW w:w="4876" w:type="dxa"/>
            <w:tcBorders>
              <w:top w:val="nil"/>
              <w:left w:val="nil"/>
              <w:bottom w:val="nil"/>
              <w:right w:val="nil"/>
            </w:tcBorders>
          </w:tcPr>
          <w:p>
            <w:pPr>
              <w:pStyle w:val="Normal6a"/>
            </w:pPr>
            <w:r>
              <w:t>(c)</w:t>
            </w:r>
            <w:r>
              <w:tab/>
            </w:r>
            <w:r>
              <w:t xml:space="preserve">Liikekiinteistöjen hintaindeksit </w:t>
            </w:r>
            <w:r>
              <w:rPr>
                <w:b/>
                <w:i/>
              </w:rPr>
              <w:t>(vapaaehtoisesti)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c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Liikekiinteistöjen hintaindeksit tuloa tuottavien kiinteistöjen mukaan jaoteltuina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d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Liikekiinteistöjen vuokraindeksit tuloa tuottavien kiinteistöjen mukaan jaoteltuina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e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Liikekiinteistöjä koskevien liiketoimien arvo</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e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Liikekiinteistöjä koskevien liiketoimien arvo</w:t>
            </w:r>
          </w:p>
        </w:tc>
        <w:tc>
          <w:tcPr>
            <w:tcW w:w="4876" w:type="dxa"/>
            <w:tcBorders>
              <w:top w:val="nil"/>
              <w:left w:val="nil"/>
              <w:bottom w:val="nil"/>
              <w:right w:val="nil"/>
            </w:tcBorders>
          </w:tcPr>
          <w:p>
            <w:pPr>
              <w:pStyle w:val="Normal6a"/>
            </w:pPr>
            <w:r>
              <w:t>(e)</w:t>
            </w:r>
            <w:r>
              <w:tab/>
            </w:r>
            <w:r>
              <w:t xml:space="preserve">Liikekiinteistöjä koskevien liiketoimien arvo </w:t>
            </w:r>
            <w:r>
              <w:rPr>
                <w:b/>
                <w:i/>
              </w:rPr>
              <w:t>(vapaaehtoisesti)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e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Vuokratuottoindeksit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e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Tyhjillään olevien kiinteistöjen määrä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e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Lyhytaikainen vuokramajoitus, mukaan lukien kokonaan tai osittain lyhytaikaiseen vuokramajoitukseen käytettävien asuinkiinteistöjen lukumäärä, niiden päivien keskimääräinen lukumäärä vuodessa, joina nämä asuinkiinteistöt on annettu vuokralle, ja tällaisen vuokramajoituksen keskimääräiset tuotot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AM\1331374FI.docx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AM\1331374FI.docx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AM\1331374FI.docx</w:t>
    </w:r>
    <w:r>
      <w:rPr>
        <w:rStyle w:val="HideTWBExt"/>
      </w:rPr>
      <w:t>&lt;/PathFdR&gt;</w:t>
    </w:r>
    <w:r>
      <w:tab/>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6063</Words>
  <Characters>49184</Characters>
  <Application>Microsoft Office Word</Application>
  <DocSecurity>0</DocSecurity>
  <Lines>1</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289725</vt:lpwstr>
  </property>
  <property fmtid="{D5CDD505-2E9C-101B-9397-08002B2CF9AE}" pid="7" name="dmxml.render.traceId">
    <vt:lpwstr>691d784fdad67584f8d261f844830002</vt:lpwstr>
  </property>
  <property fmtid="{D5CDD505-2E9C-101B-9397-08002B2CF9AE}" pid="8" name="FooterPath">
    <vt:lpwstr>AM\1331374FI.docx</vt:lpwstr>
  </property>
  <property fmtid="{D5CDD505-2E9C-101B-9397-08002B2CF9AE}" pid="9" name="PE Number">
    <vt:lpwstr>779.504</vt:lpwstr>
  </property>
  <property fmtid="{D5CDD505-2E9C-101B-9397-08002B2CF9AE}" pid="10" name="UID">
    <vt:lpwstr>eu.europa.europarl-DIN1-2025-0000212645_02.00-fi-02.00_text-xml</vt:lpwstr>
  </property>
</Properties>
</file>