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Európai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{ECON}</w:t>
      </w:r>
      <w:r>
        <w:t>Gazdasági és Monetáris Bizottság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2025/0052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{07/11/2025}</w:t>
      </w:r>
      <w:r>
        <w:t>7.11.2025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MÓDOSÍTÁS: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16</w:t>
      </w:r>
      <w:r>
        <w:t xml:space="preserve"> - </w:t>
      </w:r>
      <w:r>
        <w:t>100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Jelentéstervezet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Aurore Lalucq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(PE778.148v01-00)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A kereskedelmi ingatlanokra vonatkozó nem pénzügyi statisztikák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(COM(2025)0100 – 2025/0052(COD))</w:t>
      </w:r>
      <w:r>
        <w:rPr>
          <w:rStyle w:val="HideTWBExt"/>
        </w:rPr>
        <w:t>&lt;/DocRef&gt;</w:t>
      </w:r>
    </w:p>
    <w:p>
      <w:r>
        <w:br w:type="page"/>
      </w:r>
      <w:r>
        <w:t>AM_Com_LegReport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a  The Left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Az ingatlanpiaci fejleményekre vonatkozó statisztikák elengedhetetlenek a gazdasági és monetáris szakpolitikai döntéshozatalhoz, a rendszerszintű kockázatok nyomon követéséhez és a makroprudenciális szakpolitikai döntéshozatal irányításához.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Az ingatlanpiaci fejleményekre vonatkozó statisztikák elengedhetetlenek a gazdasági és monetáris szakpolitikai döntéshozatalhoz, a rendszerszintű kockázatok nyomon követéséhez és a makroprudenciális szakpolitikai döntéshozatal irányításához. </w:t>
            </w:r>
            <w:r>
              <w:rPr>
                <w:b/>
                <w:i/>
              </w:rPr>
              <w:t>A múltbeli pénzügyi válságok megmutatták, hogy az ingatlanpiacok alakulása visszhangot kelthet a pénzügyi rendszerben, és súlyosan érintheti a reálgazdaságot.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a preambulumbekezdés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(2a)</w:t>
            </w:r>
            <w:r>
              <w:tab/>
            </w:r>
            <w:r>
              <w:rPr>
                <w:b/>
                <w:i/>
              </w:rPr>
              <w:t>A Pénzügyi Stabilitási Tanács „A nem banki kereskedelmi ingatlanbefektetők sebezhetőségei” című, 2025. június 19-i jelentésében azonosítja a kereskedelmiingatlan-szektorból eredő fő sebezhetőségeket.</w:t>
            </w:r>
            <w:r>
              <w:t xml:space="preserve"> </w:t>
            </w:r>
            <w:r>
              <w:rPr>
                <w:b/>
                <w:i/>
              </w:rPr>
              <w:t>A jelentés azonosítja a makroprudenciális hatóságok megbízatását akadályozó fennmaradó adathiányokat.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Ugyanezen 2019. évi ERKT-ajánlás fogalommeghatározásai értelmében fizikai kereskedelmi ingatlan minden jövedelmet termelő ingatlan, akár létező, akár fejlesztés alatt áll, beleértve a bérlakásokat is; vagy az üzleti cél, a rendeltetés vagy a tevékenység megvalósítása céljából a tulajdonosok által használt ingatlan, akár létező, akár fejlesztés alatt áll; amely nem minősül lakóingatlannak; és beleértve a szociális lakásokat. Az e rendeletben szereplő fogalommeghatározások összhangban vannak az ERKT által 2019-ben ajánlott </w:t>
            </w:r>
            <w:r>
              <w:rPr>
                <w:b/>
                <w:i/>
              </w:rPr>
              <w:t>fogalommeghatározásokkal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Ugyanezen 2019. évi ERKT-ajánlás fogalommeghatározásai értelmében fizikai kereskedelmi ingatlan minden jövedelmet termelő ingatlan, akár létező, akár fejlesztés alatt áll, beleértve a bérlakásokat is; vagy az üzleti cél, a rendeltetés vagy a tevékenység megvalósítása céljából a tulajdonosok által használt ingatlan, akár létező, akár fejlesztés alatt áll; amely nem minősül lakóingatlannak; és beleértve a szociális lakásokat. Az e rendeletben szereplő fogalommeghatározások összhangban vannak az ERKT által 2019-ben ajánlott </w:t>
            </w:r>
            <w:r>
              <w:rPr>
                <w:b/>
                <w:i/>
              </w:rPr>
              <w:t>meghatározásokkal, kivéve a szociális lakásokat, amelyek – az ERKT 2016-os ajánlásában szereplő módon – nem tartoznak a kereskedelmi ingatlanok közé, és összhangban vannak az Eurostat „Kereskedelmi ingatlanár-mutatók: források, módszerek és kérdések” című jelentésével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rPr>
                <w:b/>
                <w:i/>
              </w:rPr>
              <w:t>A Bizottság (Eurostat) és a nemzeti statisztikai hivatalok az ERKT-vel szoros együttműködésben értékelték</w:t>
            </w:r>
            <w:r>
              <w:t xml:space="preserve"> a fizikai kereskedelmi ingatlanokra vonatkozó</w:t>
            </w:r>
            <w:r>
              <w:rPr>
                <w:b/>
                <w:i/>
              </w:rPr>
              <w:t>, ERKT által ajánlott mutatók megvalósíthatóságát</w:t>
            </w:r>
            <w:r>
              <w:t xml:space="preserve">, </w:t>
            </w:r>
            <w:r>
              <w:rPr>
                <w:b/>
                <w:i/>
              </w:rPr>
              <w:t>amely mutatók</w:t>
            </w:r>
            <w:r>
              <w:t xml:space="preserve"> nevezetesen az </w:t>
            </w:r>
            <w:r>
              <w:rPr>
                <w:b/>
                <w:i/>
              </w:rPr>
              <w:t>árindex</w:t>
            </w:r>
            <w:r>
              <w:t xml:space="preserve">, a bérleti </w:t>
            </w:r>
            <w:r>
              <w:rPr>
                <w:b/>
                <w:i/>
              </w:rPr>
              <w:t>index</w:t>
            </w:r>
            <w:r>
              <w:t xml:space="preserve">, a bérleti hozam </w:t>
            </w:r>
            <w:r>
              <w:rPr>
                <w:b/>
                <w:i/>
              </w:rPr>
              <w:t>index</w:t>
            </w:r>
            <w:r>
              <w:t xml:space="preserve">, a kiadatlan terület </w:t>
            </w:r>
            <w:r>
              <w:rPr>
                <w:b/>
                <w:i/>
              </w:rPr>
              <w:t>aránya</w:t>
            </w:r>
            <w:r>
              <w:t xml:space="preserve"> és a megkezdett </w:t>
            </w:r>
            <w:r>
              <w:rPr>
                <w:b/>
                <w:i/>
              </w:rPr>
              <w:t>építkezések</w:t>
            </w:r>
            <w:r>
              <w:t xml:space="preserve">. </w:t>
            </w:r>
            <w:r>
              <w:rPr>
                <w:b/>
                <w:i/>
              </w:rPr>
              <w:t>A következő mutatók előállításának megvalósíthatóságát erősítették meg:</w:t>
            </w:r>
            <w:r>
              <w:t xml:space="preserve"> </w:t>
            </w:r>
            <w:r>
              <w:rPr>
                <w:b/>
                <w:i/>
              </w:rPr>
              <w:t>árindex, bérleti index, megkezdett építkezések, befejezett építkezések.</w:t>
            </w:r>
            <w:r>
              <w:t xml:space="preserve"> </w:t>
            </w:r>
            <w:r>
              <w:rPr>
                <w:b/>
                <w:i/>
              </w:rPr>
              <w:t>Az adatforrások korlátozott rendelkezésre állása és az elégtelen minőség miatt a következő mutatók nem foglalhatók bele ebbe a rendeletbe, és azokat tovább kell fejleszteni:</w:t>
            </w:r>
            <w:r>
              <w:t xml:space="preserve"> </w:t>
            </w:r>
            <w:r>
              <w:rPr>
                <w:b/>
                <w:i/>
              </w:rPr>
              <w:t>bérleti hozam index, a kiadatlan terület aránya.</w:t>
            </w:r>
            <w:r>
              <w:t xml:space="preserve"> </w:t>
            </w:r>
            <w:r>
              <w:rPr>
                <w:b/>
                <w:i/>
              </w:rPr>
              <w:t>Ugyanakkor</w:t>
            </w:r>
            <w:r>
              <w:t xml:space="preserve"> a rendelet kiegészült a kereskedelmiingatlan-ügyletek értékére vonatkozó további fontos mutatóval.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rPr>
                <w:b/>
                <w:i/>
              </w:rPr>
              <w:t>Az ERKT 2019. évi ajánlásával összhangban össze kell gyűjteni</w:t>
            </w:r>
            <w:r>
              <w:t xml:space="preserve"> a fizikai kereskedelmi ingatlanokra vonatkozó </w:t>
            </w:r>
            <w:r>
              <w:rPr>
                <w:b/>
                <w:i/>
              </w:rPr>
              <w:t>mutatókat</w:t>
            </w:r>
            <w:r>
              <w:t xml:space="preserve">, nevezetesen az </w:t>
            </w:r>
            <w:r>
              <w:rPr>
                <w:b/>
                <w:i/>
              </w:rPr>
              <w:t>árindexet</w:t>
            </w:r>
            <w:r>
              <w:t xml:space="preserve">, a bérleti </w:t>
            </w:r>
            <w:r>
              <w:rPr>
                <w:b/>
                <w:i/>
              </w:rPr>
              <w:t>indexet</w:t>
            </w:r>
            <w:r>
              <w:t xml:space="preserve">, a bérleti hozam </w:t>
            </w:r>
            <w:r>
              <w:rPr>
                <w:b/>
                <w:i/>
              </w:rPr>
              <w:t>indexet</w:t>
            </w:r>
            <w:r>
              <w:t xml:space="preserve">, a kiadatlan terület </w:t>
            </w:r>
            <w:r>
              <w:rPr>
                <w:b/>
                <w:i/>
              </w:rPr>
              <w:t>arányát</w:t>
            </w:r>
            <w:r>
              <w:t xml:space="preserve"> és a megkezdett </w:t>
            </w:r>
            <w:r>
              <w:rPr>
                <w:b/>
                <w:i/>
              </w:rPr>
              <w:t>építkezéseket</w:t>
            </w:r>
            <w:r>
              <w:t>. A rendelet kiegészült a kereskedelmiingatlan-ügyletek értékére vonatkozó további fontos mutatóval.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Indokolás</w:t>
      </w:r>
      <w:r>
        <w:rPr>
          <w:rStyle w:val="HideTWBExt"/>
        </w:rPr>
        <w:t>&lt;/TitreJust&gt;</w:t>
      </w:r>
    </w:p>
    <w:p>
      <w:pPr>
        <w:pStyle w:val="AmJustText"/>
      </w:pPr>
      <w:r>
        <w:t>Mivel a bérletidíj-index és a kiadatlan területek arányára vonatkozó mutatók már szerepeltek az ERKT 2016. évi ajánlásában, a többi mutatóval együtt azokat e rendelet alkalmazásának kezdetétől kell kérelmezni.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A Bizottság (Eurostat) és a nemzeti statisztikai hivatalok az ERKT-vel szoros együttműködésben értékelték a fizikai kereskedelmi ingatlanokra vonatkozó, ERKT által ajánlott mutatók megvalósíthatóságát, amely mutatók nevezetesen az árindex, a bérleti index, a bérleti hozam index, a kiadatlan terület aránya és a megkezdett építkezések. A következő mutatók előállításának megvalósíthatóságát erősítették meg: árindex, bérleti index, megkezdett építkezések, befejezett építkezések. Az adatforrások korlátozott rendelkezésre állása és az elégtelen minőség miatt a következő mutatók nem foglalhatók bele ebbe a rendeletbe</w:t>
            </w:r>
            <w:r>
              <w:rPr>
                <w:b/>
                <w:i/>
              </w:rPr>
              <w:t>, és azokat tovább kell fejleszteni</w:t>
            </w:r>
            <w:r>
              <w:t>: bérleti hozam index, a kiadatlan terület aránya. Ugyanakkor a rendelet kiegészült a kereskedelmiingatlan-ügyletek értékére vonatkozó további fontos mutatóval.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A Bizottság (Eurostat) és a nemzeti statisztikai hivatalok az ERKT-vel szoros együttműködésben értékelték a fizikai kereskedelmi ingatlanokra vonatkozó, ERKT által ajánlott mutatók megvalósíthatóságát, amely mutatók nevezetesen az árindex, a bérleti index, a bérleti hozam index, a kiadatlan terület aránya és a megkezdett építkezések. A következő mutatók előállításának megvalósíthatóságát erősítették meg: árindex, bérleti index, megkezdett építkezések, befejezett építkezések. Az adatforrások korlátozott rendelkezésre állása és az elégtelen minőség miatt a következő mutatók nem foglalhatók bele ebbe a rendeletbe: bérleti hozam index, a kiadatlan terület aránya. Ugyanakkor a rendelet kiegészült a kereskedelmiingatlan-ügyletek értékére vonatkozó további fontos mutatóval.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A Bizottság (Eurostat) és a nemzeti statisztikai hivatalok az ERKT-vel szoros együttműködésben értékelték a fizikai kereskedelmi ingatlanokra vonatkozó, ERKT által ajánlott mutatók megvalósíthatóságát, amely mutatók nevezetesen az árindex, a bérleti index, a bérleti hozam index, a kiadatlan terület aránya és a megkezdett építkezések. A következő mutatók előállításának megvalósíthatóságát erősítették meg: árindex, bérleti index, megkezdett építkezések, befejezett építkezések. Az adatforrások korlátozott rendelkezésre állása és az elégtelen minőség miatt a következő mutatók nem foglalhatók bele ebbe a rendeletbe</w:t>
            </w:r>
            <w:r>
              <w:rPr>
                <w:b/>
                <w:i/>
              </w:rPr>
              <w:t>, és azokat tovább kell fejleszteni</w:t>
            </w:r>
            <w:r>
              <w:t>: bérleti hozam index, a kiadatlan terület aránya. Ugyanakkor a rendelet kiegészült a kereskedelmiingatlan-ügyletek értékére vonatkozó további fontos mutatóval.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>A Bizottság (Eurostat) és a nemzeti statisztikai hivatalok az ERKT-vel szoros együttműködésben értékelték a fizikai kereskedelmi ingatlanokra vonatkozó, ERKT által ajánlott mutatók megvalósíthatóságát, amely mutatók nevezetesen az árindex, a bérleti index, a bérleti hozam index, a kiadatlan terület aránya és a megkezdett építkezések. A következő mutatók előállításának megvalósíthatóságát erősítették meg: árindex, bérleti index, megkezdett építkezések, befejezett építkezések. Az adatforrások korlátozott rendelkezésre állása és az elégtelen minőség miatt a következő mutatók nem foglalhatók bele ebbe a rendeletbe: bérleti hozam index, a kiadatlan terület aránya. Ugyanakkor a rendelet kiegészült a kereskedelmiingatlan-ügyletek értékére vonatkozó további fontos mutatóval.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Kubín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 xml:space="preserve">A Bizottság (Eurostat) és a nemzeti statisztikai hivatalok az ERKT-vel szoros együttműködésben értékelték a fizikai kereskedelmi ingatlanokra vonatkozó, ERKT által ajánlott mutatók megvalósíthatóságát, amely mutatók nevezetesen az árindex, a bérleti index, a bérleti hozam index, a kiadatlan terület aránya és a megkezdett építkezések. A következő mutatók előállításának megvalósíthatóságát </w:t>
            </w:r>
            <w:r>
              <w:rPr>
                <w:b/>
                <w:i/>
              </w:rPr>
              <w:t>erősítették meg</w:t>
            </w:r>
            <w:r>
              <w:t>: árindex, bérleti index, megkezdett építkezések, befejezett építkezések. Az adatforrások korlátozott rendelkezésre állása és az elégtelen minőség miatt a következő mutatók nem foglalhatók bele ebbe a rendeletbe, és azokat tovább kell fejleszteni: bérleti hozam index, a kiadatlan terület aránya. Ugyanakkor a rendelet kiegészült a kereskedelmiingatlan-ügyletek értékére vonatkozó további fontos mutatóval.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 xml:space="preserve">A Bizottság (Eurostat) és a nemzeti statisztikai hivatalok az ERKT-vel szoros együttműködésben értékelték a fizikai kereskedelmi ingatlanokra vonatkozó, ERKT által ajánlott mutatók megvalósíthatóságát, amely mutatók nevezetesen az árindex, a bérleti index, a bérleti hozam index, a kiadatlan terület aránya és a megkezdett építkezések. A következő mutatók előállításának megvalósíthatóságát </w:t>
            </w:r>
            <w:r>
              <w:rPr>
                <w:b/>
                <w:i/>
              </w:rPr>
              <w:t>néhány tagállam esetében megerősítették</w:t>
            </w:r>
            <w:r>
              <w:t>: árindex, bérleti index, megkezdett építkezések, befejezett építkezések. Az adatforrások korlátozott rendelkezésre állása és az elégtelen minőség miatt a következő mutatók nem foglalhatók bele ebbe a rendeletbe, és azokat tovább kell fejleszteni: bérleti hozam index, a kiadatlan terület aránya. Ugyanakkor a rendelet kiegészült a kereskedelmiingatlan-ügyletek értékére vonatkozó további fontos mutatóval.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(10)</w:t>
            </w:r>
            <w:r>
              <w:tab/>
            </w:r>
            <w:r>
              <w:rPr>
                <w:b/>
                <w:i/>
              </w:rPr>
              <w:t>Az (EU) 2024/3018 rendelettel módosított 223/2009/EK rendelet 17b. cikkével összhangban a nemzeti statisztikai hivatalokat és a Bizottságot (Eurostat) is fel kell jogosítani arra, hogy statisztikai célokból új adatforrásokhoz – többek között magánkézben lévő adatokhoz – férjenek hozzá és azokat felhasználják.</w:t>
            </w:r>
            <w:r>
              <w:t xml:space="preserve"> </w:t>
            </w:r>
            <w:r>
              <w:rPr>
                <w:b/>
                <w:i/>
              </w:rPr>
              <w:t>Kérésre a magán adatbirtokosnak az adatokat és a releváns metaadatokat díjmentesen az NSH-k vagy a Bizottság (Eurostat) rendelkezésére kell bocsátania, amennyiben a kért adatok feltétlenül szükségesek a kereskedelmi ingatlanokra vonatkozó nem pénzügyi európai statisztikák fejlesztéséhez, előállításához és közzétételéhez, és nem szerezhetők be más eszközökkel, vagy ha azok újrafelhasználása jelentősen csökkenti az adatbirtokosok és más vállalkozások adatszolgáltatási terheit.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Az (EU) 2024/3018 rendelettel módosított 223/2009/EK rendelet 17b. cikkével összhangban a nemzeti statisztikai hivatalokat és a Bizottságot (Eurostat) is fel kell jogosítani arra, hogy statisztikai célokból új adatforrásokhoz – többek között magánkézben lévő adatokhoz – férjenek hozzá és azokat felhasználják. Kérésre a magán adatbirtokosnak az adatokat és a releváns metaadatokat díjmentesen az NSH-k vagy a Bizottság (Eurostat) rendelkezésére kell bocsátania, amennyiben a kért adatok feltétlenül szükségesek a kereskedelmi ingatlanokra vonatkozó nem pénzügyi európai statisztikák fejlesztéséhez, előállításához és közzétételéhez, és nem szerezhetők be más eszközökkel, vagy ha azok újrafelhasználása jelentősen csökkenti az adatbirtokosok és más vállalkozások adatszolgáltatási terheit.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Az (EU) 2024/3018 rendelettel módosított 223/2009/EK rendelet 17b. cikkével összhangban a nemzeti statisztikai hivatalokat és a Bizottságot (Eurostat) is fel kell jogosítani arra, hogy statisztikai célokból új adatforrásokhoz – többek között magánkézben lévő adatokhoz – férjenek hozzá és azokat felhasználják. Kérésre a magán adatbirtokosnak az adatokat és a releváns metaadatokat díjmentesen az NSH-k vagy a Bizottság (Eurostat) rendelkezésére kell bocsátania, amennyiben a kért adatok feltétlenül szükségesek a kereskedelmi ingatlanokra vonatkozó nem pénzügyi európai statisztikák fejlesztéséhez, előállításához és közzétételéhez, és nem szerezhetők be más eszközökkel, vagy ha azok újrafelhasználása jelentősen csökkenti az adatbirtokosok és más vállalkozások adatszolgáltatási terheit. </w:t>
            </w:r>
            <w:r>
              <w:rPr>
                <w:b/>
                <w:i/>
              </w:rPr>
              <w:t>Amikor a nemzeti statisztikai hivatalok és a Bizottság gyakorolják azon jogukat, hogy adatokat kérjenek magán adattulajdonosoktól, biztosítaniuk kell, hogy ez ne rójon túlzott gazdasági terhet a vállalkozásokra és az egyesületekre.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10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Az (EU) 2024/3018 rendelettel módosított 223/2009/EK rendelet 17b. cikkével összhangban a nemzeti statisztikai hivatalokat és a Bizottságot (Eurostat) is fel kell jogosítani arra, hogy statisztikai célokból új adatforrásokhoz – többek között magánkézben lévő adatokhoz – férjenek hozzá és azokat felhasználják. Kérésre a magán adatbirtokosnak az adatokat és a releváns metaadatokat díjmentesen az NSH-k vagy a Bizottság (Eurostat) rendelkezésére kell bocsátania, amennyiben a kért adatok feltétlenül szükségesek a kereskedelmi ingatlanokra vonatkozó nem pénzügyi európai statisztikák fejlesztéséhez, előállításához és közzétételéhez, és nem szerezhetők be más eszközökkel, vagy ha azok újrafelhasználása jelentősen csökkenti az adatbirtokosok és más vállalkozások adatszolgáltatási terheit.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Az (EU) 2024/3018 rendelettel módosított 223/2009/EK rendelet 17b. cikkével összhangban a nemzeti statisztikai hivatalokat és a Bizottságot (Eurostat) is fel kell jogosítani arra, hogy statisztikai célokból új adatforrásokhoz – többek között magánkézben lévő adatokhoz – férjenek hozzá és azokat felhasználják. Kérésre a magán adatbirtokosnak az adatokat és a releváns metaadatokat díjmentesen az NSH-k vagy a Bizottság (Eurostat) rendelkezésére kell bocsátania, amennyiben a kért adatok feltétlenül szükségesek a kereskedelmi ingatlanokra vonatkozó nem pénzügyi európai statisztikák fejlesztéséhez, előállításához és közzétételéhez, és nem szerezhetők be más eszközökkel, vagy ha azok újrafelhasználása jelentősen csökkenti az adatbirtokosok és más vállalkozások adatszolgáltatási terheit. </w:t>
            </w:r>
            <w:r>
              <w:rPr>
                <w:b/>
                <w:i/>
              </w:rPr>
              <w:t>A nemzeti statisztikai hivatalok és a Bizottság azon joga, hogy a magán adattulajdonosoktól adatokat kérjenek, nem róhat aránytalan gazdasági terhet a vállalkozásokra vagy az egyesületekre.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16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(16)</w:t>
            </w:r>
            <w:r>
              <w:tab/>
            </w:r>
            <w:r>
              <w:rPr>
                <w:b/>
                <w:i/>
              </w:rPr>
              <w:t>A gazdasági és műszaki fejlődés figyelembevétele érdekében a Bizottságot fel kell hatalmazni arra, hogy az Európai Unió működéséről szóló szerződés 290. cikkének megfelelően jogi aktusokat fogadjon el az I. mellékletben szereplő változók jegyzékének módosítása céljából.</w:t>
            </w:r>
            <w:r>
              <w:t xml:space="preserve"> </w:t>
            </w:r>
            <w:r>
              <w:rPr>
                <w:b/>
                <w:i/>
              </w:rPr>
              <w:t>Különösen fontos, hogy a Bizottság az előkészítő munkája során megfelelő konzultációkat folytasson, többek között szakértői szinten is, és hogy e konzultációkra a jogalkotás minőségének javításáról szóló, 2016.</w:t>
            </w:r>
            <w:r>
              <w:t xml:space="preserve"> </w:t>
            </w:r>
            <w:r>
              <w:rPr>
                <w:b/>
                <w:i/>
              </w:rPr>
              <w:t>április 13-i intézményközi megállapodásban rögzített elveknek megfelelően kerüljön sor</w:t>
            </w:r>
            <w:r>
              <w:rPr>
                <w:b/>
                <w:i/>
                <w:vertAlign w:val="superscript"/>
              </w:rPr>
              <w:t>8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A felhatalmazáson alapuló jogi aktusok előkészítésében való egyenlő részvétel biztosítása érdekében az Európai Parlament és a Tanács a tagállamok szakértőivel egyidejűleg kap kézhez minden dokumentumot, és szakértőik rendszeresen részt vehetnek a Bizottság felhatalmazáson alapuló jogi aktusok előkészítésével foglalkozó szakértői csoportjainak ülésein.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8</w:t>
            </w:r>
            <w:r>
              <w:t xml:space="preserve"> </w:t>
            </w:r>
            <w:r>
              <w:rPr>
                <w:b/>
                <w:i/>
              </w:rPr>
              <w:t>HL L 123., 2016.5.12., 1. 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16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rPr>
                <w:b/>
                <w:i/>
              </w:rPr>
              <w:t>A gazdasági és műszaki fejlődés figyelembevétele érdekében a Bizottságot fel kell hatalmazni arra, hogy az Európai Unió működéséről szóló szerződés 290. cikkének megfelelően jogi aktusokat fogadjon el az I. mellékletben szereplő változók jegyzékének módosítása céljából.</w:t>
            </w:r>
            <w:r>
              <w:t xml:space="preserve"> </w:t>
            </w:r>
            <w:r>
              <w:rPr>
                <w:b/>
                <w:i/>
              </w:rPr>
              <w:t>Különösen fontos, hogy a Bizottság az előkészítő munkája során megfelelő konzultációkat folytasson, többek között szakértői szinten is, és hogy e konzultációkra a jogalkotás minőségének javításáról szóló, 2016.</w:t>
            </w:r>
            <w:r>
              <w:t xml:space="preserve"> </w:t>
            </w:r>
            <w:r>
              <w:rPr>
                <w:b/>
                <w:i/>
              </w:rPr>
              <w:t>április 13-i intézményközi megállapodásban rögzített elveknek megfelelően kerüljön sor</w:t>
            </w:r>
            <w:r>
              <w:rPr>
                <w:b/>
                <w:i/>
                <w:vertAlign w:val="superscript"/>
              </w:rPr>
              <w:t>8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A felhatalmazáson alapuló jogi aktusok előkészítésében való egyenlő részvétel</w:t>
            </w:r>
            <w:r>
              <w:t xml:space="preserve"> biztosítása érdekében az </w:t>
            </w:r>
            <w:r>
              <w:rPr>
                <w:b/>
                <w:i/>
              </w:rPr>
              <w:t>Európai Parlament és a Tanács a tagállamok szakértőivel egyidejűleg kap kézhez minden dokumentumot, és szakértőik rendszeresen részt vehetnek a Bizottság felhatalmazáson alapuló</w:t>
            </w:r>
            <w:r>
              <w:t xml:space="preserve"> jogi aktusok </w:t>
            </w:r>
            <w:r>
              <w:rPr>
                <w:b/>
                <w:i/>
              </w:rPr>
              <w:t>előkészítésével foglalkozó szakértői csoportjainak ülésein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rPr>
                <w:b/>
                <w:i/>
              </w:rPr>
              <w:t>Az e rendeletben előírt statisztikai követelmények stabil és átlátható szabályozási keretének</w:t>
            </w:r>
            <w:r>
              <w:t xml:space="preserve"> biztosítása érdekében az </w:t>
            </w:r>
            <w:r>
              <w:rPr>
                <w:b/>
                <w:i/>
              </w:rPr>
              <w:t>I. mellékletben felsorolt változókat kizárólag e rendeletnek a rendes jogalkotási eljárás keretében történő módosításával lehet kiigazítani.</w:t>
            </w:r>
            <w:r>
              <w:t xml:space="preserve"> </w:t>
            </w:r>
            <w:r>
              <w:rPr>
                <w:b/>
                <w:i/>
              </w:rPr>
              <w:t>A végrehajtási</w:t>
            </w:r>
            <w:r>
              <w:t xml:space="preserve"> jogi aktusok </w:t>
            </w:r>
            <w:r>
              <w:rPr>
                <w:b/>
                <w:i/>
              </w:rPr>
              <w:t>kizárólag olyan technikai részletekre vonatkozhatnak, amelyek nem eredményeznek új vagy kiterjesztett jelentéstételi kötelezettségeket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8</w:t>
            </w:r>
            <w:r>
              <w:t xml:space="preserve"> </w:t>
            </w:r>
            <w:r>
              <w:rPr>
                <w:b/>
                <w:i/>
              </w:rPr>
              <w:t>HL L 123., 2016.5.12., 1. 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16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rPr>
                <w:b/>
                <w:i/>
              </w:rPr>
              <w:t>A gazdasági és műszaki fejlődés figyelembevétele érdekében a Bizottságot fel kell hatalmazni arra, hogy az Európai Unió működéséről szóló szerződés 290. cikkének megfelelően jogi aktusokat fogadjon el az I. mellékletben szereplő változók jegyzékének módosítása céljából.</w:t>
            </w:r>
            <w:r>
              <w:t xml:space="preserve"> </w:t>
            </w:r>
            <w:r>
              <w:rPr>
                <w:b/>
                <w:i/>
              </w:rPr>
              <w:t>Különösen fontos, hogy a Bizottság az előkészítő munkája során megfelelő konzultációkat folytasson, többek között szakértői szinten is, és hogy e konzultációkra a jogalkotás minőségének javításáról szóló, 2016.</w:t>
            </w:r>
            <w:r>
              <w:t xml:space="preserve"> </w:t>
            </w:r>
            <w:r>
              <w:rPr>
                <w:b/>
                <w:i/>
              </w:rPr>
              <w:t>április 13-i intézményközi megállapodásban rögzített elveknek megfelelően kerüljön sor</w:t>
            </w:r>
            <w:r>
              <w:rPr>
                <w:b/>
                <w:i/>
                <w:vertAlign w:val="superscript"/>
              </w:rPr>
              <w:t>8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A felhatalmazáson alapuló jogi aktusok előkészítésében való egyenlő részvétel</w:t>
            </w:r>
            <w:r>
              <w:t xml:space="preserve"> biztosítása érdekében </w:t>
            </w:r>
            <w:r>
              <w:rPr>
                <w:b/>
                <w:i/>
              </w:rPr>
              <w:t>az Európai Parlament és a Tanács a tagállamok szakértőivel egyidejűleg kap kézhez minden dokumentumot, és szakértőik rendszeresen részt vehetnek a Bizottság felhatalmazáson alapuló</w:t>
            </w:r>
            <w:r>
              <w:t xml:space="preserve"> jogi aktusok </w:t>
            </w:r>
            <w:r>
              <w:rPr>
                <w:b/>
                <w:i/>
              </w:rPr>
              <w:t>előkészítésével foglalkozó szakértői csoportjainak ülésein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rPr>
                <w:b/>
                <w:i/>
              </w:rPr>
              <w:t>Annak</w:t>
            </w:r>
            <w:r>
              <w:t xml:space="preserve"> biztosítása érdekében</w:t>
            </w:r>
            <w:r>
              <w:rPr>
                <w:b/>
                <w:i/>
              </w:rPr>
              <w:t>, hogy az e rendeletben előírt statisztikai követelmények stabil és átlátható szabályozási kereten alapuljanak, az I. mellékletben felsorolt változók kizárólag e rendeletnek a rendes jogalkotási eljárás keretében történő módosításával módosíthatók.</w:t>
            </w:r>
            <w:r>
              <w:t xml:space="preserve"> </w:t>
            </w:r>
            <w:r>
              <w:rPr>
                <w:b/>
                <w:i/>
              </w:rPr>
              <w:t>A végrehajtási</w:t>
            </w:r>
            <w:r>
              <w:t xml:space="preserve"> jogi aktusok </w:t>
            </w:r>
            <w:r>
              <w:rPr>
                <w:b/>
                <w:i/>
              </w:rPr>
              <w:t>kizárólag olyan technikai részletekre vonatkozhatnak, amelyek nem járnak új vagy kiterjesztett jelentéstételi kötelezettségekkel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8</w:t>
            </w:r>
            <w:r>
              <w:t xml:space="preserve"> </w:t>
            </w:r>
            <w:r>
              <w:rPr>
                <w:b/>
                <w:i/>
              </w:rPr>
              <w:t>HL L 123., 2016.5.12., 1. 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17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(17)</w:t>
            </w:r>
            <w:r>
              <w:tab/>
            </w:r>
            <w:r>
              <w:rPr>
                <w:b/>
                <w:i/>
              </w:rPr>
              <w:t>A Bizottságot végrehajtási hatáskörrel kell felruházni annak érdekében, hogy e rendelet végrehajtása egységes feltételek mellett történjen a változók részletei, a formátum, a biztonsági és titoktartási intézkedések, valamint a bizalmas adatok cseréjére vonatkozó eljárás, a minőségjelentések és a metaadat-jelentések továbbításának gyakorlati szabályai, tartalma és továbbításának határideje, az adatok és metaadatok továbbítására vonatkozó szabványok, valamint az e rendeletben vagy az e rendelet alapján elfogadott végrehajtási jogi aktusokban foglalt követelményektől való eltérések tekintetében.</w:t>
            </w:r>
            <w:r>
              <w:t xml:space="preserve"> </w:t>
            </w:r>
            <w:r>
              <w:rPr>
                <w:b/>
                <w:i/>
              </w:rPr>
              <w:t>Ezeket a végrehajtási hatásköröket a 182/2011/EU európai parlamenti és tanácsi rendelettel</w:t>
            </w:r>
            <w:r>
              <w:rPr>
                <w:b/>
                <w:i/>
                <w:vertAlign w:val="superscript"/>
              </w:rPr>
              <w:t>9</w:t>
            </w:r>
            <w:r>
              <w:rPr>
                <w:b/>
                <w:i/>
              </w:rPr>
              <w:t>összhangban kell gyakorolni.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9</w:t>
            </w:r>
            <w:r>
              <w:t xml:space="preserve"> </w:t>
            </w:r>
            <w:r>
              <w:rPr>
                <w:b/>
                <w:i/>
              </w:rPr>
              <w:t>HL L 55., 2011.2.28., 13. 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17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rPr>
                <w:b/>
                <w:i/>
              </w:rPr>
              <w:t>A Bizottságot végrehajtási hatáskörrel kell felruházni annak érdekében, hogy</w:t>
            </w:r>
            <w:r>
              <w:t xml:space="preserve"> e rendelet végrehajtása egységes </w:t>
            </w:r>
            <w:r>
              <w:rPr>
                <w:b/>
                <w:i/>
              </w:rPr>
              <w:t>feltételek mellett történjen a változók részletei, a formátum, a biztonsági és titoktartási intézkedések, valamint a bizalmas adatok cseréjére vonatkozó eljárás, a minőségjelentések és a metaadat-jelentések továbbításának gyakorlati szabályai, tartalma és továbbításának határideje, az adatok és metaadatok továbbítására vonatkozó szabványok, valamint az e rendeletben vagy az e rendelet alapján elfogadott</w:t>
            </w:r>
            <w:r>
              <w:t xml:space="preserve"> végrehajtási jogi </w:t>
            </w:r>
            <w:r>
              <w:rPr>
                <w:b/>
                <w:i/>
              </w:rPr>
              <w:t>aktusokban foglalt követelményektől való eltérések tekintetében</w:t>
            </w:r>
            <w:r>
              <w:t>. Ezeket a végrehajtási hatásköröket a 182/2011/EU európai parlamenti és tanácsi rendelettel</w:t>
            </w:r>
            <w:r>
              <w:rPr>
                <w:vertAlign w:val="superscript"/>
              </w:rPr>
              <w:t>9</w:t>
            </w:r>
            <w:r>
              <w:t>összhangban kell gyakorolni.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 xml:space="preserve">E rendelet végrehajtása egységes </w:t>
            </w:r>
            <w:r>
              <w:rPr>
                <w:b/>
                <w:i/>
              </w:rPr>
              <w:t>feltételeinek biztosítása érdekében a Bizottságra végrehajtási hatásköröket kell ruházni.</w:t>
            </w:r>
            <w:r>
              <w:t xml:space="preserve"> </w:t>
            </w:r>
            <w:r>
              <w:rPr>
                <w:b/>
                <w:i/>
              </w:rPr>
              <w:t>Ezek a</w:t>
            </w:r>
            <w:r>
              <w:t xml:space="preserve"> végrehajtási jogi </w:t>
            </w:r>
            <w:r>
              <w:rPr>
                <w:b/>
                <w:i/>
              </w:rPr>
              <w:t>aktusok csak az e rendelet alkalmazásához szükséges technikai részletekre és gyakorlati intézkedésekre, például formátumok, adattovábbítási eljárások, biztosítékok vagy műszaki előírások megállapítására vonatkozhatnak, beleértve az e rendelet követelményei alóli mentességek megállapítását is.</w:t>
            </w:r>
            <w:r>
              <w:t xml:space="preserve"> </w:t>
            </w:r>
            <w:r>
              <w:rPr>
                <w:b/>
                <w:i/>
              </w:rPr>
              <w:t>Nem indokolhatják a tagállamok vagy az adatszolgáltatók új vagy kiterjesztett adatszolgáltatási kötelezettségeit</w:t>
            </w:r>
            <w:r>
              <w:t>. Ezeket a végrehajtási hatásköröket a 182/2011/EU európai parlamenti és tanácsi rendelettel</w:t>
            </w:r>
            <w:r>
              <w:rPr>
                <w:vertAlign w:val="superscript"/>
              </w:rPr>
              <w:t>9</w:t>
            </w:r>
            <w:r>
              <w:t xml:space="preserve"> összhangban kell gyakorolni.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9</w:t>
            </w:r>
            <w:r>
              <w:t xml:space="preserve"> </w:t>
            </w:r>
            <w:r>
              <w:t>HL L 55., 2011.2.28., 13. 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9</w:t>
            </w:r>
            <w:r>
              <w:t xml:space="preserve"> </w:t>
            </w:r>
            <w:r>
              <w:t>HL L 55., 2011.2.28., 13. 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18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(18)</w:t>
            </w:r>
            <w:r>
              <w:tab/>
            </w:r>
            <w:r>
              <w:rPr>
                <w:b/>
                <w:i/>
              </w:rPr>
              <w:t>Amennyiben e rendelet vagy az e rendelet alapján elfogadott végrehajtási jogi aktusok alkalmazása valamely tagállam nemzeti statisztikai rendszerének jelentős kiigazítását tenné szükségessé, a Bizottság számára lehetővé kell tenni, hogy kellően indokolt esetben eltéréseket engedélyezzen az érintett tagállam számára.</w:t>
            </w:r>
            <w:r>
              <w:t xml:space="preserve"> </w:t>
            </w:r>
            <w:r>
              <w:rPr>
                <w:b/>
                <w:i/>
              </w:rPr>
              <w:t>Az ilyen eltéréseknek ideiglenesnek kell lenniük, és legfeljebb hároméves időtartamra engedélyezhetők.</w:t>
            </w:r>
            <w:r>
              <w:t xml:space="preserve"> </w:t>
            </w:r>
            <w:r>
              <w:rPr>
                <w:b/>
                <w:i/>
              </w:rPr>
              <w:t>A Bizottságnak támogatást kell nyújtania az érintett tagállamok részére ahhoz, hogy statisztikai rendszereikben elvégezzék a szükséges átalakításokat, lehetővé téve ezáltal az említett eltérések mihamarabbi megszüntetését.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18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Amennyiben e rendelet </w:t>
            </w:r>
            <w:r>
              <w:rPr>
                <w:b/>
                <w:i/>
              </w:rPr>
              <w:t>vagy az e rendelet alapján elfogadott végrehajtási jogi aktusok</w:t>
            </w:r>
            <w:r>
              <w:t xml:space="preserve"> alkalmazása valamely tagállam nemzeti statisztikai rendszerének jelentős kiigazítását tenné szükségessé, a Bizottság számára lehetővé kell tenni, hogy kellően indokolt esetben eltéréseket engedélyezzen az érintett tagállam számára. Az ilyen eltéréseknek ideiglenesnek kell lenniük, és legfeljebb </w:t>
            </w:r>
            <w:r>
              <w:rPr>
                <w:b/>
                <w:i/>
              </w:rPr>
              <w:t>hároméves</w:t>
            </w:r>
            <w:r>
              <w:t xml:space="preserve"> időtartamra engedélyezhetők. A Bizottságnak támogatást kell nyújtania az érintett tagállamok részére ahhoz, hogy statisztikai rendszereikben elvégezzék a szükséges átalakításokat, lehetővé téve ezáltal az említett eltérések mihamarabbi megszüntetését.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>Amennyiben e rendelet alkalmazása valamely tagállam nemzeti statisztikai rendszerének jelentős kiigazítását tenné szükségessé</w:t>
            </w:r>
            <w:r>
              <w:rPr>
                <w:b/>
                <w:i/>
              </w:rPr>
              <w:t>, különösen olyan esetekben, amikor az adatgyűjtéshez szükséges adminisztratív eljárások jelentős részét még nem digitalizálták</w:t>
            </w:r>
            <w:r>
              <w:t xml:space="preserve">, a Bizottság számára lehetővé kell tenni, hogy kellően indokolt esetben eltéréseket engedélyezzen az érintett tagállam számára. Az ilyen eltéréseknek ideiglenesnek kell lenniük, és legfeljebb </w:t>
            </w:r>
            <w:r>
              <w:rPr>
                <w:b/>
                <w:i/>
              </w:rPr>
              <w:t>ötéves</w:t>
            </w:r>
            <w:r>
              <w:t xml:space="preserve"> időtartamra engedélyezhetők. A Bizottságnak támogatást kell nyújtania az érintett tagállamok részére ahhoz, hogy statisztikai rendszereikben elvégezzék a szükséges átalakításokat, lehetővé téve ezáltal az említett eltérések mihamarabbi megszüntetését.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18 preambulumbekezdés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Amennyiben e rendelet </w:t>
            </w:r>
            <w:r>
              <w:rPr>
                <w:b/>
                <w:i/>
              </w:rPr>
              <w:t>vagy az e rendelet alapján elfogadott végrehajtási jogi aktusok alkalmazása</w:t>
            </w:r>
            <w:r>
              <w:t xml:space="preserve"> valamely tagállam nemzeti statisztikai rendszerének </w:t>
            </w:r>
            <w:r>
              <w:rPr>
                <w:b/>
                <w:i/>
              </w:rPr>
              <w:t>jelentős</w:t>
            </w:r>
            <w:r>
              <w:t xml:space="preserve"> kiigazítását tenné szükségessé, a Bizottság számára lehetővé kell tenni, hogy kellően indokolt esetben eltéréseket engedélyezzen az érintett tagállam számára. Az ilyen eltéréseknek ideiglenesnek kell lenniük, és legfeljebb </w:t>
            </w:r>
            <w:r>
              <w:rPr>
                <w:b/>
                <w:i/>
              </w:rPr>
              <w:t>hároméves</w:t>
            </w:r>
            <w:r>
              <w:t xml:space="preserve"> időtartamra engedélyezhetők. A Bizottságnak támogatást kell nyújtania az érintett tagállamok részére ahhoz, hogy statisztikai rendszereikben elvégezzék a szükséges átalakításokat, lehetővé téve ezáltal az említett eltérések mihamarabbi megszüntetését.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Amennyiben e rendelet valamely tagállam nemzeti statisztikai rendszerének kiigazítását tenné szükségessé, a Bizottság számára lehetővé kell tenni, hogy kellően indokolt esetben eltéréseket engedélyezzen az érintett tagállam számára. Az ilyen eltéréseknek ideiglenesnek kell lenniük, és legfeljebb </w:t>
            </w:r>
            <w:r>
              <w:rPr>
                <w:b/>
                <w:i/>
              </w:rPr>
              <w:t>ötéves</w:t>
            </w:r>
            <w:r>
              <w:t xml:space="preserve"> időtartamra engedélyezhetők. A Bizottságnak támogatást kell nyújtania az érintett tagállamok részére ahhoz, hogy statisztikai rendszereikben elvégezzék a szükséges átalakításokat, lehetővé téve ezáltal az említett eltérések mihamarabbi megszüntetését.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cikk – 1 bekezdés – 2 pont – c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</w:t>
            </w:r>
            <w:r>
              <w:tab/>
            </w:r>
            <w:r>
              <w:rPr>
                <w:b/>
                <w:i/>
              </w:rPr>
              <w:t>szociális lakás.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Indokolás</w:t>
      </w:r>
      <w:r>
        <w:rPr>
          <w:rStyle w:val="HideTWBExt"/>
        </w:rPr>
        <w:t>&lt;/TitreJust&gt;</w:t>
      </w:r>
    </w:p>
    <w:p>
      <w:pPr>
        <w:pStyle w:val="AmJustText"/>
      </w:pPr>
      <w:r>
        <w:t>A nem piaci tevékenységekben, például a szociális lakások esetében használt ingatlanok nem szerepelhetnek a kereskedelmi ingatlanokra vonatkozó statisztikákban.</w:t>
      </w:r>
      <w:r>
        <w:t xml:space="preserve"> </w:t>
      </w:r>
      <w:r>
        <w:t>Ez összhangban van az Eurostat „Kereskedelmi ingatlanár-mutatók:</w:t>
      </w:r>
      <w:r>
        <w:t xml:space="preserve"> </w:t>
      </w:r>
      <w:r>
        <w:t> források, módszerek és kérdések” című jelentésével.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 cikk – 1 bekezdés – 10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„szociális lakás”:</w:t>
            </w:r>
            <w:r>
              <w:t xml:space="preserve"> </w:t>
            </w:r>
            <w:r>
              <w:rPr>
                <w:b/>
                <w:i/>
              </w:rPr>
              <w:t>minden olyan lakóingatlan, amelyet egy jogi személy azzal az elsődleges céllal szerez meg, tulajdonol vagy kezel, hogy a piacinál alacsonyabb bérleti díj ellenében bérbe adja bérlőknek – elsősorban hátrányos helyzetű személyeknek vagy kevésbé előnyös szociális helyzetben lévő csoportoknak – a piacinál kedvezőbb feltételek mellett, amelyeket a piaci mechanizmusok helyett külön szabályok határoznak meg.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cikk – 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Az e rendeletben előírt statisztikák előállítása során a tagállamok </w:t>
            </w:r>
            <w:r>
              <w:rPr>
                <w:b/>
                <w:i/>
              </w:rPr>
              <w:t>törekednek arra, hogy az adatszolgáltatási terhek csökkentése érdekében a lehető legnagyobb mértékben felhasználják a</w:t>
            </w:r>
            <w:r>
              <w:t xml:space="preserve"> közigazgatási adatokat.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Az e rendeletben előírt statisztikák előállítása során a tagállamok </w:t>
            </w:r>
            <w:r>
              <w:rPr>
                <w:b/>
                <w:i/>
              </w:rPr>
              <w:t>kizárólag a meglévő</w:t>
            </w:r>
            <w:r>
              <w:t xml:space="preserve"> közigazgatási adatokat </w:t>
            </w:r>
            <w:r>
              <w:rPr>
                <w:b/>
                <w:i/>
              </w:rPr>
              <w:t>használják fel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cikk – 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Amennyiben a közigazgatási adatok felhasználásával nem biztosítható az e rendelet 6. cikkében meghatározott minőségi követelményeknek megfelelő statisztikák előállítása, a tagállamok egyéb releváns adatforrásokat is felhasználhatnak, beleértve a felméréseket és a magán adatbirtokosoktól származó adatokat, valamint tudományosan megalapozott, jól dokumentált és nyilvánosan hozzáférhető módszereket vagy innovatív megközelítéseket, elkerülve ugyanakkor a túlzott adatszolgáltatói terheket.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3 cikk – 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Amennyiben a közigazgatási adatok felhasználásával nem biztosítható az e rendelet 6. cikkében meghatározott minőségi követelményeknek megfelelő statisztikák előállítása, a tagállamok egyéb releváns adatforrásokat is felhasználhatnak, beleértve a felméréseket és a magán adatbirtokosoktól származó adatokat, valamint tudományosan megalapozott, jól dokumentált és nyilvánosan hozzáférhető módszereket vagy innovatív megközelítéseket, elkerülve ugyanakkor a túlzott adatszolgáltatói terheket.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Amennyiben a közigazgatási adatok felhasználásával nem biztosítható az e rendelet 6. cikkében meghatározott minőségi követelményeknek megfelelő statisztikák előállítása, a tagállamok egyéb releváns adatforrásokat is felhasználhatnak, beleértve a felméréseket és a magán adatbirtokosoktól származó adatokat, valamint tudományosan megalapozott, jól dokumentált és nyilvánosan hozzáférhető módszereket vagy innovatív megközelítéseket, elkerülve ugyanakkor a túlzott adatszolgáltatói terheket </w:t>
            </w:r>
            <w:r>
              <w:rPr>
                <w:b/>
                <w:i/>
              </w:rPr>
              <w:t>és a rájuk nehezedő aránytalan gazdasági terhet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cikk – 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A kereskedelmi ingatlanokra vonatkozó nem pénzügyi statisztikák előállításához szükséges információkat a 696/93/EGK tanácsi rendeletben meghatározott statisztikai egységektől, közigazgatási nyilvántartások birtokosaitól</w:t>
            </w:r>
            <w:r>
              <w:rPr>
                <w:b/>
                <w:i/>
              </w:rPr>
              <w:t>, magán adatbirtokosoktól</w:t>
            </w:r>
            <w:r>
              <w:t xml:space="preserve"> vagy más forrásokból kell beszerezni, feltéve, hogy az eredmények megfelelnek az e rendelet 6. cikkében megállapított minőségi kritériumoknak.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A kereskedelmi ingatlanokra vonatkozó nem pénzügyi statisztikák előállításához szükséges információkat a 696/93/EGK tanácsi rendeletben meghatározott statisztikai egységektől, közigazgatási nyilvántartások birtokosaitól vagy más forrásokból kell beszerezni, feltéve, hogy az eredmények megfelelnek az e rendelet 6. cikkében megállapított minőségi kritériumoknak.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a  The Left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cikk – 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A kereskedelmi ingatlanokról információt szolgáltató statisztikai egységeknek szükség szerint együtt kell működniük az információk gyűjtése és rendelkezésre bocsátása során. A statisztikai egységek az e rendeletben előírt statisztikák előállításához szükséges időszerű, pontos és teljes körű információkat szolgáltatnak. A statisztikai egységek ezeket az információkat a kereskedelmi ingatlanokra vonatkozó nem pénzügyi statisztikák összeállításáért felelős nemzeti statisztikai hivatalok rendelkezésére bocsátják.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A kereskedelmi ingatlanokról információt szolgáltató statisztikai egységeknek szükség szerint együtt kell működniük az információk gyűjtése és rendelkezésre bocsátása során. A statisztikai egységek az e rendeletben előírt statisztikák előállításához szükséges időszerű, pontos és teljes körű információkat szolgáltatnak. A statisztikai egységek ezeket az információkat a kereskedelmi ingatlanokra vonatkozó nem pénzügyi statisztikák összeállításáért felelős nemzeti statisztikai hivatalok rendelkezésére bocsátják. </w:t>
            </w:r>
            <w:r>
              <w:rPr>
                <w:b/>
                <w:i/>
              </w:rPr>
              <w:t>Az információkat elektronikus és géppel olvasható formátumban kell rendelkezésre bocsátani.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Indokolás</w:t>
      </w:r>
      <w:r>
        <w:rPr>
          <w:rStyle w:val="HideTWBExt"/>
        </w:rPr>
        <w:t>&lt;/TitreJust&gt;</w:t>
      </w:r>
    </w:p>
    <w:p>
      <w:pPr>
        <w:pStyle w:val="AmJustText"/>
      </w:pPr>
      <w:r>
        <w:t>Az interoperabilitás biztosítása és az automatizált használat megkönnyítése érdekében az adatokat elektronikus és géppel olvasható formátumban kell rendelkezésre bocsátani.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a  The Left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cikk – 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A kereskedelmi ingatlanokra vonatkozó nem pénzügyi statisztikák összeállításáért felelős nemzeti statisztikai hivatalok kérésére a statisztikai egységek rendelkezésre bocsátják az ügyletek elektronikus nyilvántartását – amennyiben rendelkezésre áll – a kereskedelmi ingatlanokra vonatkozó nem pénzügyi statisztikák előállításához szükséges részletességgel.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A kereskedelmi ingatlanokra vonatkozó nem pénzügyi statisztikák összeállításáért felelős nemzeti statisztikai hivatalok kérésére a statisztikai egységek rendelkezésre bocsátják az ügyletek elektronikus </w:t>
            </w:r>
            <w:r>
              <w:rPr>
                <w:b/>
                <w:i/>
              </w:rPr>
              <w:t>és géppel olvasható</w:t>
            </w:r>
            <w:r>
              <w:t xml:space="preserve"> nyilvántartását – amennyiben rendelkezésre áll – a kereskedelmi ingatlanokra vonatkozó nem pénzügyi statisztikák előállításához szükséges részletességgel.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Indokolás</w:t>
      </w:r>
      <w:r>
        <w:rPr>
          <w:rStyle w:val="HideTWBExt"/>
        </w:rPr>
        <w:t>&lt;/TitreJust&gt;</w:t>
      </w:r>
    </w:p>
    <w:p>
      <w:pPr>
        <w:pStyle w:val="AmJustText"/>
      </w:pPr>
      <w:r>
        <w:t>Az interoperabilitás biztosítása és az automatizált használat megkönnyítése érdekében az adatokat géppel olvasható (nem pusztán „elektronikus”) formátumban kell rendelkezésre bocsátani.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cikk – 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>A 223/2009/EK rendelet 17a. cikkével összhangban az NSH-k és más nemzeti statisztikai hatóságok számára lehetővé kell tenni, hogy a kereskedelmi ingatlanokra vonatkozó nem pénzügyi európai statisztikák fejlesztése</w:t>
            </w:r>
            <w:r>
              <w:rPr>
                <w:b/>
                <w:i/>
              </w:rPr>
              <w:t>,</w:t>
            </w:r>
            <w:r>
              <w:t xml:space="preserve"> előállítása </w:t>
            </w:r>
            <w:r>
              <w:rPr>
                <w:b/>
                <w:i/>
              </w:rPr>
              <w:t>és közzététele</w:t>
            </w:r>
            <w:r>
              <w:t xml:space="preserve"> céljából díjmentesen, kellő időben, kellő gyakorisággal és részletességgel hozzáférjenek a közigazgatási adatforrásokból, adatbázisokból, interoperabilitási rendszerekből származó bármely releváns és szükséges adathoz és metaadathoz, valamint használják és integrálják azokat. A kereskedelmi ingatlanokra vonatkozó nem pénzügyi statisztikák összeállításáért felelős nemzeti statisztikai hivatalok ilyen adatokhoz és metaadatokhoz való hozzáférését a saját közigazgatási rendszereiken belüli közigazgatási nyilvántartásokra kell korlátozni.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A 223/2009/EK rendelet 17a. cikkével összhangban az NSH-k és más nemzeti statisztikai hatóságok számára lehetővé kell tenni, hogy a kereskedelmi ingatlanokra vonatkozó nem pénzügyi európai statisztikák fejlesztése </w:t>
            </w:r>
            <w:r>
              <w:rPr>
                <w:b/>
                <w:i/>
              </w:rPr>
              <w:t>és</w:t>
            </w:r>
            <w:r>
              <w:t xml:space="preserve"> előállítása céljából díjmentesen, kellő időben, kellő gyakorisággal és részletességgel hozzáférjenek a közigazgatási adatforrásokból, adatbázisokból, interoperabilitási rendszerekből származó bármely releváns és szükséges adathoz és metaadathoz, valamint használják és integrálják azokat. A kereskedelmi ingatlanokra vonatkozó nem pénzügyi statisztikák összeállításáért felelős nemzeti statisztikai hivatalok ilyen adatokhoz és metaadatokhoz való hozzáférését a saját közigazgatási rendszereiken belüli közigazgatási nyilvántartásokra kell korlátozni.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cikk – 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(5)</w:t>
            </w:r>
            <w:r>
              <w:tab/>
            </w:r>
            <w:r>
              <w:rPr>
                <w:b/>
                <w:i/>
              </w:rPr>
              <w:t>Az NSH vagy a Bizottság (Eurostat) felkérheti a magán adatbirtokost, hogy díjmentesen rendelkezésre bocsássa az adatokat és a releváns metaadatokat, amennyiben a kért adatok feltétlenül szükségesek a kereskedelmi ingatlanokra vonatkozó európai statisztikák fejlesztéséhez, előállításához és közzétételéhez, és nem szerezhetők be más eszközökkel, vagy ha azok újrafelhasználása a 223/2009/EK rendelet 17b. cikkével összhangban jelentősen csökkenti az adatbirtokosok és más vállalkozások adatszolgáltatási terheit.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cikk – 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Az NSH vagy a Bizottság (Eurostat) felkérheti a magán adatbirtokost, hogy díjmentesen rendelkezésre bocsássa az adatokat és a releváns metaadatokat, amennyiben a kért adatok feltétlenül szükségesek a kereskedelmi ingatlanokra vonatkozó európai statisztikák fejlesztéséhez</w:t>
            </w:r>
            <w:r>
              <w:rPr>
                <w:b/>
                <w:i/>
              </w:rPr>
              <w:t>,</w:t>
            </w:r>
            <w:r>
              <w:t xml:space="preserve"> előállításához </w:t>
            </w:r>
            <w:r>
              <w:rPr>
                <w:b/>
                <w:i/>
              </w:rPr>
              <w:t>és közzétételéhez</w:t>
            </w:r>
            <w:r>
              <w:t>, és nem szerezhetők be más eszközökkel, vagy ha azok újrafelhasználása a 223/2009/EK rendelet 17b. cikkével összhangban jelentősen csökkenti az adatbirtokosok és más vállalkozások adatszolgáltatási terheit.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Az NSH vagy a Bizottság (Eurostat) felkérheti a magán adatbirtokost, hogy díjmentesen rendelkezésre bocsássa az adatokat és a releváns metaadatokat, amennyiben a kért adatok feltétlenül szükségesek a kereskedelmi ingatlanokra vonatkozó európai statisztikák fejlesztéséhez </w:t>
            </w:r>
            <w:r>
              <w:rPr>
                <w:b/>
                <w:i/>
              </w:rPr>
              <w:t>és</w:t>
            </w:r>
            <w:r>
              <w:t xml:space="preserve"> előállításához, és nem szerezhetők be más eszközökkel, vagy ha azok újrafelhasználása a 223/2009/EK rendelet 17b. cikkével összhangban jelentősen csökkenti az adatbirtokosok és más vállalkozások adatszolgáltatási terheit. </w:t>
            </w:r>
            <w:r>
              <w:rPr>
                <w:b/>
                <w:i/>
              </w:rPr>
              <w:t>A magán adattulajdonosoktól kapott, a nemzeti statisztikai hivatal vagy a Bizottság (Eurostat) hatáskörén kívül eső adatok és metaadatok továbbításához, közzétételéhez vagy egyéb felhasználásához az érintett magán adattulajdonos kifejezett írásbeli hozzájárulása szükséges.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4 cikk – 5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Az NSH vagy a Bizottság (Eurostat) felkérheti a magán adatbirtokost, hogy díjmentesen rendelkezésre bocsássa az adatokat és a releváns metaadatokat, amennyiben a kért adatok feltétlenül szükségesek a kereskedelmi ingatlanokra vonatkozó európai statisztikák fejlesztéséhez, előállításához és közzétételéhez, és nem szerezhetők be más eszközökkel, vagy ha azok újrafelhasználása a 223/2009/EK rendelet 17b. cikkével összhangban jelentősen csökkenti az adatbirtokosok és más vállalkozások adatszolgáltatási terheit.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Az NSH vagy a Bizottság (Eurostat) felkérheti a magán adatbirtokost, hogy díjmentesen rendelkezésre bocsássa az adatokat és a releváns metaadatokat, amennyiben a kért adatok feltétlenül szükségesek a kereskedelmi ingatlanokra vonatkozó európai statisztikák fejlesztéséhez, előállításához és közzétételéhez, és nem szerezhetők be más eszközökkel, vagy ha azok újrafelhasználása a 223/2009/EK rendelet 17b. cikkével összhangban jelentősen csökkenti az adatbirtokosok és más vállalkozások adatszolgáltatási terheit. </w:t>
            </w:r>
            <w:r>
              <w:rPr>
                <w:b/>
                <w:i/>
              </w:rPr>
              <w:t>A nemzeti statisztikai hivatalok és a Bizottság azon joga, hogy magán adattulajdonosoktól adatokat kérjenek, nem róhat aránytalan gazdasági terhet a vállalkozásokra vagy szövetségekre.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Eero Heinäluoma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5. cikk – (2)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A tagállamok összeállítják és továbbítják a Bizottságnak (Eurostat) az (1) bekezdésben említett egyes változókra vonatkozó adatokat.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A tagállamok összeállítják és továbbítják a Bizottságnak (Eurostat) az (1) bekezdésben említett egyes változókra vonatkozó adatokat. </w:t>
            </w:r>
            <w:r>
              <w:rPr>
                <w:b/>
                <w:i/>
              </w:rPr>
              <w:t>A kis méretű kereskedelmiingatlan-piaccal rendelkező tagállamok évente összeállítják ezeket az adatokat.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Irene Tinagli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5. cikk – (2)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A tagállamok összeállítják és továbbítják a Bizottságnak (Eurostat) az (1) bekezdésben említett egyes változókra vonatkozó adatokat.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A tagállamok összeállítják és továbbítják a Bizottságnak (Eurostat) az (1) bekezdésben említett egyes változókra vonatkozó adatokat. </w:t>
            </w:r>
            <w:r>
              <w:rPr>
                <w:b/>
                <w:i/>
              </w:rPr>
              <w:t>Az adatokat NUTS 3 szinten kell továbbítani, amennyiben rendelkezésre állnak, de mindenképpen NUTS 2 szinten.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5. cikk – (2)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A tagállamok összeállítják és továbbítják a Bizottságnak (Eurostat) az (1) bekezdésben említett egyes változókra vonatkozó adatokat.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A tagállamok </w:t>
            </w:r>
            <w:r>
              <w:rPr>
                <w:b/>
                <w:i/>
              </w:rPr>
              <w:t>legalább negyedévente</w:t>
            </w:r>
            <w:r>
              <w:t xml:space="preserve"> összeállítják és továbbítják a Bizottságnak (Eurostat) az (1) bekezdésben említett egyes változókra vonatkozó adatokat.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5. cikk – (2)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A tagállamok összeállítják és továbbítják a Bizottságnak (Eurostat) az (1) bekezdésben említett egyes változókra vonatkozó adatokat.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A tagállamok </w:t>
            </w:r>
            <w:r>
              <w:rPr>
                <w:b/>
                <w:i/>
              </w:rPr>
              <w:t>évente</w:t>
            </w:r>
            <w:r>
              <w:t xml:space="preserve"> összeállítják és továbbítják a Bizottságnak (Eurostat) az (1) bekezdésben említett egyes változókra vonatkozó adatokat.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5. cikk – (2)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A tagállamok összeállítják és továbbítják a Bizottságnak (Eurostat) az (1) bekezdésben említett egyes változókra vonatkozó adatokat.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A tagállamok </w:t>
            </w:r>
            <w:r>
              <w:rPr>
                <w:b/>
                <w:i/>
              </w:rPr>
              <w:t>évente</w:t>
            </w:r>
            <w:r>
              <w:t xml:space="preserve"> összeállítják és továbbítják a Bizottságnak (Eurostat) az (1) bekezdésben említett egyes változókra vonatkozó adatokat.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</w:t>
            </w:r>
            <w:r>
              <w:tab/>
            </w:r>
            <w:r>
              <w:rPr>
                <w:b/>
                <w:i/>
              </w:rPr>
              <w:t>A Bizottság felhatalmazást kap arra, hogy a 9. cikk szerint felhatalmazáson alapuló jogi aktusokat fogadjon el a változók mellékletben foglalt jegyzékének módosítása céljából.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</w:t>
            </w:r>
            <w:r>
              <w:tab/>
            </w:r>
            <w:r>
              <w:rPr>
                <w:b/>
                <w:i/>
              </w:rPr>
              <w:t>A Bizottság felhatalmazást kap arra, hogy a 9. cikk szerint felhatalmazáson alapuló jogi aktusokat fogadjon el a változók mellékletben foglalt jegyzékének módosítása céljából.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Indokolás</w:t>
      </w:r>
      <w:r>
        <w:rPr>
          <w:rStyle w:val="HideTWBExt"/>
        </w:rPr>
        <w:t>&lt;/TitreJust&gt;</w:t>
      </w:r>
    </w:p>
    <w:p>
      <w:pPr>
        <w:pStyle w:val="AmJustText"/>
      </w:pPr>
      <w:r>
        <w:t>Ennek a társjogalkotó előjogának kell lennie.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rPr>
                <w:b/>
                <w:i/>
              </w:rPr>
              <w:t>A Bizottság felhatalmazást kap arra, hogy a 9</w:t>
            </w:r>
            <w:r>
              <w:t xml:space="preserve">. </w:t>
            </w:r>
            <w:r>
              <w:rPr>
                <w:b/>
                <w:i/>
              </w:rPr>
              <w:t>cikk szerint felhatalmazáson alapuló jogi aktusokat fogadjon el a változók</w:t>
            </w:r>
            <w:r>
              <w:t xml:space="preserve"> mellékletben </w:t>
            </w:r>
            <w:r>
              <w:rPr>
                <w:b/>
                <w:i/>
              </w:rPr>
              <w:t>foglalt jegyzékének módosítása céljából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rPr>
                <w:b/>
                <w:i/>
              </w:rPr>
              <w:t>Az I</w:t>
            </w:r>
            <w:r>
              <w:t xml:space="preserve">. mellékletben </w:t>
            </w:r>
            <w:r>
              <w:rPr>
                <w:b/>
                <w:i/>
              </w:rPr>
              <w:t>felsorolt változókat ez a rendelet kimerítően meghatározza majd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Kubín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3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A felhatalmazáson alapuló jogi aktusok elfogadására vonatkozó hatáskör gyakorlása során a Bizottság gondoskodik arról, hogy a felhatalmazáson alapuló jogi aktusok ne rójanak jelentős többletköltséget vagy -terhet a tagállamokra vagy az adatszolgáltatókra.</w:t>
            </w:r>
            <w:r>
              <w:t xml:space="preserve"> </w:t>
            </w:r>
            <w:r>
              <w:rPr>
                <w:b/>
                <w:i/>
              </w:rPr>
              <w:t>Az esetleges új adatszolgáltatási követelmények – többek között a meglévő önkéntes adatszolgáltatási követelmények kötelezővé tétele – költségeinek, terheinek és megvalósíthatóságának értékelése érdekében a 7. cikkel összhangban kísérleti tanulmányokat kell végezni, és azok eredményeit a felhatalmazáson alapuló jogi aktus elfogadása előtt megfelelően értékelni kell és figyelembe kell venni.</w:t>
            </w:r>
            <w:r>
              <w:t xml:space="preserve"> </w:t>
            </w:r>
            <w:r>
              <w:rPr>
                <w:b/>
                <w:i/>
              </w:rPr>
              <w:t>Új változókat csak akkor kell bevezetni, ha a kísérleti tanulmányok azt mutatják, hogy e változók gyűjtése valamennyi tagállamban megvalósítható.</w:t>
            </w:r>
            <w:r>
              <w:t xml:space="preserve"> </w:t>
            </w:r>
            <w:r>
              <w:rPr>
                <w:b/>
                <w:i/>
              </w:rPr>
              <w:t>Az e bekezdés ötödik albekezdésében említett kísérleti tanulmányokat a 8. cikkel összhangban kell finanszírozni.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3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Az I. mellékletben felsorolt változókat ez a rendelet kimerítően meghatározza.</w:t>
            </w:r>
            <w:r>
              <w:t xml:space="preserve"> </w:t>
            </w:r>
            <w:r>
              <w:rPr>
                <w:b/>
                <w:i/>
              </w:rPr>
              <w:t>Módosítások kizárólag a rendes jogalkotási eljárás keretében hajthatók végre.</w:t>
            </w:r>
            <w:r>
              <w:t xml:space="preserve"> </w:t>
            </w:r>
            <w:r>
              <w:rPr>
                <w:b/>
                <w:i/>
              </w:rPr>
              <w:t>A végrehajtási jogi aktusok kizárólag olyan technikai részletekre vonatkozhatnak, amelyek nem eredményeznek új vagy kiterjesztett jelentéstételi kötelezettségeket.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(4)</w:t>
            </w:r>
            <w:r>
              <w:tab/>
            </w:r>
            <w:r>
              <w:rPr>
                <w:b/>
                <w:i/>
              </w:rPr>
              <w:t>A Bizottság végrehajtási jogi aktusokat fogadhat el a továbbítandó adatok következő elemeinek meghatározása, valamint azok technikai meghatározása és egyszerűsítése céljából: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mértékegység;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statisztikai sokaság;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osztályozások és bontások;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 az indexek összeállítása;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e) közelítések alkalmazása és minőségi követelmények;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f) referencia-időszak;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g) az adattovábbítási határidő;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h) első referencia-időszak.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(4)</w:t>
            </w:r>
            <w:r>
              <w:tab/>
            </w:r>
            <w:r>
              <w:rPr>
                <w:b/>
                <w:i/>
              </w:rPr>
              <w:t>A Bizottság végrehajtási jogi aktusokat fogadhat el a továbbítandó adatok következő elemeinek meghatározása, valamint azok technikai meghatározása és egyszerűsítése céljából: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mértékegység;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statisztikai sokaság;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osztályozások és bontások;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 az indexek összeállítása;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e) közelítések alkalmazása és minőségi követelmények;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f) referencia-időszak;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g) az adattovábbítási határidő;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h) első referencia-időszak.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bevezető rész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A Bizottság végrehajtási jogi aktusokat </w:t>
            </w:r>
            <w:r>
              <w:rPr>
                <w:b/>
                <w:i/>
              </w:rPr>
              <w:t>fogadhat</w:t>
            </w:r>
            <w:r>
              <w:t xml:space="preserve"> el a továbbítandó adatok következő elemeinek meghatározása, valamint azok technikai meghatározása és egyszerűsítése céljából: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A Bizottság végrehajtási jogi aktusokat </w:t>
            </w:r>
            <w:r>
              <w:rPr>
                <w:b/>
                <w:i/>
              </w:rPr>
              <w:t>fogad</w:t>
            </w:r>
            <w:r>
              <w:t xml:space="preserve"> el a továbbítandó adatok következő elemeinek meghatározása, valamint azok technikai meghatározása és egyszerűsítése céljából: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a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</w:t>
            </w:r>
            <w:r>
              <w:tab/>
            </w:r>
            <w:r>
              <w:rPr>
                <w:b/>
                <w:i/>
              </w:rPr>
              <w:t>mértékegység;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a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</w:t>
            </w:r>
            <w:r>
              <w:tab/>
            </w:r>
            <w:r>
              <w:rPr>
                <w:b/>
                <w:i/>
              </w:rPr>
              <w:t>mértékegység;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b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</w:t>
            </w:r>
            <w:r>
              <w:tab/>
            </w:r>
            <w:r>
              <w:rPr>
                <w:b/>
                <w:i/>
              </w:rPr>
              <w:t>statisztikai sokaság;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b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</w:t>
            </w:r>
            <w:r>
              <w:tab/>
            </w:r>
            <w:r>
              <w:rPr>
                <w:b/>
                <w:i/>
              </w:rPr>
              <w:t>statisztikai sokaság;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c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</w:t>
            </w:r>
            <w:r>
              <w:tab/>
            </w:r>
            <w:r>
              <w:rPr>
                <w:b/>
                <w:i/>
              </w:rPr>
              <w:t>osztályozások és bontások;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c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</w:t>
            </w:r>
            <w:r>
              <w:tab/>
            </w:r>
            <w:r>
              <w:rPr>
                <w:b/>
                <w:i/>
              </w:rPr>
              <w:t>osztályozások és bontások;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d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</w:t>
            </w:r>
            <w:r>
              <w:tab/>
            </w:r>
            <w:r>
              <w:rPr>
                <w:b/>
                <w:i/>
              </w:rPr>
              <w:t>az indexek összeállítása;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d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d)</w:t>
            </w:r>
            <w:r>
              <w:tab/>
            </w:r>
            <w:r>
              <w:rPr>
                <w:b/>
                <w:i/>
              </w:rPr>
              <w:t>az indexek összeállítása;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e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e)</w:t>
            </w:r>
            <w:r>
              <w:tab/>
            </w:r>
            <w:r>
              <w:rPr>
                <w:b/>
                <w:i/>
              </w:rPr>
              <w:t>közelítések alkalmazása és minőségi követelmények;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e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e)</w:t>
            </w:r>
            <w:r>
              <w:tab/>
            </w:r>
            <w:r>
              <w:rPr>
                <w:b/>
                <w:i/>
              </w:rPr>
              <w:t>közelítések alkalmazása és minőségi követelmények;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f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f)</w:t>
            </w:r>
            <w:r>
              <w:tab/>
            </w:r>
            <w:r>
              <w:rPr>
                <w:b/>
                <w:i/>
              </w:rPr>
              <w:t>referencia-időszak;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f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f)</w:t>
            </w:r>
            <w:r>
              <w:tab/>
            </w:r>
            <w:r>
              <w:rPr>
                <w:b/>
                <w:i/>
              </w:rPr>
              <w:t>referencia-időszak;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g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g)</w:t>
            </w:r>
            <w:r>
              <w:tab/>
            </w:r>
            <w:r>
              <w:rPr>
                <w:b/>
                <w:i/>
              </w:rPr>
              <w:t>az adattovábbítási határidő;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g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g)</w:t>
            </w:r>
            <w:r>
              <w:tab/>
            </w:r>
            <w:r>
              <w:rPr>
                <w:b/>
                <w:i/>
              </w:rPr>
              <w:t>az adattovábbítási határidő;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h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h)</w:t>
            </w:r>
            <w:r>
              <w:tab/>
            </w:r>
            <w:r>
              <w:rPr>
                <w:b/>
                <w:i/>
              </w:rPr>
              <w:t>első referencia-időszak.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4 bekezdés – h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h)</w:t>
            </w:r>
            <w:r>
              <w:tab/>
            </w:r>
            <w:r>
              <w:rPr>
                <w:b/>
                <w:i/>
              </w:rPr>
              <w:t>első referencia-időszak.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5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(5a)</w:t>
            </w:r>
            <w:r>
              <w:tab/>
            </w:r>
            <w:r>
              <w:rPr>
                <w:b/>
                <w:i/>
              </w:rPr>
              <w:t>A (4) bekezdés c) pontjában említett bontások tekintetében a Bizottság legalább: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 különbséget tesz a természetes és jogi személyek tulajdonában lévő kereskedelmi ingatlanok között;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 különbséget tesz a lakóingatlanok és a nem lakáscélú kereskedelmi ingatlanok között;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 azonosítja a rövid távú bérbeadásokat.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Kubín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5 cikk – 6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A (4) bekezdésben említett végrehajtási jogi aktusok elfogadása a 10. cikkben említett vizsgálóbizottsági eljárás keretében történik.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A (4) bekezdésben említett végrehajtási jogi aktusok elfogadása a 10. cikkben említett vizsgálóbizottsági eljárás keretében történik</w:t>
            </w:r>
            <w:r>
              <w:rPr>
                <w:b/>
                <w:i/>
              </w:rPr>
              <w:t>, legalább a referenciaidőszak kezdete előtt 24 hónappal</w:t>
            </w:r>
            <w:r>
              <w:t xml:space="preserve">. </w:t>
            </w:r>
            <w:r>
              <w:rPr>
                <w:b/>
                <w:i/>
              </w:rPr>
              <w:t>A Bizottság biztosítja, hogy az e bekezdés értelmében elfogadott végrehajtási jogi aktusok megfeleljenek az arányosság elvének, és ne rójanak jelentős többletköltséget vagy -terhet a tagállamokra, illetve a vállalatokra.</w:t>
            </w:r>
            <w:r>
              <w:t xml:space="preserve"> </w:t>
            </w:r>
            <w:r>
              <w:rPr>
                <w:b/>
                <w:i/>
              </w:rPr>
              <w:t>A 8. cikkben meghatározott kísérleti projekteket el kell végezni, és azok eredményeit megfelelően értékelni kell és figyelembe kell venni az e cikk (4) bekezdésében említett adatelemek bármely módosítását megelőzően.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6 cikk – 4 bekezdés – a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rPr>
                <w:b/>
                <w:i/>
              </w:rPr>
              <w:t>éves</w:t>
            </w:r>
            <w:r>
              <w:t xml:space="preserve"> leíró jellegű metaadatok és minőségjelentések;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rPr>
                <w:b/>
                <w:i/>
              </w:rPr>
              <w:t>negyedéves</w:t>
            </w:r>
            <w:r>
              <w:t xml:space="preserve"> leíró jellegű metaadatok és minőségjelentések;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Kubín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cikk – 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Ha a Bizottság (Eurostat) az e rendelet hatálya alá tartozó adatokra vonatkozó fontos új, az adatokra vonatkozó követelmények vagy fejlesztések iránti igényt azonosít, olyan kísérleti projekteket </w:t>
            </w:r>
            <w:r>
              <w:rPr>
                <w:b/>
                <w:i/>
              </w:rPr>
              <w:t>indíthat</w:t>
            </w:r>
            <w:r>
              <w:t xml:space="preserve"> el, amelyeket a tagállamok önkéntes alapon végeznek valamely új adatgyűjtés előtt.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Ha a Bizottság (Eurostat) az e rendelet hatálya alá tartozó adatokra vonatkozó fontos új, az adatokra vonatkozó követelmények vagy fejlesztések iránti igényt azonosít, olyan kísérleti projekteket </w:t>
            </w:r>
            <w:r>
              <w:rPr>
                <w:b/>
                <w:i/>
              </w:rPr>
              <w:t>indít</w:t>
            </w:r>
            <w:r>
              <w:t xml:space="preserve"> el, amelyeket a tagállamok önkéntes alapon végeznek valamely új adatgyűjtés előtt.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cikk – 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Az (1) bekezdésben említett kísérleti projektek célja az új adatszolgáltatási követelmények vagy fejlesztések relevanciájának, valamint az azoknak való megfelelés megvalósíthatóságának értékelése. A Bizottság adott esetben és a kísérleti projektek eredményeinek figyelembevételével javaslatokat tesz új adatszolgáltatási követelmények bevezetésére.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Az (1) bekezdésben említett kísérleti projektek célja az új adatszolgáltatási követelmények vagy fejlesztések relevanciájának, valamint az azoknak való megfelelés megvalósíthatóságának értékelése</w:t>
            </w:r>
            <w:r>
              <w:rPr>
                <w:b/>
                <w:i/>
              </w:rPr>
              <w:t>, és azokat oly módon kell elvégezni, hogy a lehető legkisebbre csökkentsék a magán adattulajdonosokra háruló terheket</w:t>
            </w:r>
            <w:r>
              <w:t>. A Bizottság adott esetben és a kísérleti projektek eredményeinek figyelembevételével javaslatokat tesz új adatszolgáltatási követelmények bevezetésére.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Kubín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cikk – 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Az (1) bekezdésben említett kísérleti projektek célja az új adatszolgáltatási követelmények vagy fejlesztések relevanciájának, valamint az azoknak való megfelelés megvalósíthatóságának értékelése. A Bizottság adott esetben és a kísérleti projektek eredményeinek figyelembevételével javaslatokat tesz új adatszolgáltatási követelmények bevezetésére.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Az (1) bekezdésben említett kísérleti projektek célja az új adatszolgáltatási követelmények vagy fejlesztések relevanciájának, valamint az azoknak való megfelelés megvalósíthatóságának értékelése. A Bizottság adott esetben és a kísérleti projektek eredményeinek </w:t>
            </w:r>
            <w:r>
              <w:rPr>
                <w:b/>
                <w:i/>
              </w:rPr>
              <w:t>– többek között az adminisztratív terhek esetleges növekedésének –</w:t>
            </w:r>
            <w:r>
              <w:t xml:space="preserve"> figyelembevételével javaslatokat tesz új adatszolgáltatási követelmények bevezetésére.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Eero Heinäluoma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cikk – 2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(2a)</w:t>
            </w:r>
            <w:r>
              <w:tab/>
            </w:r>
            <w:r>
              <w:rPr>
                <w:b/>
                <w:i/>
              </w:rPr>
              <w:t>Kísérleti tanulmány készíthető a kereskedelmi ingatlanügyletek értékére vonatkozó adatok gyűjtése céljából.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Kubín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7 cikk – 3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A </w:t>
            </w:r>
            <w:r>
              <w:rPr>
                <w:b/>
                <w:i/>
              </w:rPr>
              <w:t>tagállamok a Bizottsággal</w:t>
            </w:r>
            <w:r>
              <w:t xml:space="preserve"> (Eurostat) </w:t>
            </w:r>
            <w:r>
              <w:rPr>
                <w:b/>
                <w:i/>
              </w:rPr>
              <w:t>együtt biztosítják</w:t>
            </w:r>
            <w:r>
              <w:t xml:space="preserve"> az említett tanulmányok uniós szintű reprezentativitását.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A </w:t>
            </w:r>
            <w:r>
              <w:rPr>
                <w:b/>
                <w:i/>
              </w:rPr>
              <w:t>Bizottság</w:t>
            </w:r>
            <w:r>
              <w:t xml:space="preserve"> (Eurostat) </w:t>
            </w:r>
            <w:r>
              <w:rPr>
                <w:b/>
                <w:i/>
              </w:rPr>
              <w:t>a tagállamokkal együttműködve biztosítja</w:t>
            </w:r>
            <w:r>
              <w:t xml:space="preserve"> az említett tanulmányok uniós szintű reprezentativitását.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11 cikk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11. cikk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Eltérések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(1) Ha e rendelet, vagy az e rendelet alapján elfogadott végrehajtási intézkedések alkalmazása jelentős módosítást tesz szükségessé valamely tagállam nemzeti statisztikai rendszerében, a Bizottság végrehajtási jogi aktusok révén legfeljebb hároméves időszakra eltéréseket tehet lehetővé az adott tagállam számára.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(2) Az érintett tagállam az (1) bekezdés szerinti eltérés iránti, kellően indokolt kérelmet nyújt be a Bizottsághoz azon jogi aktus hatálybalépésétől számított három hónapon belül, amelyre vonatkozóan az eltérést kérelmezik.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 Az (1) bekezdésben említett eltéréseknek a tagállami adatok összehasonlíthatóságára vagy az előírt időszerű és reprezentatív európai aggregátumok kiszámítására gyakorolt hatását minimalizálni kell.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A Bizottság az eltérések engedélyezésekor figyelembe veszi a válaszadókra háruló terheket.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(4) A (1) bekezdésben említett végrehajtási jogi aktusok elfogadása a 10. cikkben említett vizsgálóbizottsági eljárás keretében történik.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Indokolás</w:t>
      </w:r>
      <w:r>
        <w:rPr>
          <w:rStyle w:val="HideTWBExt"/>
        </w:rPr>
        <w:t>&lt;/TitreJust&gt;</w:t>
      </w:r>
    </w:p>
    <w:p>
      <w:pPr>
        <w:pStyle w:val="AmJustText"/>
      </w:pPr>
      <w:r>
        <w:t>Mivel a nemzetközi szervezetek egyre inkább rámutatnak a kereskedelmiingatlan-ágazatból eredő növekvő sebezhetőségekre, rendkívül fontos, hogy a lehető leghamarabb megszüntessük az adathiányt.</w:t>
      </w:r>
      <w:r>
        <w:t xml:space="preserve"> </w:t>
      </w:r>
      <w:r>
        <w:t>Az ERKT már 10 évvel ezelőtt ajánlotta az e rendeletben szereplő mutatókat, elegendő időt biztosítva a tagállamoknak statisztikai keretrendszerük kiigazítására.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11 cikk – 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Ha e rendelet</w:t>
            </w:r>
            <w:r>
              <w:rPr>
                <w:b/>
                <w:i/>
              </w:rPr>
              <w:t>,</w:t>
            </w:r>
            <w:r>
              <w:t xml:space="preserve"> vagy az e rendelet alapján elfogadott végrehajtási intézkedések alkalmazása jelentős módosítást tesz szükségessé valamely tagállam nemzeti statisztikai rendszerében, a Bizottság végrehajtási jogi aktusok révén legfeljebb </w:t>
            </w:r>
            <w:r>
              <w:rPr>
                <w:b/>
                <w:i/>
              </w:rPr>
              <w:t>hároméves időszakra</w:t>
            </w:r>
            <w:r>
              <w:t xml:space="preserve"> eltéréseket tehet lehetővé az adott tagállam számára.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Ha e rendelet vagy az e rendelet alapján elfogadott végrehajtási intézkedések alkalmazása jelentős módosítást tesz szükségessé valamely tagállam nemzeti statisztikai rendszerében, </w:t>
            </w:r>
            <w:r>
              <w:rPr>
                <w:b/>
                <w:i/>
              </w:rPr>
              <w:t>különösen azokban a tagállamokban, ahol az adatgyűjtéshez szükséges közigazgatási eljárások jelentős részét még nem digitalizálták,</w:t>
            </w:r>
            <w:r>
              <w:t xml:space="preserve"> a Bizottság végrehajtási jogi aktusok révén legfeljebb </w:t>
            </w:r>
            <w:r>
              <w:rPr>
                <w:b/>
                <w:i/>
              </w:rPr>
              <w:t>ötéves időtartamra</w:t>
            </w:r>
            <w:r>
              <w:t xml:space="preserve"> eltéréseket tehet lehetővé az adott tagállam számára.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11 cikk – 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Ha e rendelet, vagy az e rendelet alapján elfogadott végrehajtási intézkedések alkalmazása jelentős módosítást tesz szükségessé valamely tagállam nemzeti statisztikai rendszerében, a Bizottság végrehajtási jogi aktusok révén legfeljebb </w:t>
            </w:r>
            <w:r>
              <w:rPr>
                <w:b/>
                <w:i/>
              </w:rPr>
              <w:t>hároméves</w:t>
            </w:r>
            <w:r>
              <w:t xml:space="preserve"> időszakra eltéréseket tehet lehetővé az adott tagállam számára.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Ha e rendelet, vagy az e rendelet alapján elfogadott végrehajtási intézkedések alkalmazása jelentős módosítást tesz szükségessé valamely tagállam nemzeti statisztikai rendszerében, a Bizottság végrehajtási jogi aktusok révén legfeljebb </w:t>
            </w:r>
            <w:r>
              <w:rPr>
                <w:b/>
                <w:i/>
              </w:rPr>
              <w:t>ötéves</w:t>
            </w:r>
            <w:r>
              <w:t xml:space="preserve"> időszakra eltéréseket tehet lehetővé az adott tagállam számára.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Kubín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11 cikk – 3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Amennyiben az eltérés annak az időszaknak a végén is indokolt, amelyre azt engedélyezték, a Bizottság végrehajtási jogi aktust fogadhat el, amelyben további eltérést engedélyez legfeljebb hároméves időtartamra.</w:t>
            </w:r>
            <w:r>
              <w:t xml:space="preserve"> </w:t>
            </w:r>
            <w:r>
              <w:rPr>
                <w:b/>
                <w:i/>
              </w:rPr>
              <w:t>Az érintett tagállam legkésőbb 6 hónappal az (1) bekezdés szerint engedélyezett eltéréssel érintett időszak vége előtt az említett meghosszabbítás okait és részletes indokait bemutató kérelmet nyújt be a Bizottságnak.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cikk – 2 bekezdés – 1 albekezdés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2026</w:t>
            </w:r>
            <w:r>
              <w:t>. január 1-</w:t>
            </w:r>
            <w:r>
              <w:rPr>
                <w:b/>
                <w:i/>
              </w:rPr>
              <w:t>től</w:t>
            </w:r>
            <w:r>
              <w:t xml:space="preserve"> kell alkalmazni.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Ezt a rendeletet 2029</w:t>
            </w:r>
            <w:r>
              <w:t>. január 1-</w:t>
            </w:r>
            <w:r>
              <w:rPr>
                <w:b/>
                <w:i/>
              </w:rPr>
              <w:t>jétől</w:t>
            </w:r>
            <w:r>
              <w:t xml:space="preserve"> kell alkalmazni.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Kubín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cikk – 2 bekezdés – 1 albekezdés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2026</w:t>
            </w:r>
            <w:r>
              <w:t>. január 1-</w:t>
            </w:r>
            <w:r>
              <w:rPr>
                <w:b/>
                <w:i/>
              </w:rPr>
              <w:t>től</w:t>
            </w:r>
            <w:r>
              <w:t xml:space="preserve"> kell alkalmazni.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Ezt a rendeletet 2028</w:t>
            </w:r>
            <w:r>
              <w:t>. január 1-</w:t>
            </w:r>
            <w:r>
              <w:rPr>
                <w:b/>
                <w:i/>
              </w:rPr>
              <w:t>jétől</w:t>
            </w:r>
            <w:r>
              <w:t xml:space="preserve"> kell alkalmazni.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Eero Heinäluoma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cikk – 2 bekezdés – 1 albekezdés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2026</w:t>
            </w:r>
            <w:r>
              <w:t>. január 1-</w:t>
            </w:r>
            <w:r>
              <w:rPr>
                <w:b/>
                <w:i/>
              </w:rPr>
              <w:t>től</w:t>
            </w:r>
            <w:r>
              <w:t xml:space="preserve"> kell alkalmazni.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Ezt a rendeletet 2028</w:t>
            </w:r>
            <w:r>
              <w:t>. január 1-</w:t>
            </w:r>
            <w:r>
              <w:rPr>
                <w:b/>
                <w:i/>
              </w:rPr>
              <w:t>jétől</w:t>
            </w:r>
            <w:r>
              <w:t xml:space="preserve"> kell alkalmazni.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Stefan Berger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13 cikk – 2 bekezdés – 1 albekezdés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2026</w:t>
            </w:r>
            <w:r>
              <w:t>. január 1-</w:t>
            </w:r>
            <w:r>
              <w:rPr>
                <w:b/>
                <w:i/>
              </w:rPr>
              <w:t>től</w:t>
            </w:r>
            <w:r>
              <w:t xml:space="preserve"> kell alkalmazni.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Ezt a rendeletet 2029</w:t>
            </w:r>
            <w:r>
              <w:t>. január 1-</w:t>
            </w:r>
            <w:r>
              <w:rPr>
                <w:b/>
                <w:i/>
              </w:rPr>
              <w:t>jétől</w:t>
            </w:r>
            <w:r>
              <w:t xml:space="preserve"> kell alkalmazni.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Irene Tinagli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a a pont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Építési engedélyek (lakások száma, hasznos alapterület) szociális lakások szerinti bontásban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Irene Tinagli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b a pont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Építési munkák megkezdése és befejezése (használható alapterület) szociális lakások szerinti bontásban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Kubín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c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A kereskedelmi ingatlanok árindexe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A kereskedelmi ingatlanok árindexe </w:t>
            </w:r>
            <w:r>
              <w:rPr>
                <w:b/>
                <w:i/>
              </w:rPr>
              <w:t>(önkéntes alapon)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Irene Tinagli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c a pont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Kereskedelmiingatlan-árindexek jövedelemtermelő ingatlanok szerinti bontásban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Irene Tinagli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d a pont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>Kereskedelmiingatlan-árindexek jövedelemtermelő ingatlanok szerinti bontásban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Eero Heinäluoma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e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e)</w:t>
            </w:r>
            <w:r>
              <w:tab/>
            </w:r>
            <w:r>
              <w:rPr>
                <w:b/>
                <w:i/>
              </w:rPr>
              <w:t>A kereskedelmiingatlan-ügyletek értéke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Kubín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e pont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A kereskedelmiingatlan-ügyletek értéke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A kereskedelmiingatlan-ügyletek értéke </w:t>
            </w:r>
            <w:r>
              <w:rPr>
                <w:b/>
                <w:i/>
              </w:rPr>
              <w:t>(önkéntes alapon).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e a pont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bérleti hozam indexek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e b pont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eb)</w:t>
            </w:r>
            <w:r>
              <w:tab/>
            </w:r>
            <w:r>
              <w:rPr>
                <w:b/>
                <w:i/>
              </w:rPr>
              <w:t>kiadatlan terület aránya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a Verts/ALE képviselőcsoport nevében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e c pont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 c)</w:t>
            </w:r>
            <w:r>
              <w:tab/>
            </w:r>
            <w:r>
              <w:rPr>
                <w:b/>
                <w:i/>
              </w:rPr>
              <w:t>rövid távú bérbeadás, beleértve a részben vagy egészben rövid távú bérbeadásra használt lakóingatlanok számát, a bérbe adott lakóingatlanok éves átlagos számát és az ilyen bérleti díjak átlagos hozamát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779.504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43</w:t>
    </w:r>
    <w:r>
      <w:fldChar w:fldCharType="end"/>
    </w:r>
    <w:r>
      <w:tab/>
    </w:r>
    <w:r>
      <w:rPr>
        <w:rStyle w:val="HideTWBExt"/>
      </w:rPr>
      <w:t>&lt;PathFdR&gt;</w:t>
    </w:r>
    <w:r>
      <w:t>AM\1331374HU.docx</w:t>
    </w:r>
    <w:r>
      <w:rPr>
        <w:rStyle w:val="HideTWBExt"/>
      </w:rPr>
      <w:t>&lt;/PathFdR&gt;</w:t>
    </w:r>
  </w:p>
  <w:p>
    <w:pPr>
      <w:pStyle w:val="EPFooter2"/>
    </w:pPr>
    <w:r>
      <w:t>HU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AM\1331374HU.docx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43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43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779.504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HU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AM\1331374HU.docx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779.504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HU</w:t>
    </w:r>
    <w:r>
      <w:tab/>
    </w:r>
    <w:r>
      <w:rPr>
        <w:rStyle w:val="EPFooter2Motto"/>
      </w:rPr>
      <w:t>Egyesülve a sokféleségben</w:t>
    </w:r>
    <w:r>
      <w:tab/>
    </w:r>
    <w:r>
      <w:t>HU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080417 HideTWBExt;}}{\*\rsidtbl \rsid24658\rsid358857\rsid735077\rsid787282\rsid2892074\rsid3622648\rsid4666813\rsid5708216\rsid6641733\rsid7553164\rsid8465581\rsid8681905\rsid8724649&#13;_x000a_\rsid9590763\rsid9636012\rsid9862312\rsid11215221\rsid11370291\rsid11434737\rsid11607138\rsid11824949\rsid12154954\rsid14424199\rsid15080417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6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08041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9076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5080417 \rtlch\fcs1 \af0\afs20\alang1025 \ltrch\fcs0 \fs24\lang2057\langfe2057\cgrid\langnp2057\langfenp2057 {\rtlch\fcs1 \af0 \ltrch\fcs0 &#13;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&#13;_x000a_\rtlch\fcs1 \af0 \ltrch\fcs0 \insrsid15080417\charrsid946740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86&#13;_x000a_63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184271 HideTWBExt;}}{\*\rsidtbl \rsid24658\rsid358857\rsid735077\rsid787282\rsid2236920\rsid2892074\rsid3622648\rsid4666813\rsid5708216\rsid6641733\rsid7553164\rsid8465581\rsid8681905&#13;_x000a_\rsid8724649\rsid9636012\rsid9862312\rsid11215221\rsid11370291\rsid11434737\rsid11607138\rsid11824949\rsid12154954\rsid14184271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5}{\*\company European Parliament}{\nofcharsws36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18427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692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4f&#13;_x000a_ed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941110 HideTWBExt;}}{\*\rsidtbl \rsid24658\rsid358857\rsid735077\rsid787282\rsid2431835\rsid2892074\rsid3622648\rsid4666813\rsid5708216\rsid6641733\rsid7553164\rsid8465581\rsid8681905&#13;_x000a_\rsid8724649\rsid8941110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94111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431835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8941110\charrsid946740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da&#13;_x000a_64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21985 HideTWBExt;}}{\*\rsidtbl \rsid24658\rsid358857\rsid721985\rsid735077\rsid787282\rsid2892074\rsid3622648\rsid4666813\rsid5708216\rsid6641733\rsid7553164\rsid8465581\rsid8681905&#13;_x000a_\rsid8724649\rsid9636012\rsid9862312\rsid11215221\rsid11370291\rsid11434340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2198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43434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721985\charrsid946740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ab&#13;_x000a_e1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184084 HideTWBExt;}{\s16\ql \li0\ri0\sa120\nowidctlpar\wrapdefault\aspalpha\aspnum\faauto\adjustright\rin0\lin0\itap0 \rtlch\fcs1 \af0\afs20\alang1025 \ltrch\fcs0 &#13;_x000a_\fs24\lang2057\langfe2057\cgrid\langnp2057\langfenp2057 \sbasedon0 \snext16 \spriority0 \styrsid5184084 Normal6a;}{\s17\ql \li0\ri0\nowidctlpar\wrapdefault\aspalpha\aspnum\faauto\adjustright\rin0\lin0\itap0 \rtlch\fcs1 \af0\afs20\alang1025 \ltrch\fcs0 &#13;_x000a_\b\fs24\lang2057\langfe2057\cgrid\langnp2057\langfenp2057 \sbasedon0 \snext17 \spriority0 \styrsid5184084 NormalBold;}{\s18\qr \li0\ri0\sb240\sa240\nowidctlpar\wrapdefault\aspalpha\aspnum\faauto\adjustright\rin0\lin0\itap0 \rtlch\fcs1 &#13;_x000a_\af0\afs20\alang1025 \ltrch\fcs0 \fs24\lang2057\langfe2057\cgrid\langnp2057\langfenp2057 \sbasedon0 \snext18 \spriority0 \styrsid5184084 AmOrLang;}{\s19\qc \li0\ri0\sa240\nowidctlpar\wrapdefault\aspalpha\aspnum\faauto\adjustright\rin0\lin0\itap0 &#13;_x000a_\rtlch\fcs1 \af0\afs20\alang1025 \ltrch\fcs0 \i\fs24\lang2057\langfe2057\cgrid\langnp2057\langfenp2057 \sbasedon0 \snext19 \spriority0 \styrsid5184084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5184084 AmNumberTabs;}}{\*\rsidtbl \rsid24658\rsid358857\rsid735077\rsid787282\rsid2892074\rsid3622648\rsid4666813\rsid5184084\rsid5708216&#13;_x000a_\rsid6641733\rsid7553164\rsid8465581\rsid8681905\rsid8724649\rsid9636012\rsid9862312\rsid10499370\rsid11215221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26}{\nofchars301}{\*\company European Parliament}{\nofcharsws30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18408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49937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5184084 \rtlch\fcs1 \af0\afs20\alang1025 \ltrch\fcs0 \b\fs24\lang2057\langfe2057\cgrid\langnp2057\langfenp2057 {\rtlch\fcs1 \af0 \ltrch\fcs0 \cs15\b0\v\f1\fs20\cf9\insrsid5184084\charrsid946740 {\*\bkmkstart restartA}&lt;AmendA&gt;}{&#13;_x000a_\rtlch\fcs1 \af0 \ltrch\fcs0 \insrsid5184084\charrsid946740 [ZAMENDMENT]\tab \tab }{\rtlch\fcs1 \af0 \ltrch\fcs0 \cs15\b0\v\f1\fs20\cf9\insrsid5184084\charrsid946740 &lt;NumAmA&gt;}{\rtlch\fcs1 \af0 \ltrch\fcs0 \insrsid5184084\charrsid946740 [ZNRAM]}{&#13;_x000a_\rtlch\fcs1 \af0 \ltrch\fcs0 \cs15\b0\v\f1\fs20\cf9\insrsid5184084\charrsid946740 &lt;/NumAmA&gt;}{\rtlch\fcs1 \af0 \ltrch\fcs0 \insrsid5184084\charrsid9467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lang1024\langfe1024\noproof\insrsid5184084\charrsid14699840 &lt;RepeatBlock-By&gt;}{\rtlch\fcs1 \af0 \ltrch\fcs0 \lang1024\langfe1024\noproof\insrsid5184084\charrsid14699840 [RepeatMembers]}{\rtlch\fcs1 \af0 \ltrch\fcs0 &#13;_x000a_\cs15\b0\v\f1\fs20\cf9\lang1024\langfe1024\noproof\insrsid5184084\charrsid14699840 &lt;Members&gt;}{\rtlch\fcs1 \af0 \ltrch\fcs0 \insrsid5184084\charrsid14699840 [ZMEMBERS]}{\rtlch\fcs1 \af0 \ltrch\fcs0 &#13;_x000a_\cs15\b0\v\f1\fs20\cf9\lang1024\langfe1024\noproof\insrsid5184084\charrsid14699840 &lt;/Members&gt;}{\rtlch\fcs1 \af0 \ltrch\fcs0 \insrsid5184084\charrsid146998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lang1024\langfe1024\noproof\langnp1043\insrsid5184084\charrsid2237221 &lt;AuNomDe&gt;&lt;OptDel&gt;}{\rtlch\fcs1 \af0 \ltrch\fcs0 \lang1024\langfe1024\noproof\langnp1043\insrsid5184084\charrsid2237221 [ZONBEHALF]}{\rtlch\fcs1 \af0 \ltrch\fcs0 &#13;_x000a_\cs15\v\f1\fs20\cf9\lang1024\langfe1024\noproof\langnp1043\insrsid5184084\charrsid2237221 &lt;/OptDel&gt;&lt;/AuNomDe&gt;}{\rtlch\fcs1 \af0 \ltrch\fcs0 \lang1043\langfe2057\langnp1043\insrsid5184084\charrsid2237221 &#13;_x000a_\par }{\rtlch\fcs1 \af0 \ltrch\fcs0 \insrsid5184084\charrsid14699840 &lt;&lt;&lt;}{\rtlch\fcs1 \af0 \ltrch\fcs0 \cs15\v\f1\fs20\cf9\lang1024\langfe1024\noproof\insrsid5184084\charrsid14699840 &lt;/RepeatBlock-By&gt;}{\rtlch\fcs1 \af0 \ltrch\fcs0 &#13;_x000a_\insrsid5184084\charrsid146998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insrsid5184084\charrsid946740 &lt;DocAmend&gt;}{\rtlch\fcs1 \af0 \ltrch\fcs0 \insrsid5184084\charrsid946740 [ZRESOLUTION]}{\rtlch\fcs1 \af0 \ltrch\fcs0 \cs15\b0\v\f1\fs20\cf9\insrsid5184084\charrsid946740 &lt;/DocAmend&gt;}{&#13;_x000a_\rtlch\fcs1 \af0 \ltrch\fcs0 \insrsid5184084\charrsid946740 &#13;_x000a_\par }{\rtlch\fcs1 \af0 \ltrch\fcs0 \cs15\b0\v\f1\fs20\cf9\lang1024\langfe1024\noproof\insrsid5184084\charrsid16013815 &lt;Article&gt;}{\rtlch\fcs1 \af0 \ltrch\fcs0 \insrsid5184084\charrsid16013815 [ZRESPART]}{\rtlch\fcs1 \af0 \ltrch\fcs0 &#13;_x000a_\cs15\b0\v\f1\fs20\cf9\lang1024\langfe1024\noproof\insrsid5184084\charrsid16013815 &lt;/Article&gt;}{\rtlch\fcs1 \af0 \ltrch\fcs0 \insrsid5184084\charrsid16013815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10630121 \rtlch\fcs1 \af0\afs20\alang1025 \ltrch\fcs0 \i\fs24\lang2057\langfe2057\cgrid\langnp2057\langfenp2057 {&#13;_x000a_\rtlch\fcs1 \af0 \ltrch\fcs0 \insrsid5184084\charrsid946740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5184084\charrsid946740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5184084\charrsid946740 [ZTEXTL]\cell [ZTEXTR]}{\rtlch\fcs1 \af0\afs24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5184084 \rtlch\fcs1 \af0\afs20\alang1025 \ltrch\fcs0 \fs24\lang2057\langfe2057\cgrid\langnp2057\langfenp2057 {\rtlch\fcs1 \af0 \ltrch\fcs0 &#13;_x000a_\insrsid5184084\charrsid946740 Or. }{\rtlch\fcs1 \af0 \ltrch\fcs0 \cs15\v\f1\fs20\cf9\insrsid5184084\charrsid946740 &lt;Original&gt;}{\rtlch\fcs1 \af0 \ltrch\fcs0 \insrsid5184084\charrsid946740 [ZORLANG]}{\rtlch\fcs1 \af0 \ltrch\fcs0 &#13;_x000a_\cs15\v\f1\fs20\cf9\insrsid5184084\charrsid946740 &lt;/Original&gt;}{\rtlch\fcs1 \af0 \ltrch\fcs0 \insrsid5184084\charrsid9467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insrsid5184084\charrsid946740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62&#13;_x000a_7919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344099 HideTWBExt;}{\s16\ql \li0\ri0\sa120\nowidctlpar\wrapdefault\aspalpha\aspnum\faauto\adjustright\rin0\lin0\itap0 \rtlch\fcs1 \af0\afs20\alang1025 \ltrch\fcs0 &#13;_x000a_\fs24\lang2057\langfe2057\cgrid\langnp2057\langfenp2057 \sbasedon0 \snext16 \spriority0 \styrsid7344099 Normal6a;}{\s17\ql \li0\ri0\nowidctlpar\wrapdefault\aspalpha\aspnum\faauto\adjustright\rin0\lin0\itap0 \rtlch\fcs1 \af0\afs20\alang1025 \ltrch\fcs0 &#13;_x000a_\b\fs24\lang2057\langfe2057\cgrid\langnp2057\langfenp2057 \sbasedon0 \snext17 \spriority0 \styrsid7344099 NormalBold;}{\s18\ql \li0\ri0\sa240\nowidctlpar\wrapdefault\aspalpha\aspnum\faauto\adjustright\rin0\lin0\itap0 \rtlch\fcs1 \af0\afs20\alang1025 &#13;_x000a_\ltrch\fcs0 \i\fs24\lang2057\langfe2057\cgrid\langnp2057\langfenp2057 \sbasedon0 \snext18 \spriority0 \styrsid7344099 AmJustText;}{\s19\qc \li0\ri0\sb240\sa240\nowidctlpar\wrapdefault\aspalpha\aspnum\faauto\adjustright\rin0\lin0\itap0 \rtlch\fcs1 &#13;_x000a_\af0\afs20\alang1025 \ltrch\fcs0 \i\fs24\lang2057\langfe2057\cgrid\langnp2057\langfenp2057 \sbasedon0 \snext19 \spriority0 \styrsid7344099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7344099 AmJustTitle;}{\s21\qr \li0\ri0\sb240\sa240\nowidctlpar\wrapdefault\aspalpha\aspnum\faauto\adjustright\rin0\lin0\itap0 \rtlch\fcs1 \af0\afs20\alang1025 \ltrch\fcs0 &#13;_x000a_\fs24\lang2057\langfe2057\cgrid\langnp2057\langfenp2057 \sbasedon0 \snext21 \spriority0 \styrsid7344099 AmOrLang;}{\s22\qc \li0\ri0\sa240\nowidctlpar\wrapdefault\aspalpha\aspnum\faauto\adjustright\rin0\lin0\itap0 \rtlch\fcs1 \af0\afs20\alang1025 &#13;_x000a_\ltrch\fcs0 \i\fs24\lang2057\langfe2057\cgrid\langnp2057\langfenp2057 \sbasedon0 \snext22 \spriority0 \styrsid7344099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7344099 AmNumberTabs;}}{\*\rsidtbl \rsid24658\rsid358857\rsid735077\rsid787282\rsid2892074\rsid3622648\rsid4666813\rsid5708216\rsid6641733&#13;_x000a_\rsid7344099\rsid7553164\rsid8465581\rsid8681905\rsid8724649\rsid9636012\rsid9862312\rsid11215221\rsid11370291\rsid11434737\rsid11607138\rsid11824949\rsid12154954\rsid13981856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42}{\nofchars483}{\*\company European Parliament}{\nofcharsws488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344099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981856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7344099 \rtlch\fcs1 \af0\afs20\alang1025 \ltrch\fcs0 \b\fs24\lang2057\langfe2057\cgrid\langnp2057\langfenp2057 {\rtlch\fcs1 \af0 \ltrch\fcs0 \cs15\b0\v\f1\fs20\cf9\insrsid7344099\charrsid946740 {\*\bkmkstart restartB}&lt;AmendB&gt;}{&#13;_x000a_\rtlch\fcs1 \af0 \ltrch\fcs0 \insrsid7344099\charrsid946740 [ZAMENDMENT]\tab \tab }{\rtlch\fcs1 \af0 \ltrch\fcs0 \cs15\b0\v\f1\fs20\cf9\insrsid7344099\charrsid946740 &lt;NumAmB&gt;}{\rtlch\fcs1 \af0 \ltrch\fcs0 \insrsid7344099\charrsid946740 [ZNRAM]}{&#13;_x000a_\rtlch\fcs1 \af0 \ltrch\fcs0 \cs15\b0\v\f1\fs20\cf9\insrsid7344099\charrsid946740 &lt;/NumAmB&gt;}{\rtlch\fcs1 \af0 \ltrch\fcs0 \insrsid7344099\charrsid9467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lang1024\langfe1024\noproof\insrsid7344099\charrsid14699840 &lt;RepeatBlock-By&gt;}{\rtlch\fcs1 \af0 \ltrch\fcs0 \lang1024\langfe1024\noproof\insrsid7344099\charrsid14699840 [RepeatMembers]}{\rtlch\fcs1 \af0 \ltrch\fcs0 &#13;_x000a_\cs15\b0\v\f1\fs20\cf9\lang1024\langfe1024\noproof\insrsid7344099\charrsid14699840 &lt;Members&gt;}{\rtlch\fcs1 \af0 \ltrch\fcs0 \insrsid7344099\charrsid14699840 [ZMEMBERS]}{\rtlch\fcs1 \af0 \ltrch\fcs0 &#13;_x000a_\cs15\b0\v\f1\fs20\cf9\lang1024\langfe1024\noproof\insrsid7344099\charrsid14699840 &lt;/Members&gt;}{\rtlch\fcs1 \af0 \ltrch\fcs0 \insrsid7344099\charrsid146998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lang1024\langfe1024\noproof\langnp1043\insrsid7344099\charrsid2237221 &lt;AuNomDe&gt;&lt;OptDel&gt;}{\rtlch\fcs1 \af0 \ltrch\fcs0 \lang1024\langfe1024\noproof\langnp1043\insrsid7344099\charrsid2237221 [ZONBEHALF]}{\rtlch\fcs1 \af0 \ltrch\fcs0 &#13;_x000a_\cs15\v\f1\fs20\cf9\lang1024\langfe1024\noproof\langnp1043\insrsid7344099\charrsid2237221 &lt;/OptDel&gt;&lt;/AuNomDe&gt;}{\rtlch\fcs1 \af0 \ltrch\fcs0 \lang1043\langfe2057\langnp1043\insrsid7344099\charrsid2237221 &#13;_x000a_\par }{\rtlch\fcs1 \af0 \ltrch\fcs0 \insrsid7344099\charrsid14699840 &lt;&lt;&lt;}{\rtlch\fcs1 \af0 \ltrch\fcs0 \cs15\v\f1\fs20\cf9\lang1024\langfe1024\noproof\insrsid7344099\charrsid14699840 &lt;/RepeatBlock-By&gt;}{\rtlch\fcs1 \af0 \ltrch\fcs0 &#13;_x000a_\insrsid7344099\charrsid146998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insrsid7344099\charrsid946740 &lt;DocAmend&gt;}{\rtlch\fcs1 \af0 \ltrch\fcs0 \insrsid7344099\charrsid946740 [Z}{\rtlch\fcs1 \af0 \ltrch\fcs0 \insrsid7344099 AMDOC}{\rtlch\fcs1 \af0 \ltrch\fcs0 \insrsid7344099\charrsid946740 ]}&#13;_x000a_{\rtlch\fcs1 \af0 \ltrch\fcs0 \cs15\b0\v\f1\fs20\cf9\insrsid7344099\charrsid946740 &lt;/DocAmend&gt;}{\rtlch\fcs1 \af0 \ltrch\fcs0 \insrsid7344099\charrsid946740 &#13;_x000a_\par }\pard \ltrpar\s17\ql \li0\ri0\keepn\nowidctlpar\wrapdefault\aspalpha\aspnum\faauto\adjustright\rin0\lin0\itap0\pararsid7344099 {\rtlch\fcs1 \af0 \ltrch\fcs0 \cs15\b0\v\f1\fs20\cf9\insrsid7344099\charrsid946740 &lt;Article&gt;}{\rtlch\fcs1 \af0 \ltrch\fcs0 &#13;_x000a_\insrsid7344099\charrsid946740 [ZAMPART]}{\rtlch\fcs1 \af0 \ltrch\fcs0 \cs15\b0\v\f1\fs20\cf9\insrsid7344099\charrsid946740 &lt;/Article&gt;}{\rtlch\fcs1 \af0 \ltrch\fcs0 \insrsid7344099\charrsid946740 &#13;_x000a_\par }\pard\plain \ltrpar\ql \li0\ri0\keepn\widctlpar\wrapdefault\aspalpha\aspnum\faauto\adjustright\rin0\lin0\itap0\pararsid7344099 \rtlch\fcs1 \af0\afs20\alang1025 \ltrch\fcs0 \fs24\lang2057\langfe2057\cgrid\langnp2057\langfenp2057 {\rtlch\fcs1 \af0 &#13;_x000a_\ltrch\fcs0 \cs15\v\f1\fs20\cf9\lang1043\langfe2057\langnp1043\insrsid7344099\charrsid2237221 &lt;DocAmend2&gt;&lt;OptDel&gt;}{\rtlch\fcs1 \af0 \ltrch\fcs0 \lang1043\langfe2057\langnp1043\insrsid7344099\charrsid2237221 [ZNRACT]}{\rtlch\fcs1 \af0 \ltrch\fcs0 &#13;_x000a_\cs15\v\f1\fs20\cf9\lang1043\langfe2057\langnp1043\insrsid7344099\charrsid2237221 &lt;/OptDel&gt;&lt;/DocAmend2&gt;}{\rtlch\fcs1 \af0 \ltrch\fcs0 \lang1043\langfe2057\langnp1043\insrsid7344099\charrsid2237221 &#13;_x000a_\par }\pard \ltrpar\ql \li0\ri0\widctlpar\wrapdefault\aspalpha\aspnum\faauto\adjustright\rin0\lin0\itap0\pararsid7344099 {\rtlch\fcs1 \af0 \ltrch\fcs0 \cs15\v\f1\fs20\cf9\lang1036\langfe2057\langnp1036\insrsid7344099\charrsid2237221 &lt;Article2&gt;&lt;OptDel&gt;}{&#13;_x000a_\rtlch\fcs1 \af0 \ltrch\fcs0 \lang1036\langfe2057\langnp1036\insrsid7344099\charrsid2237221 [ZACTPART]}{\rtlch\fcs1 \af0 \ltrch\fcs0 \cs15\v\f1\fs20\cf9\lang1036\langfe2057\langnp1036\insrsid7344099\charrsid2237221 &lt;/OptDel&gt;&lt;/Article2&gt;}{\rtlch\fcs1 \af0 &#13;_x000a_\ltrch\fcs0 \lang1036\langfe2057\langnp1036\insrsid7344099\charrsid2237221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lang1036\langfe2057\langnp1036\insrsid7344099\charrsid2237221 \cell }\pard\plain \ltrpar&#13;_x000a_\ql \li0\ri0\widctlpar\intbl\wrapdefault\aspalpha\aspnum\faauto\adjustright\rin0\lin0 \rtlch\fcs1 \af0\afs20\alang1025 \ltrch\fcs0 \fs24\lang2057\langfe2057\cgrid\langnp2057\langfenp2057 {\rtlch\fcs1 \af0 \ltrch\fcs0 \insrsid7344099\charrsid11559818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10630121 \rtlch\fcs1 \af0\afs20\alang1025 \ltrch\fcs0 \i\fs24\lang2057\langfe2057\cgrid\langnp2057\langfenp2057 {\rtlch\fcs1 \af0 \ltrch\fcs0 &#13;_x000a_\insrsid7344099\charrsid946740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7344099\charrsid946740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7344099\charrsid946740 [ZTEXTL]\cell [ZTEXTR]}{\rtlch\fcs1 \af0\afs24 \ltrch\fcs0 \insrsid7344099\charrsid946740 \cell }\pard\plain \ltrpar\ql \li0\ri0\widctlpar\intbl\wrapdefault\aspalpha\aspnum\faauto\adjustright\rin0\lin0 \rtlch\fcs1 &#13;_x000a_\af0\afs20\alang1025 \ltrch\fcs0 \fs24\lang2057\langfe2057\cgrid\langnp2057\langfenp2057 {\rtlch\fcs1 \af0 \ltrch\fcs0 \insrsid7344099\charrsid946740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7344099 \rtlch\fcs1 \af0\afs20\alang1025 \ltrch\fcs0 \fs24\lang2057\langfe2057\cgrid\langnp2057\langfenp2057 {\rtlch\fcs1 \af0 \ltrch\fcs0 &#13;_x000a_\insrsid7344099\charrsid946740 Or. }{\rtlch\fcs1 \af0 \ltrch\fcs0 \cs15\v\f1\fs20\cf9\insrsid7344099\charrsid946740 &lt;Original&gt;}{\rtlch\fcs1 \af0 \ltrch\fcs0 \insrsid7344099\charrsid946740 [ZORLANG]}{\rtlch\fcs1 \af0 \ltrch\fcs0 &#13;_x000a_\cs15\v\f1\fs20\cf9\insrsid7344099\charrsid946740 &lt;/Original&gt;}{\rtlch\fcs1 \af0 \ltrch\fcs0 \insrsid7344099\charrsid946740 &#13;_x000a_\par }\pard\plain \ltrpar\s19\qc \li0\ri0\sb240\sa240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OptDel&gt;}{\rtlch\fcs1 \af0 \ltrch\fcs0 \insrsid7344099\charrsid946740 [ZCROSSREF]}{\rtlch\fcs1 \af0 \ltrch\fcs0 \cs15\i0\v\f1\fs20\cf9\insrsid7344099\charrsid946740 &#13;_x000a_&lt;/OptDel&gt;}{\rtlch\fcs1 \af0 \ltrch\fcs0 \insrsid7344099\charrsid946740 &#13;_x000a_\par }\pard\plain \ltrpar\s20\qc \li0\ri0\sb240\sa240\keepn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TitreJust&gt;}{\rtlch\fcs1 \af0 \ltrch\fcs0 \insrsid7344099\charrsid946740 [ZJUSTIFICATION]}{\rtlch\fcs1 \af0 \ltrch\fcs0 \cs15\i0\v\f1\fs20\cf9\insrsid7344099\charrsid946740 &#13;_x000a_&lt;/TitreJust&gt;}{\rtlch\fcs1 \af0 \ltrch\fcs0 \insrsid7344099\charrsid946740 &#13;_x000a_\par }\pard\plain \ltrpar\s18\ql \li0\ri0\sa240\nowidctlpar\wrapdefault\aspalpha\aspnum\faauto\adjustright\rin0\lin0\itap0\pararsid7344099 \rtlch\fcs1 \af0\afs20\alang1025 \ltrch\fcs0 \i\fs24\lang2057\langfe2057\cgrid\langnp2057\langfenp2057 {\rtlch\fcs1 \af0 &#13;_x000a_\ltrch\fcs0 \cs15\i0\v\f1\fs20\cf9\insrsid7344099\charrsid946740 &lt;OptDelPrev&gt;}{\rtlch\fcs1 \af0 \ltrch\fcs0 \insrsid7344099\charrsid946740 [ZTEXTJUST]}{\rtlch\fcs1 \af0 \ltrch\fcs0 \cs15\i0\v\f1\fs20\cf9\insrsid7344099\charrsid946740 &lt;/OptDelPrev&gt;}{&#13;_x000a_\rtlch\fcs1 \af0 \ltrch\fcs0 \insrsid7344099\charrsid9467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insrsid7344099\charrsid946740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a2&#13;_x000a_0c1a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43</Pages>
  <Words>7225</Words>
  <Characters>50923</Characters>
  <Application>Microsoft Office Word</Application>
  <DocSecurity>0</DocSecurity>
  <Lines>1</Lines>
  <Paragraphs>831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1331374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291261</vt:lpwstr>
  </property>
  <property fmtid="{D5CDD505-2E9C-101B-9397-08002B2CF9AE}" pid="7" name="dmxml.render.traceId">
    <vt:lpwstr>691ee44ff770f25d53475968d994af87</vt:lpwstr>
  </property>
  <property fmtid="{D5CDD505-2E9C-101B-9397-08002B2CF9AE}" pid="8" name="FooterPath">
    <vt:lpwstr>AM\1331374HU.docx</vt:lpwstr>
  </property>
  <property fmtid="{D5CDD505-2E9C-101B-9397-08002B2CF9AE}" pid="9" name="PE Number">
    <vt:lpwstr>779.504</vt:lpwstr>
  </property>
  <property fmtid="{D5CDD505-2E9C-101B-9397-08002B2CF9AE}" pid="10" name="UID">
    <vt:lpwstr>eu.europa.europarl-DIN1-2025-0000212645_02.00-hu-01.00_text-xml</vt:lpwstr>
  </property>
</Properties>
</file>