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Ekonomikos ir pinigų politikos komitetas</w:t>
      </w:r>
      <w:r>
        <w:rPr>
          <w:rStyle w:val="HideTWBExt"/>
        </w:rPr>
        <w:t>&lt;/Commission&gt;</w:t>
      </w:r>
    </w:p>
    <w:p>
      <w:pPr>
        <w:pStyle w:val="LineBottom"/>
      </w:pPr>
      <w:r>
        <w:t xml:space="preserve"> </w:t>
      </w:r>
    </w:p>
    <w:p>
      <w:pPr>
        <w:pStyle w:val="CoverReference"/>
      </w:pPr>
      <w:r>
        <w:rPr>
          <w:rStyle w:val="HideTWBExt"/>
        </w:rPr>
        <w:t>&lt;RefProc&gt;</w:t>
      </w:r>
      <w:r>
        <w:t>2025/0052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{07/11/2025}</w:t>
      </w:r>
      <w:r>
        <w:t>7.11.2025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16</w:t>
      </w:r>
      <w:r>
        <w:t xml:space="preserve"> - </w:t>
      </w:r>
      <w:r>
        <w:t>100</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Aurore Lalucq</w:t>
      </w:r>
      <w:r>
        <w:rPr>
          <w:rStyle w:val="HideTWBExt"/>
        </w:rPr>
        <w:t>&lt;/Rapporteur&gt;</w:t>
      </w:r>
    </w:p>
    <w:p>
      <w:pPr>
        <w:pStyle w:val="CoverNormal24a"/>
      </w:pPr>
      <w:r>
        <w:rPr>
          <w:rStyle w:val="HideTWBExt"/>
        </w:rPr>
        <w:t>&lt;DocRefPE&gt;</w:t>
      </w:r>
      <w:r>
        <w:t>(PE778.148v01-00)</w:t>
      </w:r>
      <w:r>
        <w:rPr>
          <w:rStyle w:val="HideTWBExt"/>
        </w:rPr>
        <w:t>&lt;/DocRefPE&gt;</w:t>
      </w:r>
    </w:p>
    <w:p>
      <w:pPr>
        <w:pStyle w:val="CoverNormal24a"/>
      </w:pPr>
      <w:r>
        <w:rPr>
          <w:rStyle w:val="HideTWBExt"/>
        </w:rPr>
        <w:t>&lt;Titre&gt;</w:t>
      </w:r>
      <w:r>
        <w:t>Komercinės paskirties nekilnojamojo turto nefinansinė statistika</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(COM(2025)0100 – 2025/0052(COD))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nekilnojamojo turto rinkų raidos statistika – labai svarbi priemonė ekonominei ir pinigų politikai formuoti, sisteminei rizikai stebėti ir makroprudencinės politikos formavimui pagrįsti;</w:t>
            </w:r>
          </w:p>
        </w:tc>
        <w:tc>
          <w:tcPr>
            <w:tcW w:w="4876" w:type="dxa"/>
            <w:tcBorders>
              <w:top w:val="nil"/>
              <w:left w:val="nil"/>
              <w:bottom w:val="nil"/>
              <w:right w:val="nil"/>
            </w:tcBorders>
          </w:tcPr>
          <w:p>
            <w:pPr>
              <w:pStyle w:val="Normal6a"/>
            </w:pPr>
            <w:r>
              <w:t>(1)</w:t>
            </w:r>
            <w:r>
              <w:tab/>
            </w:r>
            <w:r>
              <w:t xml:space="preserve">nekilnojamojo turto rinkų raidos statistika – labai svarbi priemonė ekonominei ir pinigų politikai formuoti, sisteminei rizikai stebėti ir makroprudencinės politikos formavimui pagrįsti; </w:t>
            </w:r>
            <w:r>
              <w:rPr>
                <w:b/>
                <w:i/>
              </w:rPr>
              <w:t>ankstesnės finansų krizės parodė, kad pokyčiai nekilnojamojo turto rinkose gali būti juntami finansų sistemoje ir daryti didelį poveikį realiajai ekonomikai;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2025 m. birželio 19 d. ataskaitoje „Nebankinių komercinių nekilnojamojo turto investuotojų pažeidžiamumas“ Finansinio stabilumo taryba nurodė pagrindines su komercinės paskirties nekilnojamojo turto sektoriumi susijusias silpnąsias vietas.</w:t>
            </w:r>
            <w:r>
              <w:t xml:space="preserve"> </w:t>
            </w:r>
            <w:r>
              <w:rPr>
                <w:b/>
                <w:i/>
              </w:rPr>
              <w:t>Ataskaitoje nurodomos likusios duomenų spragos, trukdančios makrolygio rizikos ribojimo institucijoms vykdyti savo įgaliojimus;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minėtoje 2019 m. rekomendacijoje ESRV fizinį komercinės paskirties nekilnojamąjį turtą apibrėžė kaip bet kokį esamą arba vystomą pajamų duodantį nekilnojamąjį turtą, įskaitant nuomojamą būstą, arba esamą arba statomą nekilnojamąjį turtą, kurį savininkai naudoja savo verslui, reikmėms ar veiklai vykdyti, kuris nepriskiriamas prie gyvenamosios paskirties nekilnojamojo turto ir apima socialinį būstą. Šiame reglamente </w:t>
            </w:r>
            <w:r>
              <w:rPr>
                <w:b/>
                <w:i/>
              </w:rPr>
              <w:t>pateikiamos</w:t>
            </w:r>
            <w:r>
              <w:t xml:space="preserve"> apibrėžtys suderintos su 2019 m. ESRV rekomenduotomis apibrėžtimis;</w:t>
            </w:r>
          </w:p>
        </w:tc>
        <w:tc>
          <w:tcPr>
            <w:tcW w:w="4876" w:type="dxa"/>
            <w:tcBorders>
              <w:top w:val="nil"/>
              <w:left w:val="nil"/>
              <w:bottom w:val="nil"/>
              <w:right w:val="nil"/>
            </w:tcBorders>
          </w:tcPr>
          <w:p>
            <w:pPr>
              <w:pStyle w:val="Normal6a"/>
            </w:pPr>
            <w:r>
              <w:t>(6)</w:t>
            </w:r>
            <w:r>
              <w:tab/>
            </w:r>
            <w:r>
              <w:t xml:space="preserve">minėtoje 2019 m. rekomendacijoje ESRV fizinį komercinės paskirties nekilnojamąjį turtą apibrėžė kaip bet kokį esamą arba vystomą pajamų duodantį nekilnojamąjį turtą, įskaitant nuomojamą būstą, arba esamą arba statomą nekilnojamąjį turtą, kurį savininkai naudoja savo verslui, reikmėms ar veiklai vykdyti, kuris nepriskiriamas prie gyvenamosios paskirties nekilnojamojo turto ir apima socialinį būstą. Šiame reglamente </w:t>
            </w:r>
            <w:r>
              <w:rPr>
                <w:b/>
                <w:i/>
              </w:rPr>
              <w:t>pateiktos</w:t>
            </w:r>
            <w:r>
              <w:t xml:space="preserve"> apibrėžtys suderintos su 2019 m. ESRV rekomenduotomis apibrėžtimis</w:t>
            </w:r>
            <w:r>
              <w:rPr>
                <w:b/>
                <w:i/>
              </w:rPr>
              <w:t>, neįtraukiant socialinio būsto, kuris nelaikomas komercinės paskirties nekilnojamuoju turtu, kaip nurodyta 2016 m. ESRV rekomendacijoje, ir suderinamas su Eurostato ataskaita „Komercinės paskirties turto kainų rodikliai:</w:t>
            </w:r>
            <w:r>
              <w:t xml:space="preserve"> </w:t>
            </w:r>
            <w:r>
              <w:rPr>
                <w:b/>
                <w:i/>
              </w:rPr>
              <w:t>šaltiniai, metodai ir problemos“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Komisija (Eurostatas) ir nacionalinės statistikos institucijos (NSI), glaudžiai bendradarbiaudamos su ESRV, įvertino galimybes parengti</w:t>
            </w:r>
            <w:r>
              <w:t xml:space="preserve"> fizinio komercinės paskirties nekilnojamojo turto </w:t>
            </w:r>
            <w:r>
              <w:rPr>
                <w:b/>
                <w:i/>
              </w:rPr>
              <w:t>rodiklius</w:t>
            </w:r>
            <w:r>
              <w:t xml:space="preserve">, t. y. kainų </w:t>
            </w:r>
            <w:r>
              <w:rPr>
                <w:b/>
                <w:i/>
              </w:rPr>
              <w:t>indeksą</w:t>
            </w:r>
            <w:r>
              <w:t xml:space="preserve">, nuomos mokesčių </w:t>
            </w:r>
            <w:r>
              <w:rPr>
                <w:b/>
                <w:i/>
              </w:rPr>
              <w:t>indeksą</w:t>
            </w:r>
            <w:r>
              <w:t xml:space="preserve">, nuomos pelningumo </w:t>
            </w:r>
            <w:r>
              <w:rPr>
                <w:b/>
                <w:i/>
              </w:rPr>
              <w:t>indeksą</w:t>
            </w:r>
            <w:r>
              <w:t xml:space="preserve">, laisvų patalpų ir statybos darbų pradžios </w:t>
            </w:r>
            <w:r>
              <w:rPr>
                <w:b/>
                <w:i/>
              </w:rPr>
              <w:t>rodiklius, kaip rekomendavo ESRV</w:t>
            </w:r>
            <w:r>
              <w:t xml:space="preserve">. </w:t>
            </w:r>
            <w:r>
              <w:rPr>
                <w:b/>
                <w:i/>
              </w:rPr>
              <w:t>Patvirtinta, kad įmanoma parengti kainų indeksą, nuomos mokesčių indeksą, statybos darbų pradžios ir užbaigimo rodiklius.</w:t>
            </w:r>
            <w:r>
              <w:t xml:space="preserve"> </w:t>
            </w:r>
            <w:r>
              <w:rPr>
                <w:b/>
                <w:i/>
              </w:rPr>
              <w:t>Dėl nepakankamai prieinamų duomenų šaltinių ir nepakankamos kokybės į šį reglamentą negalima įtraukti nuomos pelningumo indeksų ir laisvų patalpų skaičiaus rodiklių – juos reikėtų plėtoti toliau.</w:t>
            </w:r>
            <w:r>
              <w:t xml:space="preserve"> </w:t>
            </w:r>
            <w:r>
              <w:rPr>
                <w:b/>
                <w:i/>
              </w:rPr>
              <w:t>Kartu</w:t>
            </w:r>
            <w:r>
              <w:t xml:space="preserve"> pridėtas papildomas svarbus komercinės paskirties nekilnojamojo turto rodiklis, susijęs su sandorių verte;</w:t>
            </w:r>
          </w:p>
        </w:tc>
        <w:tc>
          <w:tcPr>
            <w:tcW w:w="4876" w:type="dxa"/>
            <w:tcBorders>
              <w:top w:val="nil"/>
              <w:left w:val="nil"/>
              <w:bottom w:val="nil"/>
              <w:right w:val="nil"/>
            </w:tcBorders>
          </w:tcPr>
          <w:p>
            <w:pPr>
              <w:pStyle w:val="Normal6a"/>
            </w:pPr>
            <w:r>
              <w:t>(7)</w:t>
            </w:r>
            <w:r>
              <w:tab/>
            </w:r>
            <w:r>
              <w:rPr>
                <w:b/>
                <w:i/>
              </w:rPr>
              <w:t>vadovaujantis 2019 m. ESRV rekomendacija, turėtų būti renkami</w:t>
            </w:r>
            <w:r>
              <w:t xml:space="preserve"> fizinio komercinės paskirties nekilnojamojo turto </w:t>
            </w:r>
            <w:r>
              <w:rPr>
                <w:b/>
                <w:i/>
              </w:rPr>
              <w:t>rodikliai</w:t>
            </w:r>
            <w:r>
              <w:t xml:space="preserve">, t. y. kainų </w:t>
            </w:r>
            <w:r>
              <w:rPr>
                <w:b/>
                <w:i/>
              </w:rPr>
              <w:t>indeksas</w:t>
            </w:r>
            <w:r>
              <w:t xml:space="preserve">, nuomos mokesčių </w:t>
            </w:r>
            <w:r>
              <w:rPr>
                <w:b/>
                <w:i/>
              </w:rPr>
              <w:t>indeksas</w:t>
            </w:r>
            <w:r>
              <w:t xml:space="preserve">, nuomos pelningumo </w:t>
            </w:r>
            <w:r>
              <w:rPr>
                <w:b/>
                <w:i/>
              </w:rPr>
              <w:t>indeksas</w:t>
            </w:r>
            <w:r>
              <w:t xml:space="preserve">, laisvų patalpų ir statybos darbų pradžios </w:t>
            </w:r>
            <w:r>
              <w:rPr>
                <w:b/>
                <w:i/>
              </w:rPr>
              <w:t>rodikliai</w:t>
            </w:r>
            <w:r>
              <w:t>. Pridėtas papildomas svarbus komercinės paskirties nekilnojamojo turto rodiklis, susijęs su sandorių verte;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Kadangi nuomos pajamų indeksas ir laisvų darbo vietų lygio rodikliai jau buvo įtraukti į 2016 m. ERSB rekomendaciją kartu su kitais rodikliais, juos turėtų būti reikalaujama pateikti nuo šio reglamento įsigaliojimo dienos.</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Komisija (Eurostatas) ir nacionalinės statistikos institucijos (NSI), glaudžiai bendradarbiaudamos su ESRV, įvertino galimybes parengti fizinio komercinės paskirties nekilnojamojo turto rodiklius, t. y. kainų indeksą, nuomos mokesčių indeksą, nuomos pelningumo indeksą, laisvų patalpų ir statybos darbų pradžios rodiklius, kaip rekomendavo ESRV. Patvirtinta, kad įmanoma parengti kainų indeksą, nuomos mokesčių indeksą, statybos darbų pradžios ir užbaigimo rodiklius. Dėl nepakankamai prieinamų duomenų šaltinių ir nepakankamos kokybės į šį reglamentą negalima įtraukti nuomos pelningumo indeksų ir laisvų patalpų skaičiaus rodiklių </w:t>
            </w:r>
            <w:r>
              <w:rPr>
                <w:b/>
                <w:i/>
              </w:rPr>
              <w:t>– juos reikėtų plėtoti toliau</w:t>
            </w:r>
            <w:r>
              <w:t>. Kartu pridėtas papildomas svarbus komercinės paskirties nekilnojamojo turto rodiklis, susijęs su sandorių verte;</w:t>
            </w:r>
          </w:p>
        </w:tc>
        <w:tc>
          <w:tcPr>
            <w:tcW w:w="4876" w:type="dxa"/>
            <w:tcBorders>
              <w:top w:val="nil"/>
              <w:left w:val="nil"/>
              <w:bottom w:val="nil"/>
              <w:right w:val="nil"/>
            </w:tcBorders>
          </w:tcPr>
          <w:p>
            <w:pPr>
              <w:pStyle w:val="Normal6a"/>
            </w:pPr>
            <w:r>
              <w:t>(7)</w:t>
            </w:r>
            <w:r>
              <w:tab/>
            </w:r>
            <w:r>
              <w:t>Komisija (Eurostatas) ir nacionalinės statistikos institucijos (NSI), glaudžiai bendradarbiaudamos su ESRV, įvertino galimybes parengti fizinio komercinės paskirties nekilnojamojo turto rodiklius, t. y. kainų indeksą, nuomos mokesčių indeksą, nuomos pelningumo indeksą, laisvų patalpų ir statybos darbų pradžios rodiklius, kaip rekomendavo ESRV. Patvirtinta, kad įmanoma parengti kainų indeksą, nuomos mokesčių indeksą, statybos darbų pradžios ir užbaigimo rodiklius. Dėl nepakankamai prieinamų duomenų šaltinių ir nepakankamos kokybės į šį reglamentą negalima įtraukti nuomos pelningumo indeksų ir laisvų patalpų skaičiaus rodiklių. Kartu pridėtas papildomas svarbus komercinės paskirties nekilnojamojo turto rodiklis, susijęs su sandorių verte;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Komisija (Eurostatas) ir nacionalinės statistikos institucijos (NSI), glaudžiai bendradarbiaudamos su ESRV, įvertino galimybes parengti fizinio komercinės paskirties nekilnojamojo turto rodiklius, t. y. kainų indeksą, nuomos mokesčių indeksą, nuomos pelningumo indeksą, laisvų patalpų ir statybos darbų pradžios rodiklius, kaip rekomendavo ESRV. Patvirtinta, kad įmanoma parengti kainų indeksą, nuomos mokesčių indeksą, statybos darbų pradžios ir užbaigimo rodiklius. Dėl nepakankamai prieinamų duomenų šaltinių ir nepakankamos kokybės į šį reglamentą negalima įtraukti nuomos pelningumo indeksų ir laisvų patalpų skaičiaus rodiklių </w:t>
            </w:r>
            <w:r>
              <w:rPr>
                <w:b/>
                <w:i/>
              </w:rPr>
              <w:t>– juos reikėtų plėtoti toliau</w:t>
            </w:r>
            <w:r>
              <w:t>. Kartu pridėtas papildomas svarbus komercinės paskirties nekilnojamojo turto rodiklis, susijęs su sandorių verte;</w:t>
            </w:r>
          </w:p>
        </w:tc>
        <w:tc>
          <w:tcPr>
            <w:tcW w:w="4876" w:type="dxa"/>
            <w:tcBorders>
              <w:top w:val="nil"/>
              <w:left w:val="nil"/>
              <w:bottom w:val="nil"/>
              <w:right w:val="nil"/>
            </w:tcBorders>
          </w:tcPr>
          <w:p>
            <w:pPr>
              <w:pStyle w:val="Normal6a"/>
            </w:pPr>
            <w:r>
              <w:t>(7)</w:t>
            </w:r>
            <w:r>
              <w:tab/>
            </w:r>
            <w:r>
              <w:t>Komisija (Eurostatas) ir nacionalinės statistikos institucijos (NSI), glaudžiai bendradarbiaudamos su ESRV, įvertino galimybes parengti fizinio komercinės paskirties nekilnojamojo turto rodiklius, t. y. kainų indeksą, nuomos mokesčių indeksą, nuomos pelningumo indeksą, laisvų patalpų ir statybos darbų pradžios rodiklius, kaip rekomendavo ESRV. Patvirtinta, kad įmanoma parengti kainų indeksą, nuomos mokesčių indeksą, statybos darbų pradžios ir užbaigimo rodiklius. Dėl nepakankamai prieinamų duomenų šaltinių ir nepakankamos kokybės į šį reglamentą negalima įtraukti nuomos pelningumo indeksų ir laisvų patalpų skaičiaus rodiklių. Kartu pridėtas papildomas svarbus komercinės paskirties nekilnojamojo turto rodiklis, susijęs su sandorių verte;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Komisija (Eurostatas) ir nacionalinės statistikos institucijos (NSI), glaudžiai bendradarbiaudamos su ESRV, įvertino galimybes parengti fizinio komercinės paskirties nekilnojamojo turto rodiklius, t. y. kainų indeksą, nuomos mokesčių indeksą, nuomos pelningumo indeksą, laisvų patalpų ir statybos darbų pradžios rodiklius, kaip rekomendavo ESRV. Patvirtinta</w:t>
            </w:r>
            <w:r>
              <w:rPr>
                <w:b/>
                <w:i/>
              </w:rPr>
              <w:t>, kad įmanoma</w:t>
            </w:r>
            <w:r>
              <w:t xml:space="preserve"> parengti kainų indeksą, nuomos mokesčių indeksą, statybos darbų pradžios ir užbaigimo rodiklius. Dėl nepakankamai prieinamų duomenų šaltinių ir nepakankamos kokybės į šį reglamentą negalima įtraukti nuomos pelningumo indeksų ir laisvų patalpų skaičiaus rodiklių – juos reikėtų plėtoti toliau. Kartu pridėtas papildomas svarbus komercinės paskirties nekilnojamojo turto rodiklis, susijęs su sandorių verte;</w:t>
            </w:r>
          </w:p>
        </w:tc>
        <w:tc>
          <w:tcPr>
            <w:tcW w:w="4876" w:type="dxa"/>
            <w:tcBorders>
              <w:top w:val="nil"/>
              <w:left w:val="nil"/>
              <w:bottom w:val="nil"/>
              <w:right w:val="nil"/>
            </w:tcBorders>
          </w:tcPr>
          <w:p>
            <w:pPr>
              <w:pStyle w:val="Normal6a"/>
            </w:pPr>
            <w:r>
              <w:t>(7)</w:t>
            </w:r>
            <w:r>
              <w:tab/>
            </w:r>
            <w:r>
              <w:t xml:space="preserve">Komisija (Eurostatas) ir nacionalinės statistikos institucijos (NSI), glaudžiai bendradarbiaudamos su ESRV, įvertino galimybes parengti fizinio komercinės paskirties nekilnojamojo turto rodiklius, t. y. kainų indeksą, nuomos mokesčių indeksą, nuomos pelningumo indeksą, laisvų patalpų ir statybos darbų pradžios rodiklius, kaip rekomendavo ESRV. Patvirtinta </w:t>
            </w:r>
            <w:r>
              <w:rPr>
                <w:b/>
                <w:i/>
              </w:rPr>
              <w:t>kai kurių valstybių narių galimybė</w:t>
            </w:r>
            <w:r>
              <w:t xml:space="preserve"> parengti kainų indeksą, nuomos mokesčių indeksą, statybos darbų pradžios ir užbaigimo rodiklius. Dėl nepakankamai prieinamų duomenų šaltinių ir nepakankamos kokybės į šį reglamentą negalima įtraukti nuomos pelningumo indeksų ir laisvų patalpų skaičiaus rodiklių – juos reikėtų plėtoti toliau. Kartu pridėtas papildomas svarbus komercinės paskirties nekilnojamojo turto rodiklis, susijęs su sandorių verte;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NSI ir Komisija (Eurostatas) taip pat turėtų turėti teisę statistikos tikslais gauti prieigą prie naujų duomenų šaltinių, įskaitant privačiai turimus duomenis, ir juos naudoti pagal Reglamento (EB) Nr. 223/2009 su pakeitimais, padarytais Reglamentu (ES) 2024/3018, 17b straipsnį.</w:t>
            </w:r>
            <w:r>
              <w:t xml:space="preserve"> </w:t>
            </w:r>
            <w:r>
              <w:rPr>
                <w:b/>
                <w:i/>
              </w:rPr>
              <w:t>Gavęs prašymą, privatusis duomenų turėtojas turėtų NSI arba Komisijai (Eurostatui) nemokamai pateikti duomenis ir atitinkamus metaduomenis, kai prašomi duomenys yra tikrai būtini Europos komercinės paskirties nekilnojamojo turto nefinansinei statistikai plėtoti, rengti ir skleisti, ir jų negalima gauti kitomis priemonėmis arba juos pakartotinai naudojant gerokai sumažės duomenų turėtojams ir kitoms įmonėms tenkanti duomenų teikimo našta;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NSI ir Komisija (Eurostatas) taip pat turėtų turėti teisę statistikos tikslais gauti prieigą prie naujų duomenų šaltinių, įskaitant privačiai turimus duomenis, ir juos naudoti pagal Reglamento (EB) Nr. 223/2009 su pakeitimais, padarytais Reglamentu (ES) 2024/3018, 17b straipsnį. Gavęs prašymą, privatusis duomenų turėtojas turėtų NSI arba Komisijai (Eurostatui) nemokamai pateikti duomenis ir atitinkamus metaduomenis, kai prašomi duomenys yra tikrai būtini Europos komercinės paskirties nekilnojamojo turto nefinansinei statistikai plėtoti, rengti ir skleisti, ir jų negalima gauti kitomis priemonėmis arba juos pakartotinai naudojant gerokai sumažės duomenų turėtojams ir kitoms įmonėms tenkanti duomenų teikimo našta;</w:t>
            </w:r>
          </w:p>
        </w:tc>
        <w:tc>
          <w:tcPr>
            <w:tcW w:w="4876" w:type="dxa"/>
            <w:tcBorders>
              <w:top w:val="nil"/>
              <w:left w:val="nil"/>
              <w:bottom w:val="nil"/>
              <w:right w:val="nil"/>
            </w:tcBorders>
          </w:tcPr>
          <w:p>
            <w:pPr>
              <w:pStyle w:val="Normal6a"/>
            </w:pPr>
            <w:r>
              <w:t>(10)</w:t>
            </w:r>
            <w:r>
              <w:tab/>
            </w:r>
            <w:r>
              <w:t>NSI ir Komisija (Eurostatas) taip pat turėtų turėti teisę statistikos tikslais gauti prieigą prie naujų duomenų šaltinių, įskaitant privačiai turimus duomenis, ir juos naudoti pagal Reglamento (EB) Nr. 223/2009 su pakeitimais, padarytais Reglamentu (ES) 2024/3018, 17b straipsnį. Gavęs prašymą, privatusis duomenų turėtojas turėtų NSI arba Komisijai (Eurostatui) nemokamai pateikti duomenis ir atitinkamus metaduomenis, kai prašomi duomenys yra tikrai būtini Europos komercinės paskirties nekilnojamojo turto nefinansinei statistikai plėtoti, rengti ir skleisti, ir jų negalima gauti kitomis priemonėmis arba juos pakartotinai naudojant gerokai sumažės duomenų turėtojams ir kitoms įmonėms tenkanti duomenų teikimo našta</w:t>
            </w:r>
            <w:r>
              <w:rPr>
                <w:b/>
                <w:i/>
              </w:rPr>
              <w:t>.</w:t>
            </w:r>
            <w:r>
              <w:t xml:space="preserve"> </w:t>
            </w:r>
            <w:r>
              <w:rPr>
                <w:b/>
                <w:i/>
              </w:rPr>
              <w:t>Naudodamosi savo teise prašyti duomenų iš privačiųjų duomenų turėtojų, nacionalinės statistikos tarnybos ir Komisija turėtų užtikrinti, kad dėl to įmonėms ir asociacijoms nebūtų užkraunama pernelyg didelė ekonominė našta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NSI ir Komisija (Eurostatas) taip pat turėtų turėti teisę statistikos tikslais gauti prieigą prie naujų duomenų šaltinių, įskaitant privačiai turimus duomenis, ir juos naudoti pagal Reglamento (EB) Nr. 223/2009 su pakeitimais, padarytais Reglamentu (ES) 2024/3018, 17b straipsnį. Gavęs prašymą, privatusis duomenų turėtojas turėtų NSI arba Komisijai (Eurostatui) nemokamai pateikti duomenis ir atitinkamus metaduomenis, kai prašomi duomenys yra tikrai būtini Europos komercinės paskirties nekilnojamojo turto nefinansinei statistikai plėtoti, rengti ir skleisti, ir jų negalima gauti kitomis priemonėmis arba juos pakartotinai naudojant gerokai sumažės duomenų turėtojams ir kitoms įmonėms tenkanti duomenų teikimo našta;</w:t>
            </w:r>
          </w:p>
        </w:tc>
        <w:tc>
          <w:tcPr>
            <w:tcW w:w="4876" w:type="dxa"/>
            <w:tcBorders>
              <w:top w:val="nil"/>
              <w:left w:val="nil"/>
              <w:bottom w:val="nil"/>
              <w:right w:val="nil"/>
            </w:tcBorders>
          </w:tcPr>
          <w:p>
            <w:pPr>
              <w:pStyle w:val="Normal6a"/>
            </w:pPr>
            <w:r>
              <w:t>(10)</w:t>
            </w:r>
            <w:r>
              <w:tab/>
            </w:r>
            <w:r>
              <w:t>NSI ir Komisija (Eurostatas) taip pat turėtų turėti teisę statistikos tikslais gauti prieigą prie naujų duomenų šaltinių, įskaitant privačiai turimus duomenis, ir juos naudoti pagal Reglamento (EB) Nr. 223/2009 su pakeitimais, padarytais Reglamentu (ES) 2024/3018, 17b straipsnį. Gavęs prašymą, privatusis duomenų turėtojas turėtų NSI arba Komisijai (Eurostatui) nemokamai pateikti duomenis ir atitinkamus metaduomenis, kai prašomi duomenys yra tikrai būtini Europos komercinės paskirties nekilnojamojo turto nefinansinei statistikai plėtoti, rengti ir skleisti, ir jų negalima gauti kitomis priemonėmis arba juos pakartotinai naudojant gerokai sumažės duomenų turėtojams ir kitoms įmonėms tenkanti duomenų teikimo našta</w:t>
            </w:r>
            <w:r>
              <w:rPr>
                <w:b/>
                <w:i/>
              </w:rPr>
              <w:t>.</w:t>
            </w:r>
            <w:r>
              <w:t xml:space="preserve"> </w:t>
            </w:r>
            <w:r>
              <w:rPr>
                <w:b/>
                <w:i/>
              </w:rPr>
              <w:t>Dėl nacionalinių statistikos tarnybų ir Komisijos teisės prašyti duomenų iš privačiųjų duomenų turėtojų neturėtų atsirasti neproporcinga ekonominė našta įmonėms ar asociacijoms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siekiant atsižvelgti į ekonomikos ir technikos pokyčius, pagal Sutarties dėl Europos Sąjungos veikimo 290 straipsnį Komisijai turėtų būti deleguoti įgaliojimai priimti aktus I priede pateikiamam kintamųjų sąrašui iš dalies pakeisti.</w:t>
            </w:r>
            <w:r>
              <w:t xml:space="preserve"> </w:t>
            </w:r>
            <w:r>
              <w:rPr>
                <w:b/>
                <w:i/>
              </w:rPr>
              <w:t>Ypač svarbu, kad atlikdama parengiamąjį darbą Komisija tinkamai konsultuotųsi, taip pat su ekspertais, ir kad tos konsultacijos būtų vykdomos vadovaujantis 2016 m. balandžio 13 d.</w:t>
            </w:r>
            <w:r>
              <w:t xml:space="preserve"> </w:t>
            </w:r>
            <w:r>
              <w:rPr>
                <w:b/>
                <w:i/>
              </w:rPr>
              <w:t>Tarpinstituciniame susitarime dėl geresnės teisėkūros</w:t>
            </w:r>
            <w:r>
              <w:rPr>
                <w:b/>
                <w:i/>
                <w:vertAlign w:val="superscript"/>
              </w:rPr>
              <w:t>8</w:t>
            </w:r>
            <w:r>
              <w:rPr>
                <w:b/>
                <w:i/>
              </w:rPr>
              <w:t>nustatytais principais.</w:t>
            </w:r>
            <w:r>
              <w:t xml:space="preserve"> </w:t>
            </w:r>
            <w:r>
              <w:rPr>
                <w:b/>
                <w:i/>
              </w:rPr>
              <w:t>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OL L 123, 2016 5 12, p.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siekiant atsižvelgti į ekonomikos ir technikos pokyčius, pagal Sutarties dėl Europos Sąjungos veikimo 290 straipsnį Komisijai turėtų būti deleguoti įgaliojimai priimti aktus I priede pateikiamam kintamųjų sąrašui iš dalies pakeisti.</w:t>
            </w:r>
            <w:r>
              <w:t xml:space="preserve"> </w:t>
            </w:r>
            <w:r>
              <w:rPr>
                <w:b/>
                <w:i/>
              </w:rPr>
              <w:t>Ypač svarbu, kad atlikdama parengiamąjį darbą Komisija tinkamai konsultuotųsi, taip pat su ekspertais, ir kad tos konsultacijos būtų vykdomos vadovaujantis 2016 m. balandžio 13 d.</w:t>
            </w:r>
            <w:r>
              <w:t xml:space="preserve"> </w:t>
            </w:r>
            <w:r>
              <w:rPr>
                <w:b/>
                <w:i/>
              </w:rPr>
              <w:t>Tarpinstituciniame susitarime dėl geresnės teisėkūros</w:t>
            </w:r>
            <w:r>
              <w:rPr>
                <w:b/>
                <w:i/>
                <w:vertAlign w:val="superscript"/>
              </w:rPr>
              <w:t>8</w:t>
            </w:r>
            <w:r>
              <w:rPr>
                <w:b/>
                <w:i/>
              </w:rPr>
              <w:t>nustatytais principais.</w:t>
            </w:r>
            <w:r>
              <w:t xml:space="preserve"> </w:t>
            </w:r>
            <w:r>
              <w:rPr>
                <w:b/>
                <w:i/>
              </w:rPr>
              <w:t>Visų pirma</w:t>
            </w:r>
            <w:r>
              <w:t xml:space="preserve"> siekiant užtikrinti </w:t>
            </w:r>
            <w:r>
              <w:rPr>
                <w:b/>
                <w:i/>
              </w:rPr>
              <w:t>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r>
              <w:t>;</w:t>
            </w:r>
          </w:p>
        </w:tc>
        <w:tc>
          <w:tcPr>
            <w:tcW w:w="4876" w:type="dxa"/>
            <w:tcBorders>
              <w:top w:val="nil"/>
              <w:left w:val="nil"/>
              <w:bottom w:val="nil"/>
              <w:right w:val="nil"/>
            </w:tcBorders>
          </w:tcPr>
          <w:p>
            <w:pPr>
              <w:pStyle w:val="Normal6a"/>
            </w:pPr>
            <w:r>
              <w:t>(16)</w:t>
            </w:r>
            <w:r>
              <w:tab/>
            </w:r>
            <w:r>
              <w:t xml:space="preserve">siekiant užtikrinti </w:t>
            </w:r>
            <w:r>
              <w:rPr>
                <w:b/>
                <w:i/>
              </w:rPr>
              <w:t>stabilią ir skaidrią šiame reglamente numatytų statistinių reikalavimų reglamentavimo sistemą, I priede išvardyti kintamieji gali būti koreguojami tik iš dalies keičiant šį reglamentą pagal įprastą teisėkūros procedūrą.</w:t>
            </w:r>
            <w:r>
              <w:t xml:space="preserve"> </w:t>
            </w:r>
            <w:r>
              <w:rPr>
                <w:b/>
                <w:i/>
              </w:rPr>
              <w:t>Įgyvendinimo aktai turėtų apsiriboti tik techninėmis detalėmis, dėl kurių nenustatomi nauji ar didesni ataskaitų teikimo įpareigojimai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OL L 123, 2016 5 12, p.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siekiant atsižvelgti į ekonomikos ir technikos pokyčius, pagal Sutarties dėl Europos Sąjungos veikimo 290 straipsnį Komisijai turėtų būti deleguoti įgaliojimai priimti aktus I priede pateikiamam kintamųjų sąrašui iš dalies pakeisti.</w:t>
            </w:r>
            <w:r>
              <w:t xml:space="preserve"> </w:t>
            </w:r>
            <w:r>
              <w:rPr>
                <w:b/>
                <w:i/>
              </w:rPr>
              <w:t>Ypač svarbu, kad atlikdama parengiamąjį darbą Komisija tinkamai konsultuotųsi, taip pat su ekspertais, ir kad tos konsultacijos būtų vykdomos vadovaujantis 2016 m. balandžio 13 d.</w:t>
            </w:r>
            <w:r>
              <w:t xml:space="preserve"> </w:t>
            </w:r>
            <w:r>
              <w:rPr>
                <w:b/>
                <w:i/>
              </w:rPr>
              <w:t>Tarpinstituciniame susitarime dėl geresnės teisėkūros</w:t>
            </w:r>
            <w:r>
              <w:rPr>
                <w:b/>
                <w:i/>
                <w:vertAlign w:val="superscript"/>
              </w:rPr>
              <w:t>8</w:t>
            </w:r>
            <w:r>
              <w:rPr>
                <w:b/>
                <w:i/>
              </w:rPr>
              <w:t>nustatytais principais.</w:t>
            </w:r>
            <w:r>
              <w:t xml:space="preserve"> </w:t>
            </w:r>
            <w:r>
              <w:rPr>
                <w:b/>
                <w:i/>
              </w:rPr>
              <w:t>Visų pirma</w:t>
            </w:r>
            <w:r>
              <w:t xml:space="preserve"> siekiant užtikrinti </w:t>
            </w:r>
            <w:r>
              <w:rPr>
                <w:b/>
                <w:i/>
              </w:rPr>
              <w:t>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r>
              <w:t>;</w:t>
            </w:r>
          </w:p>
        </w:tc>
        <w:tc>
          <w:tcPr>
            <w:tcW w:w="4876" w:type="dxa"/>
            <w:tcBorders>
              <w:top w:val="nil"/>
              <w:left w:val="nil"/>
              <w:bottom w:val="nil"/>
              <w:right w:val="nil"/>
            </w:tcBorders>
          </w:tcPr>
          <w:p>
            <w:pPr>
              <w:pStyle w:val="Normal6a"/>
            </w:pPr>
            <w:r>
              <w:t>(16)</w:t>
            </w:r>
            <w:r>
              <w:tab/>
            </w:r>
            <w:r>
              <w:t>siekiant užtikrinti</w:t>
            </w:r>
            <w:r>
              <w:rPr>
                <w:b/>
                <w:i/>
              </w:rPr>
              <w:t>, kad šiame reglamente numatyti statistiniai reikalavimai būtų grindžiami stabilia ir skaidria reglamentavimo sistema, I priede išvardyti kintamieji gali būti pritaikyti tik iš dalies keičiant šį reglamentą pagal įprastą teisėkūros procedūrą.</w:t>
            </w:r>
            <w:r>
              <w:t xml:space="preserve"> </w:t>
            </w:r>
            <w:r>
              <w:rPr>
                <w:b/>
                <w:i/>
              </w:rPr>
              <w:t>Įgyvendinimo aktai turėtų būti susiję tik su techninėmis detalėmis, dėl kurių nenustatomi nauji ar didesni ataskaitų teikimo įpareigojimai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OL L 123, 2016 5 12, p.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siekiant užtikrinti vienodas šio reglamento įgyvendinimo sąlygas, susijusias su išsamia kintamųjų informacija, taip pat formatu, saugumo ir konfidencialumo priemonėmis ir keitimosi konfidencialiais duomenimis procedūra, praktine kokybės ir metaduomenų ataskaitų teikimo tvarka, jų turiniu ir perdavimo terminais, duomenų ir metaduomenų perdavimo standartais, taip pat su nuo šio reglamento ar nuo pagal jį priimtų įgyvendinimo aktų reikalavimų nukrypti leidžiančiomis nuostatomis, Komisijai turėtų būti suteikti įgyvendinimo įgaliojimai.</w:t>
            </w:r>
            <w:r>
              <w:t xml:space="preserve"> </w:t>
            </w:r>
            <w:r>
              <w:rPr>
                <w:b/>
                <w:i/>
              </w:rPr>
              <w:t>Tais įgaliojimais turėtų būti naudojamasi pagal Europos Parlamento ir Tarybos reglamentą (ES) Nr. 182/2011</w:t>
            </w:r>
            <w:r>
              <w:rPr>
                <w:b/>
                <w:i/>
                <w:vertAlign w:val="superscript"/>
              </w:rPr>
              <w:t>9</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9</w:t>
            </w:r>
            <w:r>
              <w:t xml:space="preserve"> </w:t>
            </w:r>
            <w:r>
              <w:rPr>
                <w:b/>
                <w:i/>
              </w:rPr>
              <w:t>OL L 55, 2011 2 28, p. 13.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siekiant užtikrinti vienodas šio reglamento įgyvendinimo sąlygas, </w:t>
            </w:r>
            <w:r>
              <w:rPr>
                <w:b/>
                <w:i/>
              </w:rPr>
              <w:t>susijusias su išsamia kintamųjų informacija, taip pat formatu, saugumo ir konfidencialumo priemonėmis ir keitimosi konfidencialiais duomenimis procedūra, praktine kokybės ir metaduomenų ataskaitų teikimo tvarka, jų turiniu ir perdavimo terminais, duomenų ir metaduomenų perdavimo standartais, taip pat su nuo šio reglamento ar nuo pagal jį priimtų įgyvendinimo aktų reikalavimų nukrypti leidžiančiomis nuostatomis,</w:t>
            </w:r>
            <w:r>
              <w:t xml:space="preserve"> Komisijai turėtų būti suteikti įgyvendinimo įgaliojimai. Tais įgaliojimais turėtų būti naudojamasi pagal Europos Parlamento ir Tarybos reglamentą (ES) Nr. 182/2011</w:t>
            </w:r>
            <w:r>
              <w:rPr>
                <w:vertAlign w:val="superscript"/>
              </w:rPr>
              <w:t>9</w:t>
            </w:r>
            <w:r>
              <w:t>;</w:t>
            </w:r>
          </w:p>
        </w:tc>
        <w:tc>
          <w:tcPr>
            <w:tcW w:w="4876" w:type="dxa"/>
            <w:tcBorders>
              <w:top w:val="nil"/>
              <w:left w:val="nil"/>
              <w:bottom w:val="nil"/>
              <w:right w:val="nil"/>
            </w:tcBorders>
          </w:tcPr>
          <w:p>
            <w:pPr>
              <w:pStyle w:val="Normal6a"/>
            </w:pPr>
            <w:r>
              <w:t>(17)</w:t>
            </w:r>
            <w:r>
              <w:tab/>
            </w:r>
            <w:r>
              <w:t>siekiant užtikrinti vienodas šio reglamento įgyvendinimo sąlygas, Komisijai turėtų būti suteikti įgyvendinimo įgaliojimai</w:t>
            </w:r>
            <w:r>
              <w:rPr>
                <w:b/>
                <w:i/>
              </w:rPr>
              <w:t>.</w:t>
            </w:r>
            <w:r>
              <w:t xml:space="preserve"> </w:t>
            </w:r>
            <w:r>
              <w:rPr>
                <w:b/>
                <w:i/>
              </w:rPr>
              <w:t>Tie įgyvendinimo aktai turėtų būti susiję tik su šio reglamento taikymui būtinomis techninėmis detalėmis ir praktine tvarka, pavyzdžiui, formatų nustatymu, duomenų perdavimo procedūromis, apsaugos priemonėmis ar techninėmis specifikacijomis, įskaitant šio reglamento reikalavimų išimčių nustatymą.</w:t>
            </w:r>
            <w:r>
              <w:t xml:space="preserve"> </w:t>
            </w:r>
            <w:r>
              <w:rPr>
                <w:b/>
                <w:i/>
              </w:rPr>
              <w:t>Jos neturėtų būti priežastis nustatyti naujas ar didesnes valstybių narių ar duomenų teikėjų pareigas teikti ataskaitas</w:t>
            </w:r>
            <w:r>
              <w:t>. Tais įgaliojimais turėtų būti naudojamasi pagal Europos Parlamento ir Tarybos reglamentą (ES) Nr. 182/2011</w:t>
            </w:r>
            <w:r>
              <w:rPr>
                <w:vertAlign w:val="superscript"/>
              </w:rPr>
              <w:t>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 xml:space="preserve">OL L 55, </w:t>
            </w:r>
            <w:r>
              <w:rPr>
                <w:b/>
                <w:i/>
              </w:rPr>
              <w:t>2011 2 28</w:t>
            </w:r>
            <w:r>
              <w:t>, p. 13.</w:t>
            </w:r>
          </w:p>
        </w:tc>
        <w:tc>
          <w:tcPr>
            <w:tcW w:w="4876" w:type="dxa"/>
            <w:tcBorders>
              <w:top w:val="nil"/>
              <w:left w:val="nil"/>
              <w:bottom w:val="nil"/>
              <w:right w:val="nil"/>
            </w:tcBorders>
          </w:tcPr>
          <w:p>
            <w:pPr>
              <w:pStyle w:val="Normal6a"/>
            </w:pPr>
            <w:r>
              <w:rPr>
                <w:vertAlign w:val="superscript"/>
              </w:rPr>
              <w:t>9</w:t>
            </w:r>
            <w:r>
              <w:t xml:space="preserve"> </w:t>
            </w:r>
            <w:r>
              <w:t xml:space="preserve">OL L 55, </w:t>
            </w:r>
            <w:r>
              <w:rPr>
                <w:b/>
                <w:i/>
              </w:rPr>
              <w:t>2011 2 28</w:t>
            </w:r>
            <w:r>
              <w:t>, p. 13.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jei norint taikyti šį reglamentą arba pagal jį priimtus įgyvendinimo aktus reikėtų iš esmės keisti valstybės narės nacionalinę statistikos sistemą, tinkamai pagrįstais atvejais Komisija turėtų galėti atitinkamai valstybei narei leisti taikyti nukrypti leidžiančias nuostatas.</w:t>
            </w:r>
            <w:r>
              <w:t xml:space="preserve"> </w:t>
            </w:r>
            <w:r>
              <w:rPr>
                <w:b/>
                <w:i/>
              </w:rPr>
              <w:t>Tokios nukrypti leidžiančios nuostatos turėtų būti laikinos ir nustatomos ne ilgiau nei trejiems metams.</w:t>
            </w:r>
            <w:r>
              <w:t xml:space="preserve"> </w:t>
            </w:r>
            <w:r>
              <w:rPr>
                <w:b/>
                <w:i/>
              </w:rPr>
              <w:t>Komisija turėtų teikti paramą atitinkamoms valstybėms narėms, dedančioms pastangas reikiamiems jų statistikos sistemų pakeitimams atlikti, kad būtų kuo greičiau nustota taikyti nukrypti leidžiančias nuostatas;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jei norint taikyti šį reglamentą arba pagal jį priimtus įgyvendinimo aktus reikėtų iš esmės keisti valstybės narės nacionalinę statistikos sistemą, tinkamai pagrįstais atvejais Komisija turėtų galėti atitinkamai valstybei narei leisti taikyti nukrypti leidžiančias nuostatas. Tokios nukrypti leidžiančios nuostatos turėtų būti laikinos ir nustatomos ne ilgiau nei </w:t>
            </w:r>
            <w:r>
              <w:rPr>
                <w:b/>
                <w:i/>
              </w:rPr>
              <w:t>trejiems</w:t>
            </w:r>
            <w:r>
              <w:t xml:space="preserve"> metams. Komisija turėtų teikti paramą atitinkamoms valstybėms narėms, dedančioms pastangas reikiamiems jų statistikos sistemų pakeitimams atlikti, kad būtų kuo greičiau nustota taikyti nukrypti leidžiančias nuostatas;</w:t>
            </w:r>
          </w:p>
        </w:tc>
        <w:tc>
          <w:tcPr>
            <w:tcW w:w="4876" w:type="dxa"/>
            <w:tcBorders>
              <w:top w:val="nil"/>
              <w:left w:val="nil"/>
              <w:bottom w:val="nil"/>
              <w:right w:val="nil"/>
            </w:tcBorders>
          </w:tcPr>
          <w:p>
            <w:pPr>
              <w:pStyle w:val="Normal6a"/>
            </w:pPr>
            <w:r>
              <w:t>(18)</w:t>
            </w:r>
            <w:r>
              <w:tab/>
            </w:r>
            <w:r>
              <w:t>jei norint taikyti šį reglamentą arba pagal jį priimtus įgyvendinimo aktus reikėtų iš esmės keisti valstybės narės nacionalinę statistikos sistemą</w:t>
            </w:r>
            <w:r>
              <w:rPr>
                <w:b/>
                <w:i/>
              </w:rPr>
              <w:t>, visų pirma tais atvejais, kai didelė dalis duomenims rinkti reikalingų administracinių procedūrų dar nėra suskaitmeninta</w:t>
            </w:r>
            <w:r>
              <w:t xml:space="preserve">, tinkamai pagrįstais atvejais Komisija turėtų galėti atitinkamai valstybei narei leisti taikyti nukrypti leidžiančias nuostatas. Tokios nukrypti leidžiančios nuostatos turėtų būti laikinos ir nustatomos ne ilgiau nei </w:t>
            </w:r>
            <w:r>
              <w:rPr>
                <w:b/>
                <w:i/>
              </w:rPr>
              <w:t>penkeriems</w:t>
            </w:r>
            <w:r>
              <w:t xml:space="preserve"> metams. Komisija turėtų teikti paramą atitinkamoms valstybėms narėms, dedančioms pastangas reikiamiems jų statistikos sistemų pakeitimams atlikti, kad būtų kuo greičiau nustota taikyti nukrypti leidžiančias nuostatas;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jei norint taikyti šį reglamentą </w:t>
            </w:r>
            <w:r>
              <w:rPr>
                <w:b/>
                <w:i/>
              </w:rPr>
              <w:t>arba pagal jį priimtus įgyvendinimo aktus</w:t>
            </w:r>
            <w:r>
              <w:t xml:space="preserve"> reikėtų iš esmės keisti valstybės narės nacionalinę statistikos sistemą, tinkamai pagrįstais atvejais Komisija turėtų galėti atitinkamai valstybei narei leisti taikyti nukrypti leidžiančias nuostatas. Tokios nukrypti leidžiančios nuostatos turėtų būti laikinos ir nustatomos ne ilgiau nei </w:t>
            </w:r>
            <w:r>
              <w:rPr>
                <w:b/>
                <w:i/>
              </w:rPr>
              <w:t>trejiems</w:t>
            </w:r>
            <w:r>
              <w:t xml:space="preserve"> metams. Komisija turėtų teikti paramą atitinkamoms valstybėms narėms, dedančioms pastangas reikiamiems jų statistikos sistemų pakeitimams atlikti, kad būtų kuo greičiau nustota taikyti nukrypti leidžiančias nuostatas;</w:t>
            </w:r>
          </w:p>
        </w:tc>
        <w:tc>
          <w:tcPr>
            <w:tcW w:w="4876" w:type="dxa"/>
            <w:tcBorders>
              <w:top w:val="nil"/>
              <w:left w:val="nil"/>
              <w:bottom w:val="nil"/>
              <w:right w:val="nil"/>
            </w:tcBorders>
          </w:tcPr>
          <w:p>
            <w:pPr>
              <w:pStyle w:val="Normal6a"/>
            </w:pPr>
            <w:r>
              <w:t>(18)</w:t>
            </w:r>
            <w:r>
              <w:tab/>
            </w:r>
            <w:r>
              <w:t xml:space="preserve">jei norint taikyti šį reglamentą reikėtų iš esmės keisti valstybės narės nacionalinę statistikos sistemą, tinkamai pagrįstais atvejais Komisija turėtų galėti atitinkamai valstybei narei leisti taikyti nukrypti leidžiančias nuostatas. Tokios nukrypti leidžiančios nuostatos turėtų būti laikinos ir nustatomos ne ilgiau nei </w:t>
            </w:r>
            <w:r>
              <w:rPr>
                <w:b/>
                <w:i/>
              </w:rPr>
              <w:t>penkeriems</w:t>
            </w:r>
            <w:r>
              <w:t xml:space="preserve"> metams. Komisija turėtų teikti paramą atitinkamoms valstybėms narėms, dedančioms pastangas reikiamiems jų statistikos sistemų pakeitimams atlikti, kad būtų kuo greičiau nustota taikyti nukrypti leidžiančias nuostatas;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pastraipos 2 punkto c papunktis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socialinis būstas;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Su rinka nesusijusiai veiklai naudojamas turtas, pavyzdžiui, socialinis būstas, neturėtų būti įtraukiamas į komercinės paskirties nekilnojamojo turto statistiką.</w:t>
      </w:r>
      <w:r>
        <w:t xml:space="preserve"> </w:t>
      </w:r>
      <w:r>
        <w:t>Tai atitinka Eurostato ataskaitą „Komercinės paskirties turto kainų rodikliai:</w:t>
      </w:r>
      <w:r>
        <w:t xml:space="preserve"> </w:t>
      </w:r>
      <w:r>
        <w:t>šaltiniai, metodai ir problemos“.</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pastraipos 10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socialinis būstas – juridinio asmens įsigytas, jam nuosavybės teise priklausantis arba jo valdomas gyvenamasis nekilnojamasis turtas, kurio pagrindinė paskirtis – nuoma nuomininkams, visų pirma palankių sąlygų neturintiems asmenims arba socialiai pažeidžiamų grupių asmenims mažesne nei rinkos kaina, laikantis konkrečių taisyklių, o ne rinkos mechanizmų.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Rengdamos statistiką, kurios reikalaujama pagal šį reglamentą, valstybės narės </w:t>
            </w:r>
            <w:r>
              <w:rPr>
                <w:b/>
                <w:i/>
              </w:rPr>
              <w:t>stengiasi kuo labiau naudoti</w:t>
            </w:r>
            <w:r>
              <w:t xml:space="preserve"> administracinius duomenis</w:t>
            </w:r>
            <w:r>
              <w:rPr>
                <w:b/>
                <w:i/>
              </w:rPr>
              <w:t>, kad sumažintų duomenų teikimo naštą</w:t>
            </w:r>
            <w:r>
              <w:t>.</w:t>
            </w:r>
          </w:p>
        </w:tc>
        <w:tc>
          <w:tcPr>
            <w:tcW w:w="4876" w:type="dxa"/>
            <w:tcBorders>
              <w:top w:val="nil"/>
              <w:left w:val="nil"/>
              <w:bottom w:val="nil"/>
              <w:right w:val="nil"/>
            </w:tcBorders>
          </w:tcPr>
          <w:p>
            <w:pPr>
              <w:pStyle w:val="Normal6a"/>
            </w:pPr>
            <w:r>
              <w:t xml:space="preserve">Rengdamos statistiką, kurios reikalaujama pagal šį reglamentą, valstybės narės </w:t>
            </w:r>
            <w:r>
              <w:rPr>
                <w:b/>
                <w:i/>
              </w:rPr>
              <w:t>naudoja tik esamus</w:t>
            </w:r>
            <w:r>
              <w:t xml:space="preserve"> administracinius duomenis.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Kai administraciniai duomenys nesudaro sąlygų rengti statistikos, atitinkančios šio reglamento 6 straipsnyje nustatytus kokybės reikalavimus, valstybės narės gali papildomai naudoti bet kokius kitus atitinkamus duomenų šaltinius, įskaitant tyrimus ir privačiųjų duomenų turėtojų duomenis, taip pat moksliškai pagrįstus, gerai dokumentuotus ir viešai prieinamus metodus ar novatoriškus metodus, kartu vengdamos pernelyg didelės naštos respondentams.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Kai administraciniai duomenys nesudaro sąlygų rengti statistikos, atitinkančios šio reglamento 6 straipsnyje nustatytus kokybės reikalavimus, valstybės narės gali papildomai naudoti bet kokius kitus atitinkamus duomenų šaltinius, įskaitant tyrimus ir privačiųjų duomenų turėtojų duomenis, taip pat moksliškai pagrįstus, gerai dokumentuotus ir viešai prieinamus metodus ar novatoriškus metodus, kartu vengdamos pernelyg </w:t>
            </w:r>
            <w:r>
              <w:rPr>
                <w:b/>
                <w:i/>
              </w:rPr>
              <w:t>didelės</w:t>
            </w:r>
            <w:r>
              <w:t xml:space="preserve"> naštos respondentams.</w:t>
            </w:r>
          </w:p>
        </w:tc>
        <w:tc>
          <w:tcPr>
            <w:tcW w:w="4876" w:type="dxa"/>
            <w:tcBorders>
              <w:top w:val="nil"/>
              <w:left w:val="nil"/>
              <w:bottom w:val="nil"/>
              <w:right w:val="nil"/>
            </w:tcBorders>
          </w:tcPr>
          <w:p>
            <w:pPr>
              <w:pStyle w:val="Normal6a"/>
            </w:pPr>
            <w:r>
              <w:t xml:space="preserve">Kai administraciniai duomenys nesudaro sąlygų rengti statistikos, atitinkančios šio reglamento 6 straipsnyje nustatytus kokybės reikalavimus, valstybės narės gali papildomai naudoti bet kokius kitus atitinkamus duomenų šaltinius, įskaitant tyrimus ir privačiųjų duomenų turėtojų duomenis, taip pat moksliškai pagrįstus, gerai dokumentuotus ir viešai prieinamus metodus ar novatoriškus metodus, kartu vengdamos pernelyg </w:t>
            </w:r>
            <w:r>
              <w:rPr>
                <w:b/>
                <w:i/>
              </w:rPr>
              <w:t>didelių sąnaudų ir ekonominės</w:t>
            </w:r>
            <w:r>
              <w:t xml:space="preserve"> naštos respondentams.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Komercinės paskirties nekilnojamojo turto nefinansinei statistikai rengti reikalinga informacija gaunama iš statistinių vienetų, nurodytų Tarybos reglamente (EEB) Nr. 696/93, administracinių registrų duomenų turėtojų</w:t>
            </w:r>
            <w:r>
              <w:rPr>
                <w:b/>
                <w:i/>
              </w:rPr>
              <w:t>, privačiųjų duomenų turėtojų</w:t>
            </w:r>
            <w:r>
              <w:t xml:space="preserve"> ar kitų šaltinių, jei rezultatai atitinka šio reglamento 6 straipsnyje nustatytus kokybės kriterijus.</w:t>
            </w:r>
          </w:p>
        </w:tc>
        <w:tc>
          <w:tcPr>
            <w:tcW w:w="4876" w:type="dxa"/>
            <w:tcBorders>
              <w:top w:val="nil"/>
              <w:left w:val="nil"/>
              <w:bottom w:val="nil"/>
              <w:right w:val="nil"/>
            </w:tcBorders>
          </w:tcPr>
          <w:p>
            <w:pPr>
              <w:pStyle w:val="Normal6a"/>
            </w:pPr>
            <w:r>
              <w:t>1.</w:t>
            </w:r>
            <w:r>
              <w:tab/>
            </w:r>
            <w:r>
              <w:t>Komercinės paskirties nekilnojamojo turto nefinansinei statistikai rengti reikalinga informacija gaunama iš statistinių vienetų, nurodytų Tarybos reglamente (EEB) Nr. 696/93, administracinių registrų duomenų turėtojų ar kitų šaltinių, jei rezultatai atitinka šio reglamento 6 straipsnyje nustatytus kokybės kriterijus.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Statistiniai vienetai, teikiantys informaciją apie komercinės paskirties nekilnojamąjį turtą, bendradarbiauja rinkdami arba teikdami informaciją, kaip reikalaujama. Statistiniai vienetai laiku pateikia tikslią ir išsamią informaciją, reikalingą šiame reglamente numatytai statistikai rengti. Statistiniai vienetai šią informaciją teikia nacionalinėms statistikos institucijoms, atsakingoms už komercinės paskirties nekilnojamojo turto nefinansinės statistikos rengimą.</w:t>
            </w:r>
          </w:p>
        </w:tc>
        <w:tc>
          <w:tcPr>
            <w:tcW w:w="4876" w:type="dxa"/>
            <w:tcBorders>
              <w:top w:val="nil"/>
              <w:left w:val="nil"/>
              <w:bottom w:val="nil"/>
              <w:right w:val="nil"/>
            </w:tcBorders>
          </w:tcPr>
          <w:p>
            <w:pPr>
              <w:pStyle w:val="Normal6a"/>
            </w:pPr>
            <w:r>
              <w:t>2.</w:t>
            </w:r>
            <w:r>
              <w:tab/>
            </w:r>
            <w:r>
              <w:t xml:space="preserve">Statistiniai vienetai, teikiantys informaciją apie komercinės paskirties nekilnojamąjį turtą, bendradarbiauja rinkdami arba teikdami informaciją, kaip reikalaujama. Statistiniai vienetai laiku pateikia tikslią ir išsamią informaciją, reikalingą šiame reglamente numatytai statistikai rengti. Statistiniai vienetai šią informaciją teikia nacionalinėms statistikos institucijoms, atsakingoms už komercinės paskirties nekilnojamojo turto nefinansinės statistikos rengimą. </w:t>
            </w:r>
            <w:r>
              <w:rPr>
                <w:b/>
                <w:i/>
              </w:rPr>
              <w:t>Informacija skelbiama elektroniniu ir kompiuterio skaitomu formatu.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Duomenys turėtų būti teikiami elektroniniu ir kompiuterio skaitomu formatu, kad būtų užtikrintas sąveikumas ir sudarytos palankesnės sąlygos automatizuotam naudojimui.</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Nacionalinių statistikos institucijų, atsakingų už komercinės paskirties nekilnojamojo turto nefinansinės statistikos rengimą, prašymu, statistiniai vienetai pateikia, jei įmanoma, elektroninius sandorių įrašus, išsamius tiek, kiek reikia komercinės paskirties nekilnojamojo turto nefinansinei statistikai rengti.</w:t>
            </w:r>
          </w:p>
        </w:tc>
        <w:tc>
          <w:tcPr>
            <w:tcW w:w="4876" w:type="dxa"/>
            <w:tcBorders>
              <w:top w:val="nil"/>
              <w:left w:val="nil"/>
              <w:bottom w:val="nil"/>
              <w:right w:val="nil"/>
            </w:tcBorders>
          </w:tcPr>
          <w:p>
            <w:pPr>
              <w:pStyle w:val="Normal6a"/>
            </w:pPr>
            <w:r>
              <w:t>3.</w:t>
            </w:r>
            <w:r>
              <w:tab/>
            </w:r>
            <w:r>
              <w:t xml:space="preserve">Nacionalinių statistikos institucijų, atsakingų už komercinės paskirties nekilnojamojo turto nefinansinės statistikos rengimą, prašymu, statistiniai vienetai pateikia, jei įmanoma, elektroninius </w:t>
            </w:r>
            <w:r>
              <w:rPr>
                <w:b/>
                <w:i/>
              </w:rPr>
              <w:t>ir kompiuteriu skaitomo formato</w:t>
            </w:r>
            <w:r>
              <w:t xml:space="preserve"> sandorių įrašus, išsamius tiek, kiek reikia komercinės paskirties nekilnojamojo turto nefinansinei statistikai rengti.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Duomenys turėtų būti teikiami kompiuterio skaitomu (ne tiesiog elektroniniu) formatu, kad būtų užtikrintas sąveikumas ir sudarytos palankesnės sąlygos automatizuotam naudojimui.</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Kaip numatyta Reglamento (EB) Nr. 223/2009 17a straipsnyje, NSI ir kitoms nacionalinėms statistikos institucijoms suteikiama galimybė laiku ir pakankamai dažnai nemokamai gauti, naudoti ir integruoti pakankamo detalumo duomenis ir atitinkamus metaduomenis iš administracinių duomenų šaltinių, duomenų bazių ir sąveikumo sistemų ar bet kokius kitus duomenis, svarbius ir būtinus Europos komercinės paskirties nekilnojamojo turto nefinansinės statistikos plėtojimui</w:t>
            </w:r>
            <w:r>
              <w:rPr>
                <w:b/>
                <w:i/>
              </w:rPr>
              <w:t>,</w:t>
            </w:r>
            <w:r>
              <w:t xml:space="preserve"> rengimui </w:t>
            </w:r>
            <w:r>
              <w:rPr>
                <w:b/>
                <w:i/>
              </w:rPr>
              <w:t>ir sklaidai</w:t>
            </w:r>
            <w:r>
              <w:t>. Nacionalinių statistikos institucijų, atsakingų už komercinės paskirties nekilnojamojo turto nefinansinės statistikos rengimą, prieiga prie šių duomenų ir metaduomenų apsiriboja tik administraciniais registrų duomenimis, esančiais atitinkamose jų viešojo administravimo sistemose.</w:t>
            </w:r>
          </w:p>
        </w:tc>
        <w:tc>
          <w:tcPr>
            <w:tcW w:w="4876" w:type="dxa"/>
            <w:tcBorders>
              <w:top w:val="nil"/>
              <w:left w:val="nil"/>
              <w:bottom w:val="nil"/>
              <w:right w:val="nil"/>
            </w:tcBorders>
          </w:tcPr>
          <w:p>
            <w:pPr>
              <w:pStyle w:val="Normal6a"/>
            </w:pPr>
            <w:r>
              <w:t>4.</w:t>
            </w:r>
            <w:r>
              <w:tab/>
            </w:r>
            <w:r>
              <w:t xml:space="preserve">Kaip numatyta Reglamento (EB) Nr. 223/2009 17a straipsnyje, NSI ir kitoms nacionalinėms statistikos institucijoms suteikiama galimybė laiku ir pakankamai dažnai nemokamai gauti, naudoti ir integruoti pakankamo detalumo duomenis ir atitinkamus metaduomenis iš administracinių duomenų šaltinių, duomenų bazių ir sąveikumo sistemų ar bet kokius kitus duomenis, svarbius ir būtinus Europos komercinės paskirties nekilnojamojo turto nefinansinės statistikos plėtojimui </w:t>
            </w:r>
            <w:r>
              <w:rPr>
                <w:b/>
                <w:i/>
              </w:rPr>
              <w:t>ir</w:t>
            </w:r>
            <w:r>
              <w:t xml:space="preserve"> rengimui. Nacionalinių statistikos institucijų, atsakingų už komercinės paskirties nekilnojamojo turto nefinansinės statistikos rengimą, prieiga prie šių duomenų ir metaduomenų apsiriboja tik administraciniais registrų duomenimis, esančiais atitinkamose jų viešojo administravimo sistemose.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Kaip numatyta Reglamento (EB) Nr. 223/2009 17b straipsnyje, NSI arba Komisija (Eurostatas) gali prašyti privačiojo duomenų turėtojo nemokamai pateikti duomenis ir atitinkamus metaduomenis, kai prašomi duomenys yra tikrai būtini Europos komercinės paskirties nekilnojamojo turto statistikai plėtoti, rengti ir skleisti, ir jų negalima gauti kitomis priemonėmis arba juos pakartotinai naudojant gerokai sumažės duomenų turėtojams ir kitoms įmonėms tenkanti duomenų teikimo našta.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Kaip numatyta Reglamento (EB) Nr. 223/2009 17b straipsnyje, NSI arba Komisija (Eurostatas) gali prašyti privačiojo duomenų turėtojo nemokamai pateikti duomenis ir atitinkamus metaduomenis, kai prašomi duomenys yra tikrai būtini Europos komercinės paskirties nekilnojamojo turto statistikai plėtoti</w:t>
            </w:r>
            <w:r>
              <w:rPr>
                <w:b/>
                <w:i/>
              </w:rPr>
              <w:t>,</w:t>
            </w:r>
            <w:r>
              <w:t xml:space="preserve"> rengti </w:t>
            </w:r>
            <w:r>
              <w:rPr>
                <w:b/>
                <w:i/>
              </w:rPr>
              <w:t>ir skleisti</w:t>
            </w:r>
            <w:r>
              <w:t>, ir jų negalima gauti kitomis priemonėmis arba juos pakartotinai naudojant gerokai sumažės duomenų turėtojams ir kitoms įmonėms tenkanti duomenų teikimo našta.</w:t>
            </w:r>
          </w:p>
        </w:tc>
        <w:tc>
          <w:tcPr>
            <w:tcW w:w="4876" w:type="dxa"/>
            <w:tcBorders>
              <w:top w:val="nil"/>
              <w:left w:val="nil"/>
              <w:bottom w:val="nil"/>
              <w:right w:val="nil"/>
            </w:tcBorders>
          </w:tcPr>
          <w:p>
            <w:pPr>
              <w:pStyle w:val="Normal6a"/>
            </w:pPr>
            <w:r>
              <w:t>5.</w:t>
            </w:r>
            <w:r>
              <w:tab/>
            </w:r>
            <w:r>
              <w:t xml:space="preserve">Kaip numatyta Reglamento (EB) Nr. 223/2009 17b straipsnyje, NSI arba Komisija (Eurostatas) gali prašyti privačiojo duomenų turėtojo nemokamai pateikti duomenis ir atitinkamus metaduomenis, kai prašomi duomenys yra tikrai būtini Europos komercinės paskirties nekilnojamojo turto statistikai plėtoti </w:t>
            </w:r>
            <w:r>
              <w:rPr>
                <w:b/>
                <w:i/>
              </w:rPr>
              <w:t>ir</w:t>
            </w:r>
            <w:r>
              <w:t xml:space="preserve"> rengti, ir jų negalima gauti kitomis priemonėmis arba juos pakartotinai naudojant gerokai sumažės duomenų turėtojams ir kitoms įmonėms tenkanti duomenų teikimo našta. </w:t>
            </w:r>
            <w:r>
              <w:rPr>
                <w:b/>
                <w:i/>
              </w:rPr>
              <w:t>Bet koks duomenų ir metaduomenų, gautų iš privačiųjų duomenų turėtojų, perdavimas, skelbimas ar kitoks naudojimas, nepriklausantis nacionalinės statistikos tarnybos (NSI) arba Komisijos (Eurostato) kompetencijai, atliekamas gavus aiškų raštišką atitinkamo privačiojo duomenų turėtojo sutikimą.</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Kaip numatyta Reglamento (EB) Nr. 223/2009 17b straipsnyje, NSI arba Komisija (Eurostatas) gali prašyti privačiojo duomenų turėtojo nemokamai pateikti duomenis ir atitinkamus metaduomenis, kai prašomi duomenys yra tikrai būtini Europos komercinės paskirties nekilnojamojo turto statistikai plėtoti, rengti ir skleisti, ir jų negalima gauti kitomis priemonėmis arba juos pakartotinai naudojant gerokai sumažės duomenų turėtojams ir kitoms įmonėms tenkanti duomenų teikimo našta.</w:t>
            </w:r>
          </w:p>
        </w:tc>
        <w:tc>
          <w:tcPr>
            <w:tcW w:w="4876" w:type="dxa"/>
            <w:tcBorders>
              <w:top w:val="nil"/>
              <w:left w:val="nil"/>
              <w:bottom w:val="nil"/>
              <w:right w:val="nil"/>
            </w:tcBorders>
          </w:tcPr>
          <w:p>
            <w:pPr>
              <w:pStyle w:val="Normal6a"/>
            </w:pPr>
            <w:r>
              <w:t>5.</w:t>
            </w:r>
            <w:r>
              <w:tab/>
            </w:r>
            <w:r>
              <w:t xml:space="preserve">Kaip numatyta Reglamento (EB) Nr. 223/2009 17b straipsnyje, NSI arba Komisija (Eurostatas) gali prašyti privačiojo duomenų turėtojo nemokamai pateikti duomenis ir atitinkamus metaduomenis, kai prašomi duomenys yra tikrai būtini Europos komercinės paskirties nekilnojamojo turto statistikai plėtoti, rengti ir skleisti, ir jų negalima gauti kitomis priemonėmis arba juos pakartotinai naudojant gerokai sumažės duomenų turėtojams ir kitoms įmonėms tenkanti duomenų teikimo našta. </w:t>
            </w:r>
            <w:r>
              <w:rPr>
                <w:b/>
                <w:i/>
              </w:rPr>
              <w:t>Nacionalinių statistikos tarnybų ir Komisijos teisė prašyti duomenų iš privačiųjų duomenų turėtojų neturi nulemti neproporcingos ekonominės naštos įmonėms ar asociacijoms.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Valstybės narės parengia ir perduoda Komisijai (Eurostatui) duomenis, susijusius su kiekvienu 1 dalyje nurodytu kintamuoju.</w:t>
            </w:r>
          </w:p>
        </w:tc>
        <w:tc>
          <w:tcPr>
            <w:tcW w:w="4876" w:type="dxa"/>
            <w:tcBorders>
              <w:top w:val="nil"/>
              <w:left w:val="nil"/>
              <w:bottom w:val="nil"/>
              <w:right w:val="nil"/>
            </w:tcBorders>
          </w:tcPr>
          <w:p>
            <w:pPr>
              <w:pStyle w:val="Normal6a"/>
            </w:pPr>
            <w:r>
              <w:t>2.</w:t>
            </w:r>
            <w:r>
              <w:tab/>
            </w:r>
            <w:r>
              <w:t xml:space="preserve">Valstybės narės parengia ir perduoda Komisijai (Eurostatui) duomenis, susijusius su kiekvienu 1 dalyje nurodytu kintamuoju. </w:t>
            </w:r>
            <w:r>
              <w:rPr>
                <w:b/>
                <w:i/>
              </w:rPr>
              <w:t>Valstybės narės, kurių komercinės paskirties nekilnojamojo turto rinka yra maža, parengia šiuos duomenis kartą per metus.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Valstybės narės parengia ir perduoda Komisijai (Eurostatui) duomenis, susijusius su kiekvienu 1 dalyje nurodytu kintamuoju.</w:t>
            </w:r>
          </w:p>
        </w:tc>
        <w:tc>
          <w:tcPr>
            <w:tcW w:w="4876" w:type="dxa"/>
            <w:tcBorders>
              <w:top w:val="nil"/>
              <w:left w:val="nil"/>
              <w:bottom w:val="nil"/>
              <w:right w:val="nil"/>
            </w:tcBorders>
          </w:tcPr>
          <w:p>
            <w:pPr>
              <w:pStyle w:val="Normal6a"/>
            </w:pPr>
            <w:r>
              <w:t>2.</w:t>
            </w:r>
            <w:r>
              <w:tab/>
            </w:r>
            <w:r>
              <w:t xml:space="preserve">Valstybės narės parengia ir perduoda Komisijai (Eurostatui) duomenis, susijusius su kiekvienu 1 dalyje nurodytu kintamuoju. </w:t>
            </w:r>
            <w:r>
              <w:rPr>
                <w:b/>
                <w:i/>
              </w:rPr>
              <w:t>Tie duomenys, jei aktualu, persiunčiami NUTS 3 lygmeniu, ir bet kuriuo atveju NUTS 2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Valstybės narės parengia ir perduoda Komisijai (Eurostatui) duomenis, susijusius su kiekvienu 1 dalyje nurodytu kintamuoju.</w:t>
            </w:r>
          </w:p>
        </w:tc>
        <w:tc>
          <w:tcPr>
            <w:tcW w:w="4876" w:type="dxa"/>
            <w:tcBorders>
              <w:top w:val="nil"/>
              <w:left w:val="nil"/>
              <w:bottom w:val="nil"/>
              <w:right w:val="nil"/>
            </w:tcBorders>
          </w:tcPr>
          <w:p>
            <w:pPr>
              <w:pStyle w:val="Normal6a"/>
            </w:pPr>
            <w:r>
              <w:t>2.</w:t>
            </w:r>
            <w:r>
              <w:tab/>
            </w:r>
            <w:r>
              <w:t xml:space="preserve">Valstybės narės </w:t>
            </w:r>
            <w:r>
              <w:rPr>
                <w:b/>
                <w:i/>
              </w:rPr>
              <w:t>ne rečiau kaip kas tris mėnesius</w:t>
            </w:r>
            <w:r>
              <w:t xml:space="preserve"> parengia ir perduoda Komisijai (Eurostatui) duomenis, susijusius su kiekvienu 1 dalyje nurodytu kintamuoju.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Valstybės narės parengia ir perduoda Komisijai (Eurostatui) duomenis, susijusius su kiekvienu 1 dalyje nurodytu kintamuoju.</w:t>
            </w:r>
          </w:p>
        </w:tc>
        <w:tc>
          <w:tcPr>
            <w:tcW w:w="4876" w:type="dxa"/>
            <w:tcBorders>
              <w:top w:val="nil"/>
              <w:left w:val="nil"/>
              <w:bottom w:val="nil"/>
              <w:right w:val="nil"/>
            </w:tcBorders>
          </w:tcPr>
          <w:p>
            <w:pPr>
              <w:pStyle w:val="Normal6a"/>
            </w:pPr>
            <w:r>
              <w:t>2.</w:t>
            </w:r>
            <w:r>
              <w:tab/>
            </w:r>
            <w:r>
              <w:t xml:space="preserve">Valstybės narės </w:t>
            </w:r>
            <w:r>
              <w:rPr>
                <w:b/>
                <w:i/>
              </w:rPr>
              <w:t>kasmet</w:t>
            </w:r>
            <w:r>
              <w:t xml:space="preserve"> parengia ir perduoda Komisijai (Eurostatui) duomenis, susijusius su kiekvienu 1 dalyje nurodytu kintamuoju.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Valstybės narės parengia ir perduoda Komisijai (Eurostatui) duomenis, susijusius su kiekvienu 1 dalyje nurodytu kintamuoju.</w:t>
            </w:r>
          </w:p>
        </w:tc>
        <w:tc>
          <w:tcPr>
            <w:tcW w:w="4876" w:type="dxa"/>
            <w:tcBorders>
              <w:top w:val="nil"/>
              <w:left w:val="nil"/>
              <w:bottom w:val="nil"/>
              <w:right w:val="nil"/>
            </w:tcBorders>
          </w:tcPr>
          <w:p>
            <w:pPr>
              <w:pStyle w:val="Normal6a"/>
            </w:pPr>
            <w:r>
              <w:t>2.</w:t>
            </w:r>
            <w:r>
              <w:tab/>
            </w:r>
            <w:r>
              <w:t xml:space="preserve">Valstybės narės </w:t>
            </w:r>
            <w:r>
              <w:rPr>
                <w:b/>
                <w:i/>
              </w:rPr>
              <w:t>kasmet</w:t>
            </w:r>
            <w:r>
              <w:t xml:space="preserve"> parengia ir perduoda Komisijai (Eurostatui) duomenis, susijusius su kiekvienu 1 dalyje nurodytu kintamuoju.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Komisijai pagal 9 straipsnį suteikiami įgaliojimai priimti deleguotuosius aktus, kuriais iš dalies keičiamas priede pateiktas kintamųjų sąrašas.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Komisijai pagal 9 straipsnį suteikiami įgaliojimai priimti deleguotuosius aktus, kuriais iš dalies keičiamas priede pateiktas kintamųjų sąrašas.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Tai turėtų būti teisėkūros institucijos prerogatyva.</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Komisijai pagal 9 straipsnį suteikiami įgaliojimai priimti deleguotuosius aktus, kuriais iš dalies keičiamas</w:t>
            </w:r>
            <w:r>
              <w:t xml:space="preserve"> priede </w:t>
            </w:r>
            <w:r>
              <w:rPr>
                <w:b/>
                <w:i/>
              </w:rPr>
              <w:t>pateiktas kintamųjų sąrašas</w:t>
            </w:r>
            <w:r>
              <w:t>.</w:t>
            </w:r>
          </w:p>
        </w:tc>
        <w:tc>
          <w:tcPr>
            <w:tcW w:w="4876" w:type="dxa"/>
            <w:tcBorders>
              <w:top w:val="nil"/>
              <w:left w:val="nil"/>
              <w:bottom w:val="nil"/>
              <w:right w:val="nil"/>
            </w:tcBorders>
          </w:tcPr>
          <w:p>
            <w:pPr>
              <w:pStyle w:val="Normal6a"/>
            </w:pPr>
            <w:r>
              <w:t>3.</w:t>
            </w:r>
            <w:r>
              <w:tab/>
            </w:r>
            <w:r>
              <w:rPr>
                <w:b/>
                <w:i/>
              </w:rPr>
              <w:t>I</w:t>
            </w:r>
            <w:r>
              <w:t xml:space="preserve"> priede </w:t>
            </w:r>
            <w:r>
              <w:rPr>
                <w:b/>
                <w:i/>
              </w:rPr>
              <w:t>nurodyti kintamieji galutinai apibrėžiami šiame reglamente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Naudodamasi įgaliojimais priimti deleguotuosius aktus Komisija užtikrina, kad tais aktais valstybėms narėms ir respondentams nebūtų užkraunama didelė papildoma administracinė našta ar papildomos išlaidos.</w:t>
            </w:r>
            <w:r>
              <w:t xml:space="preserve"> </w:t>
            </w:r>
            <w:r>
              <w:rPr>
                <w:b/>
                <w:i/>
              </w:rPr>
              <w:t>Siekiant įvertinti galimų naujų duomenų reikalavimų sąnaudas, naštą ir įgyvendinamumą, be kita ko, nustatant, kad esami savanoriški duomenų reikalavimai taptų privalomais, turi būti atliekami bandomieji tyrimai pagal 7 straipsnį ir prieš priimant deleguotąjį aktą jų rezultatai turi būti tinkamai įvertinami ir į juos atsižvelgiama.</w:t>
            </w:r>
            <w:r>
              <w:t xml:space="preserve"> </w:t>
            </w:r>
            <w:r>
              <w:rPr>
                <w:b/>
                <w:i/>
              </w:rPr>
              <w:t>Nauji kintamieji įvedami tik tuo atveju, jei bandomieji tyrimai rodo, kad tuos kintamuosius galima rinkti visose valstybėse narėse.</w:t>
            </w:r>
            <w:r>
              <w:t xml:space="preserve"> </w:t>
            </w:r>
            <w:r>
              <w:rPr>
                <w:b/>
                <w:i/>
              </w:rPr>
              <w:t>Šioje dalyje nurodyti bandomieji tyrimai finansuojami pagal 8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 priede nurodyti kintamieji galutinai apibrėžiami šiame reglamente.</w:t>
            </w:r>
            <w:r>
              <w:t xml:space="preserve"> </w:t>
            </w:r>
            <w:r>
              <w:rPr>
                <w:b/>
                <w:i/>
              </w:rPr>
              <w:t>Pakeitimai daromi tik pagal įprastą teisėkūros procedūrą.</w:t>
            </w:r>
            <w:r>
              <w:t xml:space="preserve"> </w:t>
            </w:r>
            <w:r>
              <w:rPr>
                <w:b/>
                <w:i/>
              </w:rPr>
              <w:t>Įgyvendinimo aktai turėtų būti susiję tik su techninėmis detalėmis, dėl kurių nenustatomi nauji ar didesni ataskaitų teikimo įpareigojimai.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Komisija įgyvendinimo aktais gali nustatyti šiuos perduotinų duomenų elementus, taip pat jų technines apibrėžtis ir supaprastinimo nuostatas: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matavimo vienetą;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statistinę visumą;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klasifikatorius ir suskirstymo principus;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indeksų sudarymo principus;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apytikrių reikšmių naudojimo ir kokybės reikalavimus;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ataskaitinį laikotarpį;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duomenų perdavimo terminą;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pirmąjį ataskaitinį laikotarpį.</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Komisija įgyvendinimo aktais gali nustatyti šiuos perduotinų duomenų elementus, taip pat jų technines apibrėžtis ir supaprastinimo nuostatas: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matavimo vienetą;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statistinę visumą;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klasifikatorius ir suskirstymo principus;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indeksų sudarymo principus;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apytikrių reikšmių naudojimo ir kokybės reikalavimus;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ataskaitinį laikotarpį;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duomenų perdavimo terminą;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pirmąjį ataskaitinį laikotarpį.</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Komisija įgyvendinimo aktais </w:t>
            </w:r>
            <w:r>
              <w:rPr>
                <w:b/>
                <w:i/>
              </w:rPr>
              <w:t>gali nustatyti</w:t>
            </w:r>
            <w:r>
              <w:t xml:space="preserve"> šiuos perduotinų duomenų elementus, taip pat jų technines apibrėžtis ir supaprastinimo nuostatas:</w:t>
            </w:r>
          </w:p>
        </w:tc>
        <w:tc>
          <w:tcPr>
            <w:tcW w:w="4876" w:type="dxa"/>
            <w:tcBorders>
              <w:top w:val="nil"/>
              <w:left w:val="nil"/>
              <w:bottom w:val="nil"/>
              <w:right w:val="nil"/>
            </w:tcBorders>
          </w:tcPr>
          <w:p>
            <w:pPr>
              <w:pStyle w:val="Normal6a"/>
            </w:pPr>
            <w:r>
              <w:t>4.</w:t>
            </w:r>
            <w:r>
              <w:tab/>
            </w:r>
            <w:r>
              <w:t xml:space="preserve">Komisija įgyvendinimo aktais </w:t>
            </w:r>
            <w:r>
              <w:rPr>
                <w:b/>
                <w:i/>
              </w:rPr>
              <w:t>nustato</w:t>
            </w:r>
            <w:r>
              <w:t xml:space="preserve"> šiuos perduotinų duomenų elementus, taip pat jų technines apibrėžtis ir supaprastinimo nuostatas: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matavimo vienetą;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matavimo vienetą;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statistinę visumą;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statistinę visumą;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klasifikatorius ir suskirstymo principus;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klasifikatorius ir suskirstymo principus;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indeksų sudarymo principus;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indeksų sudarymo principus;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apytikrių reikšmių naudojimo ir kokybės reikalavimus;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apytikrių reikšmių naudojimo ir kokybės reikalavimus;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ataskaitinį laikotarpį;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ataskaitinį laikotarpį;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duomenų perdavimo terminą;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duomenų perdavimo terminą;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pirmąjį ataskaitinį laikotarpį.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pirmąjį ataskaitinį laikotarpį.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Kiek tai susiję su 4 dalies c punkte nurodytu suskirstymu, Komisija bent: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atskiria komercinės paskirties nekilnojamąjį turtą, kuris priklauso fiziniams ir juridiniams asmenims;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atskiria gyvenamosios ir negyvenamosios komercinės paskirties nekilnojamąjį turtą;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nustato trumpalaikės nuomos atvejus.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4 dalyje nurodyti įgyvendinimo aktai priimami laikantis 10 straipsnyje nurodytos nagrinėjimo procedūros.</w:t>
            </w:r>
          </w:p>
        </w:tc>
        <w:tc>
          <w:tcPr>
            <w:tcW w:w="4876" w:type="dxa"/>
            <w:tcBorders>
              <w:top w:val="nil"/>
              <w:left w:val="nil"/>
              <w:bottom w:val="nil"/>
              <w:right w:val="nil"/>
            </w:tcBorders>
          </w:tcPr>
          <w:p>
            <w:pPr>
              <w:pStyle w:val="Normal6a"/>
            </w:pPr>
            <w:r>
              <w:t>6.</w:t>
            </w:r>
            <w:r>
              <w:tab/>
            </w:r>
            <w:r>
              <w:t xml:space="preserve">4 dalyje nurodyti įgyvendinimo aktai priimami laikantis 10 straipsnyje nurodytos nagrinėjimo procedūros </w:t>
            </w:r>
            <w:r>
              <w:rPr>
                <w:b/>
                <w:i/>
              </w:rPr>
              <w:t>ne vėliau kaip likus 24 mėnesiams iki atitinkamo ataskaitinio laikotarpio pradžios</w:t>
            </w:r>
            <w:r>
              <w:t xml:space="preserve">. </w:t>
            </w:r>
            <w:r>
              <w:rPr>
                <w:b/>
                <w:i/>
              </w:rPr>
              <w:t>Komisija užtikrina, kad pagal šią dalį priimti įgyvendinimo aktai atitiktų proporcingumo principą ir kad dėl jų valstybėms narėms arba įmonėms nesusidarytų didelės papildomos išlaidos ar našta.</w:t>
            </w:r>
            <w:r>
              <w:t xml:space="preserve"> </w:t>
            </w:r>
            <w:r>
              <w:rPr>
                <w:b/>
                <w:i/>
              </w:rPr>
              <w:t>Prieš iš dalies keičiant bet kokius šio straipsnio 4 dalyje nurodytus duomenų elementus atliekami 7 straipsnyje nurodyti bandomieji tyrimai, o jų rezultatai tinkamai įvertinami ir į juos atsižvelgiama.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metinę</w:t>
            </w:r>
            <w:r>
              <w:t xml:space="preserve"> informaciją apie metaduomenis ir kokybės ataskaitas;</w:t>
            </w:r>
          </w:p>
        </w:tc>
        <w:tc>
          <w:tcPr>
            <w:tcW w:w="4876" w:type="dxa"/>
            <w:tcBorders>
              <w:top w:val="nil"/>
              <w:left w:val="nil"/>
              <w:bottom w:val="nil"/>
              <w:right w:val="nil"/>
            </w:tcBorders>
          </w:tcPr>
          <w:p>
            <w:pPr>
              <w:pStyle w:val="Normal6a"/>
            </w:pPr>
            <w:r>
              <w:rPr>
                <w:b/>
                <w:i/>
              </w:rPr>
              <w:t>a)</w:t>
            </w:r>
            <w:r>
              <w:tab/>
            </w:r>
            <w:r>
              <w:rPr>
                <w:b/>
                <w:i/>
              </w:rPr>
              <w:t>kas ketvirtį teikiamą</w:t>
            </w:r>
            <w:r>
              <w:t xml:space="preserve"> informaciją apie metaduomenis ir kokybės ataskaitas;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Jei Komisija (Eurostatas) nustato, kad reikia priimti svarbius naujus duomenims keliamus reikalavimus ar tobulinti duomenis, kuriems taikomas šis reglamentas, ji </w:t>
            </w:r>
            <w:r>
              <w:rPr>
                <w:b/>
                <w:i/>
              </w:rPr>
              <w:t>gali inicijuoti</w:t>
            </w:r>
            <w:r>
              <w:t xml:space="preserve"> bandomuosius tyrimus, kuriuos iki bet kokio naujo duomenų rinkimo valstybės narės vykdo savanoriškai.</w:t>
            </w:r>
          </w:p>
        </w:tc>
        <w:tc>
          <w:tcPr>
            <w:tcW w:w="4876" w:type="dxa"/>
            <w:tcBorders>
              <w:top w:val="nil"/>
              <w:left w:val="nil"/>
              <w:bottom w:val="nil"/>
              <w:right w:val="nil"/>
            </w:tcBorders>
          </w:tcPr>
          <w:p>
            <w:pPr>
              <w:pStyle w:val="Normal6a"/>
            </w:pPr>
            <w:r>
              <w:t>1.</w:t>
            </w:r>
            <w:r>
              <w:tab/>
            </w:r>
            <w:r>
              <w:t xml:space="preserve">Jei Komisija (Eurostatas) nustato, kad reikia priimti svarbius naujus duomenims keliamus reikalavimus ar tobulinti duomenis, kuriems taikomas šis reglamentas, ji </w:t>
            </w:r>
            <w:r>
              <w:rPr>
                <w:b/>
                <w:i/>
              </w:rPr>
              <w:t>inicijuoja</w:t>
            </w:r>
            <w:r>
              <w:t xml:space="preserve"> bandomuosius tyrimus, kuriuos iki bet kokio naujo duomenų rinkimo valstybės narės vykdo savanoriškai.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1 dalyje nurodyti bandomieji tyrimai atliekami siekiant įvertinti galimybių įgyvendinti naujus duomenims keliamus reikalavimus arba patobulinimus aktualumą ir įgyvendinamumą. Komisija, kai tinkama ir atsižvelgdama į bandomųjų tyrimų rezultatus, teikia pasiūlymus dėl naujų duomenims keliamų reikalavimų nustatymo.</w:t>
            </w:r>
          </w:p>
        </w:tc>
        <w:tc>
          <w:tcPr>
            <w:tcW w:w="4876" w:type="dxa"/>
            <w:tcBorders>
              <w:top w:val="nil"/>
              <w:left w:val="nil"/>
              <w:bottom w:val="nil"/>
              <w:right w:val="nil"/>
            </w:tcBorders>
          </w:tcPr>
          <w:p>
            <w:pPr>
              <w:pStyle w:val="Normal6a"/>
            </w:pPr>
            <w:r>
              <w:t>2.</w:t>
            </w:r>
            <w:r>
              <w:tab/>
            </w:r>
            <w:r>
              <w:t xml:space="preserve">1 dalyje nurodyti bandomieji tyrimai atliekami siekiant įvertinti galimybių įgyvendinti naujus duomenims keliamus reikalavimus arba patobulinimus aktualumą ir įgyvendinamumą </w:t>
            </w:r>
            <w:r>
              <w:rPr>
                <w:b/>
                <w:i/>
              </w:rPr>
              <w:t>ir atliekami taip, kad privatiems duomenų turėtojams tenkanti našta būtų kuo mažesnė</w:t>
            </w:r>
            <w:r>
              <w:t>. Komisija, kai tinkama ir atsižvelgdama į bandomųjų tyrimų rezultatus, teikia pasiūlymus dėl naujų duomenims keliamų reikalavimų nustatymo.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1 dalyje nurodyti bandomieji tyrimai atliekami siekiant įvertinti galimybių įgyvendinti naujus duomenims keliamus reikalavimus arba patobulinimus aktualumą ir įgyvendinamumą. Komisija, kai tinkama ir atsižvelgdama į bandomųjų tyrimų rezultatus, teikia pasiūlymus dėl naujų duomenims keliamų reikalavimų nustatymo.</w:t>
            </w:r>
          </w:p>
        </w:tc>
        <w:tc>
          <w:tcPr>
            <w:tcW w:w="4876" w:type="dxa"/>
            <w:tcBorders>
              <w:top w:val="nil"/>
              <w:left w:val="nil"/>
              <w:bottom w:val="nil"/>
              <w:right w:val="nil"/>
            </w:tcBorders>
          </w:tcPr>
          <w:p>
            <w:pPr>
              <w:pStyle w:val="Normal6a"/>
            </w:pPr>
            <w:r>
              <w:t>2.</w:t>
            </w:r>
            <w:r>
              <w:tab/>
            </w:r>
            <w:r>
              <w:t xml:space="preserve">1 dalyje nurodyti bandomieji tyrimai atliekami siekiant įvertinti galimybių įgyvendinti naujus duomenims keliamus reikalavimus arba patobulinimus aktualumą ir įgyvendinamumą. Komisija, kai tinkama ir atsižvelgdama į bandomųjų tyrimų rezultatus, </w:t>
            </w:r>
            <w:r>
              <w:rPr>
                <w:b/>
                <w:i/>
              </w:rPr>
              <w:t>be kita ko, informaciją apie galimą administracinės naštos padidėjimą,</w:t>
            </w:r>
            <w:r>
              <w:t xml:space="preserve"> teikia pasiūlymus dėl naujų duomenims keliamų reikalavimų nustatymo.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Būtų galima atlikti bandomąjį tyrimą siekiant surinkti duomenis apie komercinės paskirties nekilnojamojo turto sandorių vertę.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Valstybės narės kartu su</w:t>
            </w:r>
            <w:r>
              <w:t xml:space="preserve"> Komisija (</w:t>
            </w:r>
            <w:r>
              <w:rPr>
                <w:b/>
                <w:i/>
              </w:rPr>
              <w:t>Eurostatu</w:t>
            </w:r>
            <w:r>
              <w:t>) užtikrina tų tyrimų reprezentatyvumą Sąjungos lygmeniu.</w:t>
            </w:r>
          </w:p>
        </w:tc>
        <w:tc>
          <w:tcPr>
            <w:tcW w:w="4876" w:type="dxa"/>
            <w:tcBorders>
              <w:top w:val="nil"/>
              <w:left w:val="nil"/>
              <w:bottom w:val="nil"/>
              <w:right w:val="nil"/>
            </w:tcBorders>
          </w:tcPr>
          <w:p>
            <w:pPr>
              <w:pStyle w:val="Normal6a"/>
            </w:pPr>
            <w:r>
              <w:t>3.</w:t>
            </w:r>
            <w:r>
              <w:tab/>
            </w:r>
            <w:r>
              <w:t>Komisija (</w:t>
            </w:r>
            <w:r>
              <w:rPr>
                <w:b/>
                <w:i/>
              </w:rPr>
              <w:t>Eurostatas</w:t>
            </w:r>
            <w:r>
              <w:t>)</w:t>
            </w:r>
            <w:r>
              <w:rPr>
                <w:b/>
                <w:i/>
              </w:rPr>
              <w:t>, bendradarbiaudama su valstybėmis narėmis,</w:t>
            </w:r>
            <w:r>
              <w:t xml:space="preserve"> užtikrina tų tyrimų reprezentatyvumą Sąjungos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11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Nukrypti leidžiančios nuostatos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Jei norint taikyti šį reglamentą ar pagal jį priimtas įgyvendinimo priemones valstybės narės nacionalinę statistikos sistemą reikia keisti iš esmės, Komisija gali įgyvendinimo aktais tai valstybei narei ne ilgiau nei trejiems metams nustatyti nukrypti leidžiančias nuostatas.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Atitinkama valstybė narė pateikia Komisijai tinkamai pagrįstą prašymą leisti taikyti nukrypti leidžiančią nuostatą pagal 1 dalį per tris mėnesius nuo akto, dėl kurio prašoma leisti ją taikyti, įsigaliojimo dienos.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1 dalyje nurodytų nukrypti leidžiančių nuostatų poveikis valstybių narių duomenų palyginamumui arba reikalaujamų laiku pateikiamų ir reprezentatyvių Europos suvestinių rodiklių apskaičiavimui turi būti kuo mažesnis.</w:t>
            </w:r>
            <w:r>
              <w:rPr>
                <w:b/>
                <w:i/>
              </w:rPr>
              <w:t xml:space="preserve"> </w:t>
            </w:r>
            <w:r>
              <w:rPr>
                <w:b/>
                <w:i/>
              </w:rPr>
              <w:t>Komisija, nustatydama nukrypti leidžiančias nuostatas, atsižvelgia į respondentams tenkančią naštą.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1 dalyje nurodyti įgyvendinimo aktai priimami laikantis 10 straipsnyje nurodytos nagrinėjimo procedūros.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Kadangi tarptautinės organizacijos vis dažniau atkreipia dėmesį į didėjantį komercinio nekilnojamojo turto sektoriaus pažeidžiamumą, labai svarbu kuo greičiau panaikinti duomenų trūkumą.</w:t>
      </w:r>
      <w:r>
        <w:t xml:space="preserve"> </w:t>
      </w:r>
      <w:r>
        <w:t>Į šį reglamentą įtrauktus rodiklius ESRV rekomendavo jau prieš 10 metų, tad valstybės narės turėjo pakankamai laiko pritaikyti savo statistikos sistemas.</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Jei norint taikyti šį reglamentą ar pagal jį priimtas įgyvendinimo priemones valstybės narės nacionalinę statistikos sistemą reikia keisti iš esmės, Komisija gali įgyvendinimo aktais tai valstybei narei ne ilgiau nei </w:t>
            </w:r>
            <w:r>
              <w:rPr>
                <w:b/>
                <w:i/>
              </w:rPr>
              <w:t>trejiems</w:t>
            </w:r>
            <w:r>
              <w:t xml:space="preserve"> metams nustatyti nukrypti leidžiančias nuostatas.</w:t>
            </w:r>
          </w:p>
        </w:tc>
        <w:tc>
          <w:tcPr>
            <w:tcW w:w="4876" w:type="dxa"/>
            <w:tcBorders>
              <w:top w:val="nil"/>
              <w:left w:val="nil"/>
              <w:bottom w:val="nil"/>
              <w:right w:val="nil"/>
            </w:tcBorders>
          </w:tcPr>
          <w:p>
            <w:pPr>
              <w:pStyle w:val="Normal6a"/>
            </w:pPr>
            <w:r>
              <w:t>1.</w:t>
            </w:r>
            <w:r>
              <w:tab/>
            </w:r>
            <w:r>
              <w:t xml:space="preserve">Jei norint taikyti šį reglamentą ar pagal jį priimtas įgyvendinimo priemones valstybės narės nacionalinę statistikos sistemą reikia keisti iš esmės, </w:t>
            </w:r>
            <w:r>
              <w:rPr>
                <w:b/>
                <w:i/>
              </w:rPr>
              <w:t>visų pirma tose valstybėse narėse, kuriose dar nėra suskaitmeninta didelė duomenų rinkimui būtinų administracinių procedūrų dalis,</w:t>
            </w:r>
            <w:r>
              <w:t xml:space="preserve"> Komisija gali įgyvendinimo aktais tai valstybei narei ne ilgiau nei </w:t>
            </w:r>
            <w:r>
              <w:rPr>
                <w:b/>
                <w:i/>
              </w:rPr>
              <w:t>penkeriems</w:t>
            </w:r>
            <w:r>
              <w:t xml:space="preserve"> metams nustatyti nukrypti leidžiančias nuostatas.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Jei norint taikyti šį reglamentą ar pagal jį priimtas įgyvendinimo priemones valstybės narės nacionalinę statistikos sistemą reikia keisti iš esmės, Komisija gali įgyvendinimo aktais tai valstybei narei ne ilgiau nei </w:t>
            </w:r>
            <w:r>
              <w:rPr>
                <w:b/>
                <w:i/>
              </w:rPr>
              <w:t>trejiems</w:t>
            </w:r>
            <w:r>
              <w:t xml:space="preserve"> metams nustatyti nukrypti leidžiančias nuostatas.</w:t>
            </w:r>
          </w:p>
        </w:tc>
        <w:tc>
          <w:tcPr>
            <w:tcW w:w="4876" w:type="dxa"/>
            <w:tcBorders>
              <w:top w:val="nil"/>
              <w:left w:val="nil"/>
              <w:bottom w:val="nil"/>
              <w:right w:val="nil"/>
            </w:tcBorders>
          </w:tcPr>
          <w:p>
            <w:pPr>
              <w:pStyle w:val="Normal6a"/>
            </w:pPr>
            <w:r>
              <w:t>1.</w:t>
            </w:r>
            <w:r>
              <w:tab/>
            </w:r>
            <w:r>
              <w:t xml:space="preserve">Jei norint taikyti šį reglamentą ar pagal jį priimtas įgyvendinimo priemones valstybės narės nacionalinę statistikos sistemą reikia keisti iš esmės, Komisija gali įgyvendinimo aktais tai valstybei narei ne ilgiau nei </w:t>
            </w:r>
            <w:r>
              <w:rPr>
                <w:b/>
                <w:i/>
              </w:rPr>
              <w:t>penkeriems</w:t>
            </w:r>
            <w:r>
              <w:t xml:space="preserve"> metams nustatyti nukrypti leidžiančias nuostatas.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Jei nukrypti leidžianti nuostata laikotarpio, kuriam ji buvo suteikta, pabaigoje tebėra aktuali, Komisija gali įgyvendinimo aktu ne ilgesnį kaip trejų metų laikotarpį leisti tą nukrypti leidžiančią nuostatą taikyti toliau.</w:t>
            </w:r>
            <w:r>
              <w:t xml:space="preserve"> </w:t>
            </w:r>
            <w:r>
              <w:rPr>
                <w:b/>
                <w:i/>
              </w:rPr>
              <w:t>Atitinkama valstybė narė ne vėliau kaip likus 6 mėnesiams iki nukrypti leidžiančios nuostatos, kurią leista taikyti pagal 1 dalį, galiojimo laikotarpio pabaigos pateikia Komisijai prašymą, kuriame nurodo tokio pratęsimo priežastis ir išsamų pagrindą.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Jis taikomas nuo </w:t>
            </w:r>
            <w:r>
              <w:rPr>
                <w:b/>
                <w:i/>
              </w:rPr>
              <w:t>2026</w:t>
            </w:r>
            <w:r>
              <w:t xml:space="preserve"> m. sausio 1 d.</w:t>
            </w:r>
          </w:p>
        </w:tc>
        <w:tc>
          <w:tcPr>
            <w:tcW w:w="4876" w:type="dxa"/>
            <w:tcBorders>
              <w:top w:val="nil"/>
              <w:left w:val="nil"/>
              <w:bottom w:val="nil"/>
              <w:right w:val="nil"/>
            </w:tcBorders>
          </w:tcPr>
          <w:p>
            <w:pPr>
              <w:pStyle w:val="Normal6a"/>
            </w:pPr>
            <w:r>
              <w:t xml:space="preserve">Jis taikomas nuo </w:t>
            </w:r>
            <w:r>
              <w:rPr>
                <w:b/>
                <w:i/>
              </w:rPr>
              <w:t>2029</w:t>
            </w:r>
            <w:r>
              <w:t xml:space="preserve"> m. sausio 1 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Jis taikomas nuo </w:t>
            </w:r>
            <w:r>
              <w:rPr>
                <w:b/>
                <w:i/>
              </w:rPr>
              <w:t>2026</w:t>
            </w:r>
            <w:r>
              <w:t xml:space="preserve"> m. sausio 1 d.</w:t>
            </w:r>
          </w:p>
        </w:tc>
        <w:tc>
          <w:tcPr>
            <w:tcW w:w="4876" w:type="dxa"/>
            <w:tcBorders>
              <w:top w:val="nil"/>
              <w:left w:val="nil"/>
              <w:bottom w:val="nil"/>
              <w:right w:val="nil"/>
            </w:tcBorders>
          </w:tcPr>
          <w:p>
            <w:pPr>
              <w:pStyle w:val="Normal6a"/>
            </w:pPr>
            <w:r>
              <w:t xml:space="preserve">Jis taikomas nuo </w:t>
            </w:r>
            <w:r>
              <w:rPr>
                <w:b/>
                <w:i/>
              </w:rPr>
              <w:t>2028</w:t>
            </w:r>
            <w:r>
              <w:t> m. sausio 1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Jis taikomas nuo </w:t>
            </w:r>
            <w:r>
              <w:rPr>
                <w:b/>
                <w:i/>
              </w:rPr>
              <w:t>2026</w:t>
            </w:r>
            <w:r>
              <w:t xml:space="preserve"> m. sausio 1 d.</w:t>
            </w:r>
          </w:p>
        </w:tc>
        <w:tc>
          <w:tcPr>
            <w:tcW w:w="4876" w:type="dxa"/>
            <w:tcBorders>
              <w:top w:val="nil"/>
              <w:left w:val="nil"/>
              <w:bottom w:val="nil"/>
              <w:right w:val="nil"/>
            </w:tcBorders>
          </w:tcPr>
          <w:p>
            <w:pPr>
              <w:pStyle w:val="Normal6a"/>
            </w:pPr>
            <w:r>
              <w:t xml:space="preserve">Jis taikomas nuo </w:t>
            </w:r>
            <w:r>
              <w:rPr>
                <w:b/>
                <w:i/>
              </w:rPr>
              <w:t>2028</w:t>
            </w:r>
            <w:r>
              <w:t> m. sausio 1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Jis taikomas nuo </w:t>
            </w:r>
            <w:r>
              <w:rPr>
                <w:b/>
                <w:i/>
              </w:rPr>
              <w:t>2026</w:t>
            </w:r>
            <w:r>
              <w:t xml:space="preserve"> m. sausio 1 d.</w:t>
            </w:r>
          </w:p>
        </w:tc>
        <w:tc>
          <w:tcPr>
            <w:tcW w:w="4876" w:type="dxa"/>
            <w:tcBorders>
              <w:top w:val="nil"/>
              <w:left w:val="nil"/>
              <w:bottom w:val="nil"/>
              <w:right w:val="nil"/>
            </w:tcBorders>
          </w:tcPr>
          <w:p>
            <w:pPr>
              <w:pStyle w:val="Normal6a"/>
            </w:pPr>
            <w:r>
              <w:t xml:space="preserve">Jis taikomas nuo </w:t>
            </w:r>
            <w:r>
              <w:rPr>
                <w:b/>
                <w:i/>
              </w:rPr>
              <w:t>2029</w:t>
            </w:r>
            <w:r>
              <w:t xml:space="preserve"> m. sausio 1 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a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Statybos leidimai (būstų skaičius, naudingasis plotas), suskirstyti pagal socialinius būstus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b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Statybos pradžia ir darbų užbaigimas (naudingasis plotas), suskirstyti pagal socialinį būstą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c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Komercinės paskirties nekilnojamojo turto kainų indeksai</w:t>
            </w:r>
          </w:p>
        </w:tc>
        <w:tc>
          <w:tcPr>
            <w:tcW w:w="4876" w:type="dxa"/>
            <w:tcBorders>
              <w:top w:val="nil"/>
              <w:left w:val="nil"/>
              <w:bottom w:val="nil"/>
              <w:right w:val="nil"/>
            </w:tcBorders>
          </w:tcPr>
          <w:p>
            <w:pPr>
              <w:pStyle w:val="Normal6a"/>
            </w:pPr>
            <w:r>
              <w:rPr>
                <w:b/>
                <w:i/>
              </w:rPr>
              <w:t>c)</w:t>
            </w:r>
            <w:r>
              <w:tab/>
            </w:r>
            <w:r>
              <w:t xml:space="preserve">Komercinės paskirties nekilnojamojo turto kainų indeksai </w:t>
            </w:r>
            <w:r>
              <w:rPr>
                <w:b/>
                <w:i/>
              </w:rPr>
              <w:t>(savanoriškai)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c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Komercinės paskirties nekilnojamojo turto kainų indeksai, suskirstyti pagal pajamas duodantį turtą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d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Komercinės paskirties nekilnojamojo turto nuomos mokesčių indeksai, suskirstyti pagal pajamas duodantį turtą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e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Komercinės paskirties nekilnojamojo turto sandorių vertė</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e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Komercinės paskirties nekilnojamojo turto sandorių vertė</w:t>
            </w:r>
          </w:p>
        </w:tc>
        <w:tc>
          <w:tcPr>
            <w:tcW w:w="4876" w:type="dxa"/>
            <w:tcBorders>
              <w:top w:val="nil"/>
              <w:left w:val="nil"/>
              <w:bottom w:val="nil"/>
              <w:right w:val="nil"/>
            </w:tcBorders>
          </w:tcPr>
          <w:p>
            <w:pPr>
              <w:pStyle w:val="Normal6a"/>
            </w:pPr>
            <w:r>
              <w:rPr>
                <w:b/>
                <w:i/>
              </w:rPr>
              <w:t>e)</w:t>
            </w:r>
            <w:r>
              <w:tab/>
            </w:r>
            <w:r>
              <w:t xml:space="preserve">Komercinės paskirties nekilnojamojo turto sandorių vertė </w:t>
            </w:r>
            <w:r>
              <w:rPr>
                <w:b/>
                <w:i/>
              </w:rPr>
              <w:t>(savanoriškai).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e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nuomos pajamų indeksai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e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laisvų butų skaičius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e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trumpalaikė nuoma, įskaitant gyvenamosios paskirties nekilnojamojo turto, kuris visiškai arba iš dalies naudojamas trumpalaikės nuomos tikslais, vienetų skaičių, vidutinį dienų, kurias šis gyvenamosios paskirties nekilnojamasis turtas išnuomojamas per metus, skaičių ir vidutines tokios nuomos pajamas.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AM\1331374LT.docx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AM\1331374LT.docx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AM\1331374LT.docx</w:t>
    </w:r>
    <w:r>
      <w:rPr>
        <w:rStyle w:val="HideTWBExt"/>
      </w:rPr>
      <w:t>&lt;/PathFdR&gt;</w:t>
    </w:r>
    <w:r>
      <w:tab/>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6931</Words>
  <Characters>48114</Characters>
  <Application>Microsoft Office Word</Application>
  <DocSecurity>0</DocSecurity>
  <Lines>1</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1331374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291041</vt:lpwstr>
  </property>
  <property fmtid="{D5CDD505-2E9C-101B-9397-08002B2CF9AE}" pid="7" name="dmxml.render.traceId">
    <vt:lpwstr>691ed1c7c6a098549bee3f328146aa91</vt:lpwstr>
  </property>
  <property fmtid="{D5CDD505-2E9C-101B-9397-08002B2CF9AE}" pid="8" name="FooterPath">
    <vt:lpwstr>AM\1331374LT.docx</vt:lpwstr>
  </property>
  <property fmtid="{D5CDD505-2E9C-101B-9397-08002B2CF9AE}" pid="9" name="PE Number">
    <vt:lpwstr>779.504</vt:lpwstr>
  </property>
  <property fmtid="{D5CDD505-2E9C-101B-9397-08002B2CF9AE}" pid="10" name="UID">
    <vt:lpwstr>eu.europa.europarl-DIN1-2025-0000212645_02.00-lt-01.00_text-xml</vt:lpwstr>
  </property>
</Properties>
</file>