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Parlament Ewropew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{ECON}</w:t>
      </w:r>
      <w:r>
        <w:t>Kumitat għall-Affarijiet Ekonomiċi u Monetarji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2025/0052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(COD)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{07/11/2025}</w:t>
      </w:r>
      <w:r>
        <w:t>7.11.2025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EMENDI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16</w:t>
      </w:r>
      <w:r>
        <w:t xml:space="preserve"> - </w:t>
      </w:r>
      <w:r>
        <w:t>100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Abbozz ta’ rapport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Aurore Lalucq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(PE778.148v01-00)</w:t>
      </w:r>
      <w:r>
        <w:rPr>
          <w:rStyle w:val="HideTWBExt"/>
        </w:rPr>
        <w:t>&lt;/DocRefPE&gt;</w:t>
      </w:r>
    </w:p>
    <w:p>
      <w:pPr>
        <w:pStyle w:val="CoverNormal24a"/>
      </w:pPr>
      <w:r>
        <w:rPr>
          <w:rStyle w:val="HideTWBExt"/>
        </w:rPr>
        <w:t>&lt;Titre&gt;</w:t>
      </w:r>
      <w:r>
        <w:t>Statistika mhux finanzjarja dwar il-proprjetà immobbli kummerċjali</w:t>
      </w:r>
      <w:r>
        <w:rPr>
          <w:rStyle w:val="HideTWBExt"/>
        </w:rPr>
        <w:t>&lt;/Titre&gt;</w:t>
      </w:r>
    </w:p>
    <w:p>
      <w:pPr>
        <w:pStyle w:val="CoverNormal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CoverNormal24a"/>
      </w:pPr>
      <w:r>
        <w:rPr>
          <w:rStyle w:val="HideTWBExt"/>
        </w:rPr>
        <w:t>&lt;DocRef&gt;</w:t>
      </w:r>
      <w:r>
        <w:t>(COM(2025)0100 – 2025/0052(COD))</w:t>
      </w:r>
      <w:r>
        <w:rPr>
          <w:rStyle w:val="HideTWBExt"/>
        </w:rPr>
        <w:t>&lt;/DocRef&gt;</w:t>
      </w:r>
    </w:p>
    <w:p>
      <w:r>
        <w:br w:type="page"/>
      </w:r>
      <w:r>
        <w:t>AM_Com_LegReport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Jussi Saramo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f’isem il-Grupp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(1)</w:t>
            </w:r>
            <w:r>
              <w:tab/>
            </w:r>
            <w:r>
              <w:t>L-istatistika dwar l-iżviluppi fis-swieq tal-proprjetà immobbli hija essenzjali għat-tfassil tal-politika ekonomika u monetarja, għall-monitoraġġ tar-riskju sistemiku u għall-gwida tat-tfassil tal-politika makroprudenzjali.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(1)</w:t>
            </w:r>
            <w:r>
              <w:tab/>
            </w:r>
            <w:r>
              <w:t xml:space="preserve">L-istatistika dwar l-iżviluppi fis-swieq tal-proprjetà immobbli hija essenzjali għat-tfassil tal-politika ekonomika u monetarja, għall-monitoraġġ tar-riskju sistemiku u għall-gwida tat-tfassil tal-politika makroprudenzjali. </w:t>
            </w:r>
            <w:r>
              <w:rPr>
                <w:b/>
                <w:i/>
              </w:rPr>
              <w:t>Il-kriżijiet finanzjarji tal-passat urew li l-iżviluppi fis-swieq tal-proprjetà immobbli jistgħu jaffettwaw is-sistema finanzjarja u jkollhom impatt serju fuq l-ekonomija reali.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2a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(2a)</w:t>
            </w:r>
            <w:r>
              <w:tab/>
            </w:r>
            <w:r>
              <w:rPr>
                <w:b/>
                <w:i/>
              </w:rPr>
              <w:t>Fir-rapport tiegħu tad-19 ta’ Ġunju 2025, “Vulnerabilities in Non-bank Commercial Real Estate Investors” (Vulnerabbiltajiet f’Investituri tal-Proprjetà Immobbli Kummerċjali Mhux Bankarji), il-Bord għall-Istabilità Finanzjarja identifika l-vulnerabbiltajiet ewlenin li ġejjin mis-settur tal-proprjetà immobbli kummerċjali.</w:t>
            </w:r>
            <w:r>
              <w:t xml:space="preserve"> </w:t>
            </w:r>
            <w:r>
              <w:rPr>
                <w:b/>
                <w:i/>
              </w:rPr>
              <w:t>Ir-rapport jidentifika l-lakuni li fadal fid-data li jfixklu l-mandat tal-awtoritajiet makroprudenzjali.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(6)</w:t>
            </w:r>
            <w:r>
              <w:tab/>
            </w:r>
            <w:r>
              <w:t>F’din l-istess Rakkomandazzjoni tal-2019, il-BERS iddefinixxa l-proprjetà immobbli kummerċjali fiżika bħala kwalunkwe proprjetà immobbli li tipproduċi introjtu, eżistenti jew li qed tiġi żviluppata, inkluża l-akkomodazzjoni għall-kiri; jew proprjetà immobbli użata mis-sidien tal-proprjetà għat-twettiq tan-negozju, l-għan jew l-attività tagħhom, eżistenti jew taħt kostruzzjoni; li mhijiex ikklassifikata bħala proprjetà immobbli residenzjali; u tinkludi l-akkomodazzjoni soċjali. Id-definizzjonijiet f’dan ir-Regolament huma allinjati ma’ dawk rakkomandati mill-BERS fl-2019.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(6)</w:t>
            </w:r>
            <w:r>
              <w:tab/>
            </w:r>
            <w:r>
              <w:t>F’din l-istess Rakkomandazzjoni tal-2019, il-BERS iddefinixxa l-proprjetà immobbli kummerċjali fiżika bħala kwalunkwe proprjetà immobbli li tipproduċi introjtu, eżistenti jew li qed tiġi żviluppata, inkluża l-akkomodazzjoni għall-kiri; jew proprjetà immobbli użata mis-sidien tal-proprjetà għat-twettiq tan-negozju, l-għan jew l-attività tagħhom, eżistenti jew taħt kostruzzjoni; li mhijiex ikklassifikata bħala proprjetà immobbli residenzjali; u tinkludi l-akkomodazzjoni soċjali. Id-definizzjonijiet f’dan ir-Regolament huma allinjati ma’ dawk rakkomandati mill-BERS fl-2019</w:t>
            </w:r>
            <w:r>
              <w:rPr>
                <w:b/>
                <w:i/>
              </w:rPr>
              <w:t>, bl-eċċezzjoni tal-akkomodazzjoni soċjali li hija eskluża mill-proprjetà immobbli kummerċjali, bħal fir-Rakkomandazzjoni tal-BERS tal-2016 u allinjati mar-rapport tal-Eurostat “Commercial property price indicators: sources, methods and issues” (Indikaturi tal-prezzijiet tal-proprjetà kummerċjali:</w:t>
            </w:r>
            <w:r>
              <w:t xml:space="preserve"> </w:t>
            </w:r>
            <w:r>
              <w:rPr>
                <w:b/>
                <w:i/>
              </w:rPr>
              <w:t>sorsi, metodi u problemi)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rPr>
                <w:b/>
                <w:i/>
              </w:rPr>
              <w:t>Il-Kummissjoni (il-Eurostat) u l-istituti nazzjonali tal-istatistika (NSIs, national statistical institutes), f’kollaborazzjoni mill-qrib mal-BERS, ivvalutaw il-fattibbiltà tal-indikaturi</w:t>
            </w:r>
            <w:r>
              <w:t xml:space="preserve"> dwar il-proprjetà immobbli kummerċjali fiżika, jiġifieri l-indiċi tal-prezzijiet, l-indiċi tal-kiri, l-indiċi tar-rendiment tal-kiri, ir-rati ta’ spazju disponibbli u l-kostruzzjonijiet mibdija</w:t>
            </w:r>
            <w:r>
              <w:rPr>
                <w:b/>
                <w:i/>
              </w:rPr>
              <w:t>, rakkomandati mill-BERS</w:t>
            </w:r>
            <w:r>
              <w:t xml:space="preserve">. </w:t>
            </w:r>
            <w:r>
              <w:rPr>
                <w:b/>
                <w:i/>
              </w:rPr>
              <w:t>Il-fattibbiltà tal-produzzjoni tal-indiċi tal-prezzijiet, l-indiċi tal-kiri, il-kostruzzjonijiet mibdija u t-tlestija tax-xogħol ġiet ikkonfermata.</w:t>
            </w:r>
            <w:r>
              <w:t xml:space="preserve"> </w:t>
            </w:r>
            <w:r>
              <w:rPr>
                <w:b/>
                <w:i/>
              </w:rPr>
              <w:t>Minħabba d-disponibbiltà limitata tas-sorsi tad-data u l-kwalità insuffiċjenti, l-indikaturi dwar l-indiċijiet tar-rendiment tal-kiri u r-rati ta’ spazju disponibbli ma jistgħux jiġu inklużi f’dan ir-Regolament u jenħtieġ li jkomplu jiġu żviluppati.</w:t>
            </w:r>
            <w:r>
              <w:t xml:space="preserve"> </w:t>
            </w:r>
            <w:r>
              <w:rPr>
                <w:b/>
                <w:i/>
              </w:rPr>
              <w:t>Fl-istess ħin,</w:t>
            </w:r>
            <w:r>
              <w:t xml:space="preserve"> ġie miżjud indikatur importanti addizzjonali dwar il-valur tat-tranżazzjonijiet tal-proprjetà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rPr>
                <w:b/>
                <w:i/>
              </w:rPr>
              <w:t>F’konformità mar-rakkomandazzjoni tal-BERS tal-2019, jenħtieġ li jinġabru l-indikaturi</w:t>
            </w:r>
            <w:r>
              <w:t xml:space="preserve"> dwar il-proprjetà immobbli kummerċjali fiżika, jiġifieri l-indiċi tal-prezzijiet, l-indiċi tal-kiri, l-indiċi tar-rendiment tal-kiri, ir-rati ta’ spazju disponibbli u l-kostruzzjonijiet mibdija. Ġie miżjud indikatur importanti addizzjonali dwar il-valur tat-tranżazzjonijiet tal-proprjetà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Peress li l-indiċi tar-rendiment tal-kiri u l-indikaturi tar-rati ta’ spazju disponibbli kienu diġà inklużi fir-rakkomandazzjoni tal-BERS tal-2016, flimkien mal-indikaturi l-oħra, dawn għandhom jintalbu minn meta jidħol fis-seħħ dan ir-Regolament.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tax-xogħol</w:t>
            </w:r>
            <w:r>
              <w:t xml:space="preserve"> ġiet ikkonfermata. Minħabba d-disponibbiltà limitata tas-sorsi tad-data u l-kwalità insuffiċjenti, l-indikaturi dwar l-indiċijiet tar-rendiment tal-kiri u r-rati ta’ spazju disponibbli ma jistgħux jiġu inklużi f’dan ir-Regolament </w:t>
            </w:r>
            <w:r>
              <w:rPr>
                <w:b/>
                <w:i/>
              </w:rPr>
              <w:t>u jenħtieġ li jkomplu jiġu żviluppati</w:t>
            </w:r>
            <w:r>
              <w:t>. Fl-istess ħin, ġie miżjud indikatur importanti addizzjonali dwar il-valur tat-tranżazzjonijiet tal-proprjetà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tax-xogħlijiet ta’ kostruzzjoni</w:t>
            </w:r>
            <w:r>
              <w:t xml:space="preserve"> ġiet ikkonfermata. Minħabba d-disponibbiltà limitata tas-sorsi tad-data u l-kwalità insuffiċjenti, l-indikaturi dwar l-indiċijiet tar-rendiment tal-kiri u r-rati ta’ spazju disponibbli ma jistgħux jiġu inklużi f’dan ir-Regolament. Fl-istess ħin, ġie miżjud indikatur importanti addizzjonali dwar il-valur tat-tranżazzjonijiet tal-proprjetà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tax-xogħol</w:t>
            </w:r>
            <w:r>
              <w:t xml:space="preserve"> ġiet ikkonfermata. Minħabba d-disponibbiltà limitata tas-sorsi tad-data u l-kwalità insuffiċjenti, l-indikaturi dwar l-indiċijiet tar-rendiment tal-kiri u r-rati ta’ spazju disponibbli ma jistgħux jiġu inklużi f’dan ir-Regolament </w:t>
            </w:r>
            <w:r>
              <w:rPr>
                <w:b/>
                <w:i/>
              </w:rPr>
              <w:t>u jenħtieġ li jkomplu jiġu żviluppati</w:t>
            </w:r>
            <w:r>
              <w:t>. Fl-istess ħin, ġie miżjud indikatur importanti addizzjonali dwar il-valur tat-tranżazzjonijiet tal-proprjetà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tax-xogħlijiet ta’ kostruzzjoni</w:t>
            </w:r>
            <w:r>
              <w:t xml:space="preserve"> ġiet ikkonfermata. Minħabba d-disponibbiltà limitata tas-sorsi tad-data u l-kwalità insuffiċjenti, l-indikaturi dwar l-indiċijiet tar-rendiment tal-kiri u r-rati ta’ spazju disponibbli ma jistgħux jiġu inklużi f’dan ir-Regolament. Fl-istess ħin, ġie miżjud indikatur importanti addizzjonali dwar il-valur tat-tranżazzjonijiet tal-proprjetà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tax-xogħol</w:t>
            </w:r>
            <w:r>
              <w:t xml:space="preserve"> ġiet ikkonfermata. Minħabba d-disponibbiltà limitata tas-sorsi tad-data u l-kwalità insuffiċjenti, l-indikaturi dwar l-indiċijiet tar-rendiment tal-kiri u r-rati ta’ spazju disponibbli ma jistgħux jiġu inklużi f’dan ir-Regolament u jenħtieġ li jkomplu jiġu żviluppati. Fl-istess ħin, ġie miżjud indikatur importanti addizzjonali dwar il-valur tat-tranżazzjonijiet tal-proprjetà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(7)</w:t>
            </w:r>
            <w:r>
              <w:tab/>
            </w:r>
            <w:r>
              <w:t xml:space="preserve">Il-Kummissjoni (il-Eurostat) u l-istituti nazzjonali tal-istatistika (NSIs, national statistical institutes), f’kollaborazzjoni mill-qrib mal-BERS, ivvalutaw il-fattibbiltà tal-indikaturi dwar il-proprjetà immobbli kummerċjali fiżika, jiġifieri l-indiċi tal-prezzijiet, l-indiċi tal-kiri, l-indiċi tar-rendiment tal-kiri, ir-rati ta’ spazju disponibbli u l-kostruzzjonijiet mibdija, rakkomandati mill-BERS. Il-fattibbiltà tal-produzzjoni tal-indiċi tal-prezzijiet, l-indiċi tal-kiri, il-kostruzzjonijiet mibdija u t-tlestija </w:t>
            </w:r>
            <w:r>
              <w:rPr>
                <w:b/>
                <w:i/>
              </w:rPr>
              <w:t>tax-xogħlijiet ta’ kostruzzjoni</w:t>
            </w:r>
            <w:r>
              <w:t xml:space="preserve"> ġiet ikkonfermata </w:t>
            </w:r>
            <w:r>
              <w:rPr>
                <w:b/>
                <w:i/>
              </w:rPr>
              <w:t>għal xi Stati Membri</w:t>
            </w:r>
            <w:r>
              <w:t>. Minħabba d-disponibbiltà limitata tas-sorsi tad-data u l-kwalità insuffiċjenti, l-indikaturi dwar l-indiċijiet tar-rendiment tal-kiri u r-rati ta’ spazju disponibbli ma jistgħux jiġu inklużi f’dan ir-Regolament u jenħtieġ li jkomplu jiġu żviluppati. Fl-istess ħin, ġie miżjud indikatur importanti addizzjonali dwar il-valur tat-tranżazzjonijiet tal-proprjetà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(10)</w:t>
            </w:r>
            <w:r>
              <w:tab/>
            </w:r>
            <w:r>
              <w:rPr>
                <w:b/>
                <w:i/>
              </w:rPr>
              <w:t>L-NSIs u l-Kummissjoni (il-Eurostat) jenħtieġ li jkunu intitolati wkoll li jaċċessaw u jużaw sorsi ġodda ta’ data, inkluża data miżmuma privatament, għal finijiet ta’ statistika, f’konformità mal-Artikolu 17b tar-Regolament (KE) Nru 223/2009, kif emendat bir-Regolament (UE) 2024/3018.</w:t>
            </w:r>
            <w:r>
              <w:t xml:space="preserve"> </w:t>
            </w:r>
            <w:r>
              <w:rPr>
                <w:b/>
                <w:i/>
              </w:rPr>
              <w:t>Fuq talba, detentur tad-data privat jenħtieġ li jagħmel id-data u l-metadata rilevanti disponibbli mingħajr ħlas għall-NSIs jew għall-Kummissjoni (il-Eurostat) meta d-data mitluba tkun strettament meħtieġa għall-iżvilupp, il-produzzjoni u d-disseminazzjoni tal-istatistika Ewropea dwar il-proprjetà immobbli kummerċjali mhux finanzjarja u ma tistax tinkiseb b’mezzi oħra jew l-użu mill-ġdid tagħha se jirriżulta fi tnaqqis konsiderevoli fl-oneru tar-risposta fuq id-detenturi tad-data u negozji oħra.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(10)</w:t>
            </w:r>
            <w:r>
              <w:tab/>
            </w:r>
            <w:r>
              <w:t>L-NSIs u l-Kummissjoni (il-Eurostat) jenħtieġ li jkunu intitolati wkoll li jaċċessaw u jużaw sorsi ġodda ta’ data, inkluża data miżmuma privatament, għal finijiet ta’ statistika, f’konformità mal-Artikolu 17b tar-Regolament (KE) Nru 223/2009, kif emendat bir-Regolament (UE) 2024/3018. Fuq talba, detentur tad-data privat jenħtieġ li jagħmel id-data u l-metadata rilevanti disponibbli mingħajr ħlas għall-NSIs jew għall-Kummissjoni (il-Eurostat) meta d-data mitluba tkun strettament meħtieġa għall-iżvilupp, il-produzzjoni u d-disseminazzjoni tal-istatistika Ewropea dwar il-proprjetà immobbli kummerċjali mhux finanzjarja u ma tistax tinkiseb b’mezzi oħra jew l-użu mill-ġdid tagħha se jirriżulta fi tnaqqis konsiderevoli fl-oneru tar-risposta fuq id-detenturi tad-data u negozji oħra.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(10)</w:t>
            </w:r>
            <w:r>
              <w:tab/>
            </w:r>
            <w:r>
              <w:t xml:space="preserve">L-NSIs u l-Kummissjoni (il-Eurostat) jenħtieġ li jkunu intitolati wkoll li jaċċessaw u jużaw sorsi ġodda ta’ data, inkluża data miżmuma privatament, għal finijiet ta’ statistika, f’konformità mal-Artikolu 17b tar-Regolament (KE) Nru 223/2009, kif emendat bir-Regolament (UE) 2024/3018. Fuq talba, detentur tad-data privat jenħtieġ li jagħmel id-data u l-metadata rilevanti disponibbli mingħajr ħlas għall-NSIs jew għall-Kummissjoni (il-Eurostat) meta d-data mitluba tkun strettament meħtieġa għall-iżvilupp, il-produzzjoni u d-disseminazzjoni tal-istatistika Ewropea dwar il-proprjetà immobbli kummerċjali mhux finanzjarja u ma tistax tinkiseb b’mezzi oħra jew l-użu mill-ġdid tagħha se jirriżulta fi tnaqqis konsiderevoli fl-oneru tar-risposta fuq id-detenturi tad-data u negozji oħra. </w:t>
            </w:r>
            <w:r>
              <w:rPr>
                <w:b/>
                <w:i/>
              </w:rPr>
              <w:t>Meta jeżerċitaw id-dritt tagħhom li jitolbu d-data mingħand detenturi privati tad-data, jenħtieġ li l-uffiċċji nazzjonali tal-istatistika u l-Kummissjoni jiżguraw li l-kumpaniji u l-assoċjazzjonijiet ma jkunux soġġetti għal piż ekonomiku eċċessiv.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(10)</w:t>
            </w:r>
            <w:r>
              <w:tab/>
            </w:r>
            <w:r>
              <w:t>L-NSIs u l-Kummissjoni (il-Eurostat) jenħtieġ li jkunu intitolati wkoll li jaċċessaw u jużaw sorsi ġodda ta’ data, inkluża data miżmuma privatament, għal finijiet ta’ statistika, f’konformità mal-Artikolu 17b tar-Regolament (KE) Nru 223/2009, kif emendat bir-Regolament (UE) 2024/3018. Fuq talba, detentur tad-data privat jenħtieġ li jagħmel id-data u l-metadata rilevanti disponibbli mingħajr ħlas għall-NSIs jew għall-Kummissjoni (il-Eurostat) meta d-data mitluba tkun strettament meħtieġa għall-iżvilupp, il-produzzjoni u d-disseminazzjoni tal-istatistika Ewropea dwar il-proprjetà immobbli kummerċjali mhux finanzjarja u ma tistax tinkiseb b’mezzi oħra jew l-użu mill-ġdid tagħha se jirriżulta fi tnaqqis konsiderevoli fl-oneru tar-risposta fuq id-detenturi tad-data u negozji oħra.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(10)</w:t>
            </w:r>
            <w:r>
              <w:tab/>
            </w:r>
            <w:r>
              <w:t xml:space="preserve">L-NSIs u l-Kummissjoni (il-Eurostat) jenħtieġ li jkunu intitolati wkoll li jaċċessaw u jużaw sorsi ġodda ta’ data, inkluża data miżmuma privatament, għal finijiet ta’ statistika, f’konformità mal-Artikolu 17b tar-Regolament (KE) Nru 223/2009, kif emendat bir-Regolament (UE) 2024/3018. Fuq talba, detentur tad-data privat jenħtieġ li jagħmel id-data u l-metadata rilevanti disponibbli mingħajr ħlas għall-NSIs jew għall-Kummissjoni (il-Eurostat) meta d-data mitluba tkun strettament meħtieġa għall-iżvilupp, il-produzzjoni u d-disseminazzjoni tal-istatistika Ewropea dwar il-proprjetà immobbli kummerċjali mhux finanzjarja u ma tistax tinkiseb b’mezzi oħra jew l-użu mill-ġdid tagħha se jirriżulta fi tnaqqis konsiderevoli fl-oneru tar-risposta fuq id-detenturi tad-data u negozji oħra. </w:t>
            </w:r>
            <w:r>
              <w:rPr>
                <w:b/>
                <w:i/>
              </w:rPr>
              <w:t>Id-dritt tal-uffiċċji nazzjonali tal-istatistika u tal-Kummissjoni li jitolbu d-data minn detenturi privati tad-data jenħtieġ li ma jwassalx għal piż ekonomiku sproporzjonat fuq in-negozji jew l-assoċjazzjonijiet.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(16)</w:t>
            </w:r>
            <w:r>
              <w:tab/>
            </w:r>
            <w:r>
              <w:rPr>
                <w:b/>
                <w:i/>
              </w:rPr>
              <w:t>Sabiex jitqiesu l-iżviluppi ekonomiċi u tekniċi, jenħtieġ li l-Kummissjoni tingħata s-setgħa li tadotta atti f’konformita mal-Artikolu 290 tat-Trattat dwar il-Funzjonament tal-Unjoni Ewropea sabiex temenda l-lista ta’ varjabbli stabbiliti fl-Anness I.</w:t>
            </w:r>
            <w:r>
              <w:t xml:space="preserve"> </w:t>
            </w:r>
            <w:r>
              <w:rPr>
                <w:b/>
                <w:i/>
              </w:rPr>
              <w:t>Hu partikolarment importanti li matul il-ħidma tagħha ta’ tħejjija l-Kummissjoni twettaq konsultazzjonijiet xierqa, inkluż fil-livell espert, u li dawk il-konsultazzjonijiet isiru f’konformità mal-prinċipji stabbiliti fil-Ftehim Interistituzzjonali tat-13 ta’ April 2016 dwar it-Tfassil Aħjar tal-Liġijiet (</w:t>
            </w:r>
            <w:r>
              <w:rPr>
                <w:b/>
                <w:i/>
                <w:vertAlign w:val="superscript"/>
              </w:rPr>
              <w:t>8</w:t>
            </w:r>
            <w:r>
              <w:rPr>
                <w:b/>
                <w:i/>
              </w:rPr>
              <w:t>).</w:t>
            </w:r>
            <w:r>
              <w:t xml:space="preserve"> </w:t>
            </w:r>
            <w:r>
              <w:rPr>
                <w:b/>
                <w:i/>
              </w:rPr>
              <w:t>B’mod partikolari, biex tiġi żgurata parteċipazzjoni ugwali fit-tħejjija ta’ atti delegati, il-Parlament Ewropew u l-Kunsill jirċievu d-dokumenti kollha fl-istess ħin li jirċevuhom l-esperti tal-Istati Membri, u l-esperti tagħhom ikollhom aċċess sistematiku għal-laqgħat tal-gruppi tal-esperti tal-Kummissjoni li jitrattaw it-tħejjija ta’ atti delegati.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</w:t>
            </w:r>
            <w:r>
              <w:t xml:space="preserve"> </w:t>
            </w:r>
            <w:r>
              <w:rPr>
                <w:b/>
                <w:i/>
              </w:rPr>
              <w:t>ĠU L 123, 12.5.2016, p.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(16)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jitqiesu l-iżviluppi ekonomiċi u tekniċi</w:t>
            </w:r>
            <w:r>
              <w:t xml:space="preserve">, jenħtieġ li </w:t>
            </w:r>
            <w:r>
              <w:rPr>
                <w:b/>
                <w:i/>
              </w:rPr>
              <w:t>l-Kummissjoni tingħata s-setgħa li tadotta atti f’konformita mal-Artikolu 290 tat-Trattat dwar il-Funzjonament tal-Unjoni Ewropea sabiex temenda l-lista ta’ varjabbli stabbiliti fl-Anness I</w:t>
            </w:r>
            <w:r>
              <w:t xml:space="preserve">. </w:t>
            </w:r>
            <w:r>
              <w:rPr>
                <w:b/>
                <w:i/>
              </w:rPr>
              <w:t>Hu partikolarment importanti li matul il-ħidma tagħha ta’ tħejjija l-Kummissjoni twettaq konsultazzjonijiet xierqa, inkluż fil-livell espert, u li dawk il-konsultazzjonijiet isiru f’konformità mal-prinċipji stabbiliti fil-Ftehim Interistituzzjonali tat-13 ta’ April 2016 dwar it-Tfassil Aħjar tal-Liġijiet (</w:t>
            </w:r>
            <w:r>
              <w:rPr>
                <w:b/>
                <w:i/>
                <w:vertAlign w:val="superscript"/>
              </w:rPr>
              <w:t>8</w:t>
            </w:r>
            <w:r>
              <w:rPr>
                <w:b/>
                <w:i/>
              </w:rPr>
              <w:t>).</w:t>
            </w:r>
            <w:r>
              <w:t xml:space="preserve"> </w:t>
            </w:r>
            <w:r>
              <w:rPr>
                <w:b/>
                <w:i/>
              </w:rPr>
              <w:t>B’mod partikolari, biex tiġi żgurata parteċipazzjoni ugwali fit-tħejjija ta’ atti delegati, il-Parlament Ewropew u l-Kunsill jirċievu d-dokumenti kollha fl-istess ħin li jirċevuhom l-esperti tal-Istati Membri, u l-esperti tagħhom ikollhom aċċess sistematiku għal-laqgħat tal-gruppi tal-esperti tal-Kummissjoni li jitrattaw it-tħejjija ta’ atti delegati.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(16)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jiġi żgurat qafas regolatorju stabbli u trasparenti għar-rekwiżiti statistiċi previsti f’dan ir-Regolament</w:t>
            </w:r>
            <w:r>
              <w:t xml:space="preserve">, </w:t>
            </w:r>
            <w:r>
              <w:rPr>
                <w:b/>
                <w:i/>
              </w:rPr>
              <w:t>l-adattamenti tal-varjabbli elenkati fl-Anness I jistgħu jsiru biss billi dan ir-Regolament jiġi emendat skont il-proċedura leġiżlattiva ordinarja.</w:t>
            </w:r>
            <w:r>
              <w:t xml:space="preserve"> </w:t>
            </w:r>
            <w:r>
              <w:rPr>
                <w:b/>
                <w:i/>
              </w:rPr>
              <w:t>L-atti ta’ implimentazzjoni</w:t>
            </w:r>
            <w:r>
              <w:t xml:space="preserve"> jenħtieġ li </w:t>
            </w:r>
            <w:r>
              <w:rPr>
                <w:b/>
                <w:i/>
              </w:rPr>
              <w:t>jittrattaw biss dettalji tekniċi li ma jagħtux lok għal obbligi ta’ rapportar ġodda jew addizzjonali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</w:t>
            </w:r>
            <w:r>
              <w:t xml:space="preserve"> </w:t>
            </w:r>
            <w:r>
              <w:rPr>
                <w:b/>
                <w:i/>
              </w:rPr>
              <w:t>ĠU L 123, 12.5.2016, p.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(16)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jitqiesu l-iżviluppi ekonomiċi u tekniċi</w:t>
            </w:r>
            <w:r>
              <w:t xml:space="preserve">, jenħtieġ li </w:t>
            </w:r>
            <w:r>
              <w:rPr>
                <w:b/>
                <w:i/>
              </w:rPr>
              <w:t>l-Kummissjoni tingħata s-setgħa li tadotta atti f’konformita mal-Artikolu 290 tat-Trattat dwar il-Funzjonament tal-Unjoni Ewropea sabiex temenda l-lista ta’ varjabbli stabbiliti fl-Anness I</w:t>
            </w:r>
            <w:r>
              <w:t xml:space="preserve">. </w:t>
            </w:r>
            <w:r>
              <w:rPr>
                <w:b/>
                <w:i/>
              </w:rPr>
              <w:t>Hu partikolarment importanti li matul il-ħidma tagħha ta’ tħejjija l-Kummissjoni twettaq konsultazzjonijiet xierqa, inkluż fil-livell espert, u li dawk il-konsultazzjonijiet isiru f’konformità mal-prinċipji stabbiliti fil-Ftehim Interistituzzjonali tat-13 ta’ April 2016 dwar it-Tfassil Aħjar tal-Liġijiet (</w:t>
            </w:r>
            <w:r>
              <w:rPr>
                <w:b/>
                <w:i/>
                <w:vertAlign w:val="superscript"/>
              </w:rPr>
              <w:t>8</w:t>
            </w:r>
            <w:r>
              <w:rPr>
                <w:b/>
                <w:i/>
              </w:rPr>
              <w:t>).</w:t>
            </w:r>
            <w:r>
              <w:t xml:space="preserve"> </w:t>
            </w:r>
            <w:r>
              <w:rPr>
                <w:b/>
                <w:i/>
              </w:rPr>
              <w:t>B’mod partikolari, biex tiġi żgurata parteċipazzjoni ugwali fit-tħejjija ta’ atti delegati, il-Parlament Ewropew u l-Kunsill jirċievu d-dokumenti kollha fl-istess ħin li jirċevuhom l-esperti tal-Istati Membri, u l-esperti tagħhom ikollhom aċċess sistematiku għal-laqgħat tal-gruppi tal-esperti tal-Kummissjoni li jitrattaw it-tħejjija ta’ atti delegati.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(16)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jiġi żgurat li r-rekwiżiti statistiċi previsti f’dan ir-Regolament ikunu bbażati fuq qafas regolatorju stabbli u trasparenti</w:t>
            </w:r>
            <w:r>
              <w:t xml:space="preserve">, </w:t>
            </w:r>
            <w:r>
              <w:rPr>
                <w:b/>
                <w:i/>
              </w:rPr>
              <w:t>il-varjabbli elenkati fl-Anness I jistgħu jiġu adattati biss permezz ta’ emenda ta’ dan ir-Regolament skont il-proċedura leġiżlattiva ordinarja.</w:t>
            </w:r>
            <w:r>
              <w:t xml:space="preserve"> </w:t>
            </w:r>
            <w:r>
              <w:rPr>
                <w:b/>
                <w:i/>
              </w:rPr>
              <w:t>L-atti ta’ implimentazzjoni</w:t>
            </w:r>
            <w:r>
              <w:t xml:space="preserve"> jenħtieġ li </w:t>
            </w:r>
            <w:r>
              <w:rPr>
                <w:b/>
                <w:i/>
              </w:rPr>
              <w:t>jikkonċernaw esklużivament dettalji tekniċi li ma jinvolvux obbligi ta’ rapportar ġodda jew addizzjonali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</w:t>
            </w:r>
            <w:r>
              <w:t xml:space="preserve"> </w:t>
            </w:r>
            <w:r>
              <w:rPr>
                <w:b/>
                <w:i/>
              </w:rPr>
              <w:t>ĠU L 123, 12.5.2016, p.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(17)</w:t>
            </w:r>
            <w:r>
              <w:tab/>
            </w:r>
            <w:r>
              <w:rPr>
                <w:b/>
                <w:i/>
              </w:rPr>
              <w:t>Sabiex jiġu żgurati kundizzjonijiet uniformi għall-implimentazzjoni ta’ dan ir-Regolament fir-rigward tad-dettalji tal-varjabbli kif ukoll il-format, il-miżuri ta’ sigurtà u kunfidenzjalità u l-proċedura għall-iskambju ta’ data kunfidenzjali, l-arranġamenti prattiċi għat-trażmissjoni, il-kontenut u l-iskadenzi għat-trażmissjoni tar-rapporti dwar il-kwalità u l-metadata, l-istandards għat-trażmissjoni tad-data u tal-metadata, u d-derogi mir-rekwiżiti ta’ dan ir-Regolament jew mill-atti ta’ implimentazzjoni adottati skont dan, jenħtieġ li l-Kummissjoni tingħata setgħat ta’ implimentazzjoni.</w:t>
            </w:r>
            <w:r>
              <w:t xml:space="preserve"> </w:t>
            </w:r>
            <w:r>
              <w:rPr>
                <w:b/>
                <w:i/>
              </w:rPr>
              <w:t>Jenħtieġ li dawk is-setgħat jiġu eżerċitati f’konformità mar-Regolament (UE) Nru 182/2011 tal-Parlament Ewropew u tal-Kunsill (</w:t>
            </w:r>
            <w:r>
              <w:rPr>
                <w:b/>
                <w:i/>
                <w:vertAlign w:val="superscript"/>
              </w:rPr>
              <w:t>9</w:t>
            </w:r>
            <w:r>
              <w:rPr>
                <w:b/>
                <w:i/>
              </w:rPr>
              <w:t>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9</w:t>
            </w:r>
            <w:r>
              <w:t xml:space="preserve"> </w:t>
            </w:r>
            <w:r>
              <w:rPr>
                <w:b/>
                <w:i/>
              </w:rPr>
              <w:t>ĠU L 55, 28.2.2011, p. 13.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(17)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jiġu</w:t>
            </w:r>
            <w:r>
              <w:t xml:space="preserve"> żgurati </w:t>
            </w:r>
            <w:r>
              <w:rPr>
                <w:b/>
                <w:i/>
              </w:rPr>
              <w:t>kundizzjonijiet</w:t>
            </w:r>
            <w:r>
              <w:t xml:space="preserve"> uniformi għall-implimentazzjoni ta’ dan ir-Regolament </w:t>
            </w:r>
            <w:r>
              <w:rPr>
                <w:b/>
                <w:i/>
              </w:rPr>
              <w:t>fir-rigward tad-dettalji tal-varjabbli kif ukoll il-format, il-miżuri ta’ sigurtà u kunfidenzjalità u l-proċedura għall-iskambju ta’ data kunfidenzjali,</w:t>
            </w:r>
            <w:r>
              <w:t xml:space="preserve"> l-arranġamenti prattiċi </w:t>
            </w:r>
            <w:r>
              <w:rPr>
                <w:b/>
                <w:i/>
              </w:rPr>
              <w:t>għat-trażmissjoni, il-kontenut u l-iskadenzi għat-trażmissjoni tar-rapporti dwar il-kwalità u l-metadata, l-istandards għat-trażmissjoni tad-data u tal-metadata, u d-derogi</w:t>
            </w:r>
            <w:r>
              <w:t xml:space="preserve"> mir-rekwiżiti ta’ dan ir-Regolament </w:t>
            </w:r>
            <w:r>
              <w:rPr>
                <w:b/>
                <w:i/>
              </w:rPr>
              <w:t>jew mill-atti ta’ implimentazzjoni adottati skont dan,</w:t>
            </w:r>
            <w:r>
              <w:t xml:space="preserve"> jenħtieġ li </w:t>
            </w:r>
            <w:r>
              <w:rPr>
                <w:b/>
                <w:i/>
              </w:rPr>
              <w:t>l-Kummissjoni tingħata setgħat ta’ implimentazzjoni</w:t>
            </w:r>
            <w:r>
              <w:t xml:space="preserve">. Jenħtieġ li dawk is-setgħat </w:t>
            </w:r>
            <w:r>
              <w:rPr>
                <w:b/>
                <w:i/>
              </w:rPr>
              <w:t>jiġu</w:t>
            </w:r>
            <w:r>
              <w:t xml:space="preserve"> eżerċitati f’konformità mar-Regolament (UE) Nru 182/2011 tal-Parlament Ewropew u tal-Kunsill </w:t>
            </w:r>
            <w:r>
              <w:rPr>
                <w:b/>
                <w:i/>
              </w:rPr>
              <w:t>(</w:t>
            </w:r>
            <w:r>
              <w:rPr>
                <w:vertAlign w:val="superscript"/>
              </w:rPr>
              <w:t>9</w:t>
            </w:r>
            <w:r>
              <w:rPr>
                <w:b/>
                <w:i/>
              </w:rPr>
              <w:t>)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(17)</w:t>
            </w:r>
            <w:r>
              <w:tab/>
            </w:r>
            <w:r>
              <w:t xml:space="preserve">Sabiex </w:t>
            </w:r>
            <w:r>
              <w:rPr>
                <w:b/>
                <w:i/>
              </w:rPr>
              <w:t>ikunu</w:t>
            </w:r>
            <w:r>
              <w:t xml:space="preserve"> żgurati </w:t>
            </w:r>
            <w:r>
              <w:rPr>
                <w:b/>
                <w:i/>
              </w:rPr>
              <w:t>kondizzjonijiet</w:t>
            </w:r>
            <w:r>
              <w:t xml:space="preserve"> uniformi għall-implimentazzjoni ta’ dan ir-Regolament</w:t>
            </w:r>
            <w:r>
              <w:rPr>
                <w:b/>
                <w:i/>
              </w:rPr>
              <w:t>, jenħtieġ li jingħataw setgħat ta’ implimentazzjoni lill-Kummissjoni.</w:t>
            </w:r>
            <w:r>
              <w:t xml:space="preserve"> </w:t>
            </w:r>
            <w:r>
              <w:rPr>
                <w:b/>
                <w:i/>
              </w:rPr>
              <w:t>Dawk l-atti ta’ implimentazzjoni jenħtieġ li jkunu relatati esklużivament mad-dettalji tekniċi u</w:t>
            </w:r>
            <w:r>
              <w:t xml:space="preserve"> l-arranġamenti prattiċi </w:t>
            </w:r>
            <w:r>
              <w:rPr>
                <w:b/>
                <w:i/>
              </w:rPr>
              <w:t>meħtieġa għall-applikazzjoni ta’ dan ir-Regolament, bħall-istabbiliment tal-formati, il-proċeduri ta’ trażmissjoni tad-data, is-salvagwardji jew l-ispeċifikazzjonijiet tekniċi, inkluż l-istabbiliment ta’ eżenzjonijiet</w:t>
            </w:r>
            <w:r>
              <w:t xml:space="preserve"> mir-rekwiżiti ta’ dan ir-Regolament</w:t>
            </w:r>
            <w:r>
              <w:rPr>
                <w:b/>
                <w:i/>
              </w:rPr>
              <w:t>.</w:t>
            </w:r>
            <w:r>
              <w:t xml:space="preserve"> Jenħtieġ li </w:t>
            </w:r>
            <w:r>
              <w:rPr>
                <w:b/>
                <w:i/>
              </w:rPr>
              <w:t>ma jkunux jistgħu jiġġustifikaw obbligi ta’ rapportar ġodda jew estiżi għall-Istati Membri jew għall-fornituri tad-data</w:t>
            </w:r>
            <w:r>
              <w:t xml:space="preserve">. Jenħtieġ li dawk is-setgħat </w:t>
            </w:r>
            <w:r>
              <w:rPr>
                <w:b/>
                <w:i/>
              </w:rPr>
              <w:t>ikunu</w:t>
            </w:r>
            <w:r>
              <w:t xml:space="preserve"> eżerċitati f’konformità mar-Regolament (UE) Nru 182/2011 tal-Parlament Ewropew u tal-Kunsill</w:t>
            </w:r>
            <w:r>
              <w:rPr>
                <w:vertAlign w:val="superscript"/>
              </w:rPr>
              <w:t>9</w:t>
            </w:r>
            <w:r>
              <w:t>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9</w:t>
            </w:r>
            <w:r>
              <w:t xml:space="preserve"> </w:t>
            </w:r>
            <w:r>
              <w:t>ĠU L 55, 28.2.2011, p. 13.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9</w:t>
            </w:r>
            <w:r>
              <w:t xml:space="preserve"> </w:t>
            </w:r>
            <w:r>
              <w:t>ĠU L 55, 28.2.2011, p. 13.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(18)</w:t>
            </w:r>
            <w:r>
              <w:tab/>
            </w:r>
            <w:r>
              <w:rPr>
                <w:b/>
                <w:i/>
              </w:rPr>
              <w:t>Meta l-applikazzjoni ta’ dan ir-Regolament jew tal-atti ta’ implimentazzjoni adottati skontu jkunu jeħtieġu adattamenti kbar għal sistema nazzjonali tal-istatistika ta’ Stat Membru, l-Kummissjoni jenħtieġ li, f’każijiet debitament ġustifikati, tkun tista’ tagħti derogi lill-Istat Membru kkonċernat.</w:t>
            </w:r>
            <w:r>
              <w:t xml:space="preserve"> </w:t>
            </w:r>
            <w:r>
              <w:rPr>
                <w:b/>
                <w:i/>
              </w:rPr>
              <w:t>Tali derogi jenħtieġ li jkunu temporanji u jingħataw għal perjodu massimu ta’ 3 snin.</w:t>
            </w:r>
            <w:r>
              <w:t xml:space="preserve"> </w:t>
            </w:r>
            <w:r>
              <w:rPr>
                <w:b/>
                <w:i/>
              </w:rPr>
              <w:t>Il-Kummissjoni jenħtieġ li tipprovdi appoġġ lill-Istati Membri kkonċernati fl-isforzi tagħhom biex iwettqu l-adattamenti meħtieġa għas-sistemi statistiċi tagħhom, sabiex id-derogi jintemmu malajr kemm jista’ jkun.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(18)</w:t>
            </w:r>
            <w:r>
              <w:tab/>
            </w:r>
            <w:r>
              <w:t xml:space="preserve">Meta l-applikazzjoni ta’ dan ir-Regolament </w:t>
            </w:r>
            <w:r>
              <w:rPr>
                <w:b/>
                <w:i/>
              </w:rPr>
              <w:t>jew tal-atti ta’ implimentazzjoni adottati skontu jkunu jeħtieġu</w:t>
            </w:r>
            <w:r>
              <w:t xml:space="preserve"> adattamenti </w:t>
            </w:r>
            <w:r>
              <w:rPr>
                <w:b/>
                <w:i/>
              </w:rPr>
              <w:t>kbar għal sistema</w:t>
            </w:r>
            <w:r>
              <w:t xml:space="preserve"> nazzjonali tal-istatistika ta’ Stat Membru</w:t>
            </w:r>
            <w:r>
              <w:rPr>
                <w:b/>
                <w:i/>
              </w:rPr>
              <w:t>, l-Kummissjoni</w:t>
            </w:r>
            <w:r>
              <w:t xml:space="preserve"> jenħtieġ li, f’każijiet debitament ġustifikati, tkun tista’ tagħti derogi lill-Istat Membru kkonċernat. Tali derogi jenħtieġ li jkunu temporanji u jingħataw għal perjodu massimu ta’ </w:t>
            </w:r>
            <w:r>
              <w:rPr>
                <w:b/>
                <w:i/>
              </w:rPr>
              <w:t>3</w:t>
            </w:r>
            <w:r>
              <w:t xml:space="preserve"> snin. Il-Kummissjoni jenħtieġ li tipprovdi appoġġ lill-Istati Membri kkonċernati fl-isforzi tagħhom biex iwettqu l-adattamenti meħtieġa għas-sistemi statistiċi tagħhom, sabiex id-derogi jintemmu malajr kemm jista’ jkun.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(18)</w:t>
            </w:r>
            <w:r>
              <w:tab/>
            </w:r>
            <w:r>
              <w:t xml:space="preserve">Meta l-applikazzjoni ta’ dan ir-Regolament </w:t>
            </w:r>
            <w:r>
              <w:rPr>
                <w:b/>
                <w:i/>
              </w:rPr>
              <w:t>tkun teħtieġ</w:t>
            </w:r>
            <w:r>
              <w:t xml:space="preserve"> adattamenti </w:t>
            </w:r>
            <w:r>
              <w:rPr>
                <w:b/>
                <w:i/>
              </w:rPr>
              <w:t>estensivi għas-sistema</w:t>
            </w:r>
            <w:r>
              <w:t xml:space="preserve"> nazzjonali tal-istatistika ta’ Stat Membru </w:t>
            </w:r>
            <w:r>
              <w:rPr>
                <w:b/>
                <w:i/>
              </w:rPr>
              <w:t>– speċjalment f’każijiet fejn partijiet sinifikanti tal-proċeduri amministrattivi meħtieġa għall-ġbir tad-data jkunu għadhom ma ġewx diġitalizzati – il-Kummissjoni</w:t>
            </w:r>
            <w:r>
              <w:t xml:space="preserve"> jenħtieġ li, f’każijiet debitament ġustifikati, tkun tista’ tagħti derogi lill-Istat Membru kkonċernat. Tali derogi jenħtieġ li jkunu temporanji u jingħataw għal perjodu massimu ta’ </w:t>
            </w:r>
            <w:r>
              <w:rPr>
                <w:b/>
                <w:i/>
              </w:rPr>
              <w:t>ħames</w:t>
            </w:r>
            <w:r>
              <w:t xml:space="preserve"> snin. Il-Kummissjoni jenħtieġ li tipprovdi appoġġ lill-Istati Membri kkonċernati fl-isforzi tagħhom biex iwettqu l-adattamenti meħtieġa għas-sistemi statistiċi tagħhom, sabiex id-derogi jintemmu malajr kemm jista’ jkun.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Premessa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(18)</w:t>
            </w:r>
            <w:r>
              <w:tab/>
            </w:r>
            <w:r>
              <w:t xml:space="preserve">Meta l-applikazzjoni ta’ dan ir-Regolament </w:t>
            </w:r>
            <w:r>
              <w:rPr>
                <w:b/>
                <w:i/>
              </w:rPr>
              <w:t>jew tal-atti ta’ implimentazzjoni adottati skontu jkunu jeħtieġu</w:t>
            </w:r>
            <w:r>
              <w:t xml:space="preserve"> adattamenti </w:t>
            </w:r>
            <w:r>
              <w:rPr>
                <w:b/>
                <w:i/>
              </w:rPr>
              <w:t>kbar għal sistema</w:t>
            </w:r>
            <w:r>
              <w:t xml:space="preserve"> nazzjonali tal-istatistika ta’ Stat Membru, </w:t>
            </w:r>
            <w:r>
              <w:rPr>
                <w:b/>
                <w:i/>
              </w:rPr>
              <w:t>l-Kummissjoni</w:t>
            </w:r>
            <w:r>
              <w:t xml:space="preserve"> jenħtieġ li, f’każijiet debitament ġustifikati, tkun tista’ tagħti derogi lill-Istat Membru kkonċernat. Tali derogi jenħtieġ li jkunu temporanji u jingħataw għal perjodu massimu ta’ </w:t>
            </w:r>
            <w:r>
              <w:rPr>
                <w:b/>
                <w:i/>
              </w:rPr>
              <w:t>3</w:t>
            </w:r>
            <w:r>
              <w:t xml:space="preserve"> snin. Il-Kummissjoni jenħtieġ li tipprovdi appoġġ lill-Istati Membri kkonċernati fl-isforzi tagħhom biex iwettqu l-adattamenti meħtieġa għas-sistemi statistiċi tagħhom, sabiex id-derogi jintemmu malajr kemm jista’ jkun.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(18)</w:t>
            </w:r>
            <w:r>
              <w:tab/>
            </w:r>
            <w:r>
              <w:t xml:space="preserve">Meta l-applikazzjoni ta’ dan ir-Regolament </w:t>
            </w:r>
            <w:r>
              <w:rPr>
                <w:b/>
                <w:i/>
              </w:rPr>
              <w:t>tkun teħtieġ</w:t>
            </w:r>
            <w:r>
              <w:t xml:space="preserve"> adattamenti </w:t>
            </w:r>
            <w:r>
              <w:rPr>
                <w:b/>
                <w:i/>
              </w:rPr>
              <w:t>għas-sistema</w:t>
            </w:r>
            <w:r>
              <w:t xml:space="preserve"> nazzjonali tal-istatistika ta’ Stat Membru, </w:t>
            </w:r>
            <w:r>
              <w:rPr>
                <w:b/>
                <w:i/>
              </w:rPr>
              <w:t>il-Kummissjoni</w:t>
            </w:r>
            <w:r>
              <w:t xml:space="preserve"> jenħtieġ li, f’każijiet debitament ġustifikati, tkun tista’ tagħti derogi lill-Istat Membru kkonċernat. Tali derogi jenħtieġ li jkunu temporanji u jingħataw għal perjodu massimu ta’ </w:t>
            </w:r>
            <w:r>
              <w:rPr>
                <w:b/>
                <w:i/>
              </w:rPr>
              <w:t>ħames</w:t>
            </w:r>
            <w:r>
              <w:t xml:space="preserve"> snin. Il-Kummissjoni jenħtieġ li tipprovdi appoġġ lill-Istati Membri kkonċernati fl-isforzi tagħhom biex iwettqu l-adattamenti meħtieġa għas-sistemi statistiċi tagħhom, sabiex id-derogi jintemmu malajr kemm jista’ jkun.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 – paragrafu 1 – punt 2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akkomodazzjoni soċjali.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Il-proprjetà użata f’attivitajiet mhux tas-suq, bħall-akkomodazzjoni soċjali, ma għandiex tiġi inkluża fl-istatistika dwar il-proprjetà immobbli kummerċjali.</w:t>
      </w:r>
      <w:r>
        <w:t xml:space="preserve"> </w:t>
      </w:r>
      <w:r>
        <w:t>Dan huwa konformi mar-rapport tal-Eurostat dwar “Commercial property price indicators: sources, methods and issues”</w:t>
      </w:r>
      <w:r>
        <w:t xml:space="preserve"> </w:t>
      </w:r>
      <w:r>
        <w:t>(Indikaturi tal-prezzijiet tal-proprjetà kummerċjali: sorsi, metodi u problemi).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2 – paragrafu 1 – punt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(10)</w:t>
            </w:r>
            <w:r>
              <w:tab/>
            </w:r>
            <w:r>
              <w:rPr>
                <w:b/>
                <w:i/>
              </w:rPr>
              <w:t>“akkomodazzjoni soċjali” tfisser kwalunkwe proprjetà residenzjali li tiġi akkwistata, hija proprjetà jew ġestita minn persuna legali bl-għan primarju li tinkera lill-inkwilini, l-aktar lill-persuni żvantaġġati jew gruppi li jbatu minn żvantaġġ soċjali b’kirjiet aktar baxxi mir-rata tas-suq, f’konformità ma’ regoli speċifiċi, aktar milli mekkaniżmi tas-suq.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Għall-produzzjoni tal-istatistika meħtieġa skont dan ir-Regolament, l-Istati Membri għandhom </w:t>
            </w:r>
            <w:r>
              <w:rPr>
                <w:b/>
                <w:i/>
              </w:rPr>
              <w:t>jagħmlu ħilithom biex</w:t>
            </w:r>
            <w:r>
              <w:t xml:space="preserve"> jużaw id-data amministrattiva </w:t>
            </w:r>
            <w:r>
              <w:rPr>
                <w:b/>
                <w:i/>
              </w:rPr>
              <w:t>sal-massimu possibbli biex jitnaqqas l-oneru tar-risposta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Għall-produzzjoni tal-istatistika meħtieġa skont dan ir-Regolament, l-Istati Membri għandhom jużaw </w:t>
            </w:r>
            <w:r>
              <w:rPr>
                <w:b/>
                <w:i/>
              </w:rPr>
              <w:t>esklussivament</w:t>
            </w:r>
            <w:r>
              <w:t xml:space="preserve"> id-data amministrattiva </w:t>
            </w:r>
            <w:r>
              <w:rPr>
                <w:b/>
                <w:i/>
              </w:rPr>
              <w:t>eżistenti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Meta d-data amministrattiva ma tippermettix il-produzzjoni ta’ statistika li tissodisfa r-rekwiżiti tal-kwalità stabbiliti fl-Artikolu 6 ta’ dan ir-Regolament, l-Istati Membri jistgħu jużaw ukoll kwalunkwe sors tad-data rilevanti ieħor, inkluż stħarriġ u data minn detenturi privati tad-data, kif ukoll metodi jew approċċi innovattivi bbażati fuq ix-xjenza, dokumentati sew u disponibbli għall-pubbliku, filwaqt li jevitaw piż eċċessiv fuq ir-rispondenti.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3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Meta d-data amministrattiva ma tippermettix il-produzzjoni ta’ statistika li tissodisfa r-rekwiżiti tal-kwalità stabbiliti fl-Artikolu 6 ta’ dan ir-Regolament, l-Istati Membri jistgħu jużaw ukoll kwalunkwe sors tad-data rilevanti ieħor, inkluż stħarriġ u data minn detenturi privati tad-data, kif ukoll metodi jew approċċi innovattivi bbażati fuq ix-xjenza, dokumentati sew u disponibbli għall-pubbliku, filwaqt li jevitaw </w:t>
            </w:r>
            <w:r>
              <w:rPr>
                <w:b/>
                <w:i/>
              </w:rPr>
              <w:t>piż</w:t>
            </w:r>
            <w:r>
              <w:t xml:space="preserve"> eċċessiv </w:t>
            </w:r>
            <w:r>
              <w:rPr>
                <w:b/>
                <w:i/>
              </w:rPr>
              <w:t>fuq ir-rispondenti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Meta d-data amministrattiva ma tippermettix il-produzzjoni ta’ statistika li tissodisfa r-rekwiżiti tal-kwalità stabbiliti fl-Artikolu 6 ta’ dan ir-Regolament, l-Istati Membri jistgħu jużaw ukoll kwalunkwe sors tad-data rilevanti ieħor, inkluż stħarriġ u data minn detenturi privati tad-data, kif ukoll metodi jew approċċi innovattivi bbażati fuq ix-xjenza, dokumentati sew u disponibbli għall-pubbliku, filwaqt li jevitaw </w:t>
            </w:r>
            <w:r>
              <w:rPr>
                <w:b/>
                <w:i/>
              </w:rPr>
              <w:t>sforz</w:t>
            </w:r>
            <w:r>
              <w:t xml:space="preserve"> eċċessiv </w:t>
            </w:r>
            <w:r>
              <w:rPr>
                <w:b/>
                <w:i/>
              </w:rPr>
              <w:t>u piż ekonomiku sproporzjonati għar-rispondenti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4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L-informazzjoni meħtieġa għall-produzzjoni ta’ statistika mhux finanzjarja dwar il-proprjetà immobbli kummerċjali għandha tinkiseb minn unitajiet statistiċi kif stabbilit fir-Regolament tal-Kunsill (KEE) Nru 696/93, minn detenturi ta’ rekords amministrattivi, </w:t>
            </w:r>
            <w:r>
              <w:rPr>
                <w:b/>
                <w:i/>
              </w:rPr>
              <w:t>minn detenturi privati tad-data</w:t>
            </w:r>
            <w:r>
              <w:t xml:space="preserve"> jew minn sorsi oħra, dment li r-riżultati jikkonformaw mal-kriterji tal-kwalità stabbiliti fl-Artikolu 6 ta’ dan ir-Regolament.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L-informazzjoni meħtieġa għall-produzzjoni ta’ statistika mhux finanzjarja dwar il-proprjetà immobbli kummerċjali għandha tinkiseb minn unitajiet statistiċi kif stabbilit fir-Regolament tal-Kunsill (KEE) Nru 696/93, minn detenturi ta’ rekords amministrattivi, jew minn sorsi oħra, dment li r-riżultati jikkonformaw mal-kriterji tal-kwalità stabbiliti fl-Artikolu 6 ta’ dan ir-Regolament.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Jussi Saramo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f’isem il-Grupp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4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L-unitajiet statistiċi li jipprovdu informazzjoni dwar il-proprjetà immobbli kummerċjali għandhom jikkooperaw fil-ġbir jew l-għoti ta’ informazzjoni, kif meħtieġ. L-unitajiet statistiċi għandhom jipprovdu informazzjoni f’waqtha, preċiża u kompluta meħtieġa għall-produzzjoni tal-istatistika prevista f’dan ir-Regolament. L-unitajiet tal-istatistika għandhom jipprovdu din l-informazzjoni lill-awtoritajiet nazzjonali tal-istatistika responsabbli għall-kompilazzjoni tal-istatistika mhux finanzjarja dwar il-proprjetà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L-unitajiet statistiċi li jipprovdu informazzjoni dwar il-proprjetà immobbli kummerċjali għandhom jikkooperaw fil-ġbir jew l-għoti ta’ informazzjoni, kif meħtieġ. L-unitajiet statistiċi għandhom jipprovdu informazzjoni f’waqtha, preċiża u kompluta meħtieġa għall-produzzjoni tal-istatistika prevista f’dan ir-Regolament. L-unitajiet tal-istatistika għandhom jipprovdu din l-informazzjoni lill-awtoritajiet nazzjonali tal-istatistika responsabbli għall-kompilazzjoni tal-istatistika mhux finanzjarja dwar il-proprjetà immobbli kummerċjali. </w:t>
            </w:r>
            <w:r>
              <w:rPr>
                <w:b/>
                <w:i/>
              </w:rPr>
              <w:t>L-informazzjoni għandha tiġi pprovduta f’format elettroniku u li jinqara mill-magni.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Id-data għandha tiġi pprovduta f’format elettroniku u li jinqara mill-magni biex tiġi żgurata l-interoperabbiltà u jiġi ffaċilitat l-użu awtomatizzat.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Jussi Saramo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f’isem il-Grupp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4 – paragrafu 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Fuq talba tal-awtoritajiet nazzjonali tal-istatistika responsabbli għall-kompilazzjoni tal-istatistika mhux finanzjarja dwar il-proprjetà immobbli kummerċjali, l-unitajiet tal-istatistika għandhom jipprovdu, meta disponibbli, rekords elettroniċi tat-tranżazzjonijiet fil-livell ta’ dettall meħtieġ għall-produzzjoni ta’ statistika mhux finanzjarja dwar il-proprjetà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Fuq talba tal-awtoritajiet nazzjonali tal-istatistika responsabbli għall-kompilazzjoni tal-istatistika mhux finanzjarja dwar il-proprjetà immobbli kummerċjali, l-unitajiet tal-istatistika għandhom jipprovdu, meta disponibbli, rekords elettroniċi </w:t>
            </w:r>
            <w:r>
              <w:rPr>
                <w:b/>
                <w:i/>
              </w:rPr>
              <w:t>u li jinqraw mill-magni</w:t>
            </w:r>
            <w:r>
              <w:t xml:space="preserve"> tat-tranżazzjonijiet fil-livell ta’ dettall meħtieġ għall-produzzjoni ta’ statistika mhux finanzjarja dwar il-proprjetà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Id-data għandha tiġi pprovduta f’format li jinqara mill-magni (mhux sempliċiment “elettroniku”) biex tiġi żgurata l-interoperabbiltà u jiġi ffaċilitat l-użu awtomatizzat.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4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L-NSIs u awtoritajiet nazzjonali oħra tal-istatistika għandhom jitħallew jaċċessaw, jużaw u jintegraw, mingħajr ħlas, id-data u l-metadata rilevanti minn sorsi ta’ data amministrattiva, bażijiet ta’ data, sistemi ta’ interoperabbiltà jew kwalunkwe data rilevanti u meħtieġa, fil-ħin u bi frekwenza u granularità suffiċjenti għall-fini tal-iżvilupp</w:t>
            </w:r>
            <w:r>
              <w:rPr>
                <w:b/>
                <w:i/>
              </w:rPr>
              <w:t>, il-produzzjoni u t-tixrid</w:t>
            </w:r>
            <w:r>
              <w:t xml:space="preserve"> ta’ statistika Ewropea dwar proprjetà immobbli kummerċjali mhux finanzjarja, f’konformità mal-Artikolu 17a tar-Regolament (KE) Nru 223/2009. L-aċċess għal tali data u metadata mill-awtoritajiet nazzjonali tal-istatistika responsabbli għall-kompilazzjoni ta’ statistika mhux finanzjarja dwar il-proprjetà immobbli kummerċjali għandu jkun limitat għal rekords amministrattivi fis-sistemi amministrattivi pubbliċi rispettivi tagħhom stess.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L-NSIs u awtoritajiet nazzjonali oħra tal-istatistika għandhom jitħallew jaċċessaw, jużaw u jintegraw, mingħajr ħlas, id-data u l-metadata rilevanti minn sorsi ta’ data amministrattiva, bażijiet ta’ data, sistemi ta’ interoperabbiltà jew kwalunkwe data rilevanti u meħtieġa, fil-ħin u bi frekwenza u granularità suffiċjenti għall-fini tal-iżvilupp </w:t>
            </w:r>
            <w:r>
              <w:rPr>
                <w:b/>
                <w:i/>
              </w:rPr>
              <w:t>u l-produzzjoni</w:t>
            </w:r>
            <w:r>
              <w:t xml:space="preserve"> ta’ statistika Ewropea dwar proprjetà immobbli kummerċjali mhux finanzjarja, f’konformità mal-Artikolu 17a tar-Regolament (KE) Nru 223/2009. L-aċċess għal tali data u metadata mill-awtoritajiet nazzjonali tal-istatistika responsabbli għall-kompilazzjoni ta’ statistika mhux finanzjarja dwar il-proprjetà immobbli kummerċjali għandu jkun limitat għal rekords amministrattivi fis-sistemi amministrattivi pubbliċi rispettivi tagħhom stess.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4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5.</w:t>
            </w:r>
            <w:r>
              <w:tab/>
            </w:r>
            <w:r>
              <w:rPr>
                <w:b/>
                <w:i/>
              </w:rPr>
              <w:t>L-NSI jew il-Kummissjoni (il-Eurostat) jistgħu jitolbu lil detentur tad-data privata jagħmel id-data u l-metadata rilevanti disponibbli mingħajr ħlas, meta d-data mitluba tkun strettament meħtieġa għall-iżvilupp, il-produzzjoni u d-disseminazzjoni tal-istatistika Ewropea dwar il-proprjetà immobbli kummerċjali u ma tkunx tista’ tinkiseb b’mezzi oħra jew l-użu mill-ġdid tagħha jirriżulta fi tnaqqis konsiderevoli fl-oneru tar-risposta fuq id-detenturi tad-data u negozji oħra, f’konformità mal-Artikolu 17b tar-Regolament (KE) Nru 223/2009.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4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L-NSI</w:t>
            </w:r>
            <w:r>
              <w:t xml:space="preserve"> jew il-Kummissjoni (il-Eurostat) jistgħu jitolbu lil detentur tad-data privata jagħmel id-data u l-metadata rilevanti disponibbli mingħajr ħlas, meta d-data mitluba tkun strettament meħtieġa għall-iżvilupp</w:t>
            </w:r>
            <w:r>
              <w:rPr>
                <w:b/>
                <w:i/>
              </w:rPr>
              <w:t>, il-produzzjoni u d-disseminazzjoni</w:t>
            </w:r>
            <w:r>
              <w:t xml:space="preserve"> tal-istatistika Ewropea dwar il-proprjetà immobbli kummerċjali u ma tkunx tista’ tinkiseb b’mezzi oħra jew l-użu mill-ġdid tagħha jirriżulta fi tnaqqis konsiderevoli fl-oneru tar-risposta fuq id-detenturi tad-data u negozji oħra, f’konformità mal-Artikolu 17b tar-Regolament (KE) Nru 223/2009.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NSI</w:t>
            </w:r>
            <w:r>
              <w:t xml:space="preserve"> jew il-Kummissjoni (il-Eurostat) jistgħu jitolbu lil detentur tad-data privata jagħmel id-data u l-metadata rilevanti disponibbli mingħajr ħlas, meta d-data mitluba tkun strettament meħtieġa għall-iżvilupp </w:t>
            </w:r>
            <w:r>
              <w:rPr>
                <w:b/>
                <w:i/>
              </w:rPr>
              <w:t>u l-produzzjoni u</w:t>
            </w:r>
            <w:r>
              <w:t xml:space="preserve"> tal-istatistika Ewropea dwar il-proprjetà immobbli kummerċjali u ma tkunx tista’ tinkiseb b’mezzi oħra jew l-użu mill-ġdid tagħha jirriżulta fi tnaqqis konsiderevoli fl-oneru tar-risposta fuq id-detenturi tad-data u negozji oħra, f’konformità mal-Artikolu 17b tar-Regolament (KE) Nru 223/2009. </w:t>
            </w:r>
            <w:r>
              <w:rPr>
                <w:b/>
                <w:i/>
              </w:rPr>
              <w:t>Kwalunkwe trasferiment, pubblikazzjoni jew użu ieħor ta’ data u metadata riċevuti minn detenturi privati tad-data barra mill-mandat ta’ uffiċċju nazzjonali tal-istatistika (NSI) jew tal-Kummissjoni (Eurostat) għandu jirrikjedi l-kunsens espliċitu bil-miktub tad-detentur privat tad-data kkonċernat.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 4 – paragrafu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L-NSI</w:t>
            </w:r>
            <w:r>
              <w:t xml:space="preserve"> jew il-Kummissjoni (il-Eurostat) jistgħu jitolbu lil detentur tad-data privata jagħmel id-data u l-metadata rilevanti disponibbli mingħajr ħlas, meta d-data mitluba tkun strettament meħtieġa għall-iżvilupp, il-produzzjoni u d-disseminazzjoni tal-istatistika Ewropea dwar il-proprjetà immobbli kummerċjali u ma tkunx tista’ tinkiseb b’mezzi oħra jew l-użu mill-ġdid tagħha jirriżulta fi tnaqqis konsiderevoli fl-oneru tar-risposta fuq id-detenturi tad-data u negozji oħra, f’konformità mal-Artikolu 17b tar-Regolament (KE) Nru 223/2009.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NSI</w:t>
            </w:r>
            <w:r>
              <w:t xml:space="preserve"> jew il-Kummissjoni (il-Eurostat) jistgħu jitolbu lil detentur tad-data privata jagħmel id-data u l-metadata rilevanti disponibbli mingħajr ħlas, meta d-data mitluba tkun strettament meħtieġa għall-iżvilupp, il-produzzjoni u d-disseminazzjoni tal-istatistika Ewropea dwar il-proprjetà immobbli kummerċjali u ma tkunx tista’ tinkiseb b’mezzi oħra jew l-użu mill-ġdid tagħha jirriżulta fi tnaqqis konsiderevoli fl-oneru tar-risposta fuq id-detenturi tad-data u negozji oħra, f’konformità mal-Artikolu 17b tar-Regolament (KE) Nru 223/2009. </w:t>
            </w:r>
            <w:r>
              <w:rPr>
                <w:b/>
                <w:i/>
              </w:rPr>
              <w:t>Id-dritt tal-uffiċċji nazzjonali tal-istatistika u tal-Kummissjoni li jitolbu data minn detenturi privati tad-data ma għandux iwassal għal piż ekonomiku sproporzjonat fuq in-negozji jew l-assoċjazzjonijiet.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jikkompilaw u jittrażmettu lill-Kummissjoni (il-Eurostat) data rilevanti għal kull varjabbli msemmi fil-paragrafu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jikkompilaw u jittrażmettu lill-Kummissjoni (il-Eurostat) data rilevanti għal kull varjabbli msemmi fil-paragrafu 1. </w:t>
            </w:r>
            <w:r>
              <w:rPr>
                <w:b/>
                <w:i/>
              </w:rPr>
              <w:t>L-Istati Membri b’suq żgħir tal-proprjetà immobbli kummerċjali għandhom jikkompilaw din id-data fuq bażi annwali.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Irene Tinagli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jikkompilaw u jittrażmettu lill-Kummissjoni (il-Eurostat) data rilevanti għal kull varjabbli msemmi fil-paragrafu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L-Istati Membri għandhom jikkompilaw u jittrażmettu lill-Kummissjoni (il-Eurostat) data rilevanti għal kull varjabbli msemmi fil-paragrafu 1. </w:t>
            </w:r>
            <w:r>
              <w:rPr>
                <w:b/>
                <w:i/>
              </w:rPr>
              <w:t>Id-data għandha tiġi trażmessa fil-livell NUTS 3, meta disponibbli, u fi kwalunkwe każ fil-livell NUTS 2.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jikkompilaw u jittrażmettu lill-Kummissjoni (il-Eurostat) data rilevanti għal kull varjabbli msemmi fil-paragrafu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L-Istati Membri għandhom jikkompilaw u jittrażmettu lill-Kummissjoni (il-Eurostat)</w:t>
            </w:r>
            <w:r>
              <w:rPr>
                <w:b/>
                <w:i/>
              </w:rPr>
              <w:t>, minn tal-inqas fuq bażi trimestrali,</w:t>
            </w:r>
            <w:r>
              <w:t xml:space="preserve"> data rilevanti għal kull varjabbli msemmi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ab/>
            </w:r>
            <w:r>
              <w:t>L-Istati Membri għandhom jikkompilaw u jittrażmettu lill-Kummissjoni (il-Eurostat) data rilevanti għal kull varjabbli msemmi fil-paragrafu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(2)</w:t>
            </w:r>
            <w:r>
              <w:tab/>
            </w:r>
            <w:r>
              <w:t>L-Istati Membri għandhom jikkompilaw u jittrażmettu lill-Kummissjoni (il-Eurostat)</w:t>
            </w:r>
            <w:r>
              <w:rPr>
                <w:b/>
                <w:i/>
              </w:rPr>
              <w:t>, fuq bażi annwali,</w:t>
            </w:r>
            <w:r>
              <w:t xml:space="preserve"> data rilevanti għal kull varjabbli msemmi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tab/>
            </w:r>
            <w:r>
              <w:t>L-Istati Membri għandhom jikkompilaw u jittrażmettu lill-Kummissjoni (il-Eurostat) data rilevanti għal kull varjabbli msemmi fil-paragrafu 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(2)</w:t>
            </w:r>
            <w:r>
              <w:tab/>
            </w:r>
            <w:r>
              <w:t>L-Istati Membri għandhom jikkompilaw u jittrażmettu lill-Kummissjoni (il-Eurostat)</w:t>
            </w:r>
            <w:r>
              <w:rPr>
                <w:b/>
                <w:i/>
              </w:rPr>
              <w:t>, fuq bażi annwali,</w:t>
            </w:r>
            <w:r>
              <w:t xml:space="preserve"> data rilevanti għal kull varjabbli msemmi fil-paragrafu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ab/>
            </w:r>
            <w:r>
              <w:rPr>
                <w:b/>
                <w:i/>
              </w:rPr>
              <w:t>Il-Kummissjoni għandha s-setgħa li tadotta atti delegati f’konformità mal-Artikolu 9 sabiex temenda l-lista ta’ varjabbli stabbilita fl-Anness.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ab/>
            </w:r>
            <w:r>
              <w:rPr>
                <w:b/>
                <w:i/>
              </w:rPr>
              <w:t>Il-Kummissjoni għandha s-setgħa li tadotta atti delegati f’konformità mal-Artikolu 9 sabiex temenda l-lista ta’ varjabbli stabbilita fl-Anness.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Din għandha tkun prerogattiva tal-koleġiżlatur.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tab/>
            </w:r>
            <w:r>
              <w:rPr>
                <w:b/>
                <w:i/>
              </w:rPr>
              <w:t>Il-Kummissjoni għandha s-setgħa li tadotta atti delegati f’konformità mal-Artikolu 9 sabiex temenda l-lista ta’ varjabbli stabbilita</w:t>
            </w:r>
            <w:r>
              <w:t xml:space="preserve"> fl-Anness.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(3)</w:t>
            </w:r>
            <w:r>
              <w:tab/>
            </w:r>
            <w:r>
              <w:rPr>
                <w:b/>
                <w:i/>
              </w:rPr>
              <w:t>Il-varjabbli elenkati</w:t>
            </w:r>
            <w:r>
              <w:t xml:space="preserve"> fl-Anness </w:t>
            </w:r>
            <w:r>
              <w:rPr>
                <w:b/>
                <w:i/>
              </w:rPr>
              <w:t>I huma stabbiliti b’mod definittiv f’dan ir-Regolament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Meta teżerċita din is-setgħa li tadotta atti delegati, il-Kummissjoni għandha tiżgura li l-atti delegati ma jimponux piż jew kost addizzjonali sinifikanti fuq l-Istati Membri jew ir-rispondenti.</w:t>
            </w:r>
            <w:r>
              <w:t xml:space="preserve"> </w:t>
            </w:r>
            <w:r>
              <w:rPr>
                <w:b/>
                <w:i/>
              </w:rPr>
              <w:t>Sabiex jiġu vvalutati l-kost, il-piż u l-fattibbiltà ta’ rekwiżiti ġodda potenzjali tad-data, inkluż li r-rekwiżiti volontarji eżistenti tad-data jsiru obbligatorji, għandhom jitwettqu studji pilota f’konformità mal-Artikolu 7, u r-riżultati tagħhom għandhom jiġu vvalutati u kkunsidrati kif xieraq qabel l-adozzjoni tal-att delegat.</w:t>
            </w:r>
            <w:r>
              <w:t xml:space="preserve"> </w:t>
            </w:r>
            <w:r>
              <w:rPr>
                <w:b/>
                <w:i/>
              </w:rPr>
              <w:t>Varjabbli ġodda għandhom jiġu introdotti biss jekk l-istudji pilota juru li l-ġbir ta’ dawk il-varjabbli huwa fattibbli fl-Istati Membri kollha.</w:t>
            </w:r>
            <w:r>
              <w:t xml:space="preserve"> </w:t>
            </w:r>
            <w:r>
              <w:rPr>
                <w:b/>
                <w:i/>
              </w:rPr>
              <w:t>L-istudji pilota msemmija f’dan il-paragrafu għandhom jiġu ffinanzjati f’konformità mal-Artikolu 8.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(3a)</w:t>
            </w:r>
            <w:r>
              <w:tab/>
            </w:r>
            <w:r>
              <w:rPr>
                <w:b/>
                <w:i/>
              </w:rPr>
              <w:t>Il-varjabbli elenkati fl-Anness I huma stabbiliti b’mod definittiv f’dan ir-Regolament.</w:t>
            </w:r>
            <w:r>
              <w:t xml:space="preserve"> </w:t>
            </w:r>
            <w:r>
              <w:rPr>
                <w:b/>
                <w:i/>
              </w:rPr>
              <w:t>L-emendi għandhom isiru biss permezz tal-proċedura leġiżlattiva ordinarja.</w:t>
            </w:r>
            <w:r>
              <w:t xml:space="preserve"> </w:t>
            </w:r>
            <w:r>
              <w:rPr>
                <w:b/>
                <w:i/>
              </w:rPr>
              <w:t>L-atti ta’ implimentazzjoni għandhom jikkonċernaw esklużivament dettalji tekniċi li ma jiġġustifikawx obbligi ta’ rapportar ġodda jew addizzjonali.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ab/>
            </w:r>
            <w:r>
              <w:rPr>
                <w:b/>
                <w:i/>
              </w:rPr>
              <w:t>Il-Kummissjoni tista’, permezz ta’ atti ta’ implimentazzjoni, tispeċifika l-elementi li ġejjin tad-data li għandha tiġi trażmessa, u d-definizzjonijiet u s-simplifikazzjonijiet tekniċi tagħhom: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l-unità ta’ kejl;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il-popolazzjoni statistika;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il-klassifikazzjonijiet u l-analiżijiet;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(d) il-kumpilazzjoni tal-indiċijiet;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(e) l-użu ta’ approssimazzjonijiet u rekwiżiti tal-kwalità;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(f) il-perjodu ta’ referenza;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(g) l-iskadenza tat-trażmissjoni tad-data;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(h) l-ewwel perjodu ta’ referenza.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ab/>
            </w:r>
            <w:r>
              <w:rPr>
                <w:b/>
                <w:i/>
              </w:rPr>
              <w:t>Il-Kummissjoni tista’, permezz ta’ atti ta’ implimentazzjoni, tispeċifika l-elementi li ġejjin tad-data li għandha tiġi trażmessa, u d-definizzjonijiet u s-simplifikazzjonijiet tekniċi tagħhom: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 l-unità ta’ kejl;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 il-popolazzjoni statistika;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 il-klassifikazzjonijiet u l-analiżijiet;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(d) il-kumpilazzjoni tal-indiċijiet;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(e) l-użu ta’ approssimazzjonijiet u rekwiżiti tal-kwalità;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(f) il-perjodu ta’ referenza;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(g) l-iskadenza tat-trażmissjoni tad-data;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(h) l-ewwel perjodu ta’ referenza.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parti introduttorja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Il-Kummissjoni </w:t>
            </w:r>
            <w:r>
              <w:rPr>
                <w:b/>
                <w:i/>
              </w:rPr>
              <w:t>tista’</w:t>
            </w:r>
            <w:r>
              <w:t xml:space="preserve">, permezz ta’ atti ta’ implimentazzjoni, tispeċifika l-elementi li ġejjin tad-data li għandha tiġi trażmessa, u d-definizzjonijiet u s-simplifikazzjonijiet </w:t>
            </w:r>
            <w:r>
              <w:rPr>
                <w:b/>
                <w:i/>
              </w:rPr>
              <w:t>tekniċi</w:t>
            </w:r>
            <w:r>
              <w:t xml:space="preserve"> tagħhom: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Il-Kummissjoni </w:t>
            </w:r>
            <w:r>
              <w:rPr>
                <w:b/>
                <w:i/>
              </w:rPr>
              <w:t>għandha</w:t>
            </w:r>
            <w:r>
              <w:t>, permezz ta’ atti ta’ implimentazzjoni, tispeċifika l-elementi li ġejjin tad-data li għandha tiġi trażmessa, u d-definizzjonijiet </w:t>
            </w:r>
            <w:r>
              <w:rPr>
                <w:b/>
                <w:i/>
              </w:rPr>
              <w:t>tekniċi </w:t>
            </w:r>
            <w:r>
              <w:t>u s-simplifikazzjonijiet tagħhom: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l-unità ta’ kejl;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(a)</w:t>
            </w:r>
            <w:r>
              <w:tab/>
            </w:r>
            <w:r>
              <w:rPr>
                <w:b/>
                <w:i/>
              </w:rPr>
              <w:t>l-unità ta’ kejl;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il-popolazzjoni statistika;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(b)</w:t>
            </w:r>
            <w:r>
              <w:tab/>
            </w:r>
            <w:r>
              <w:rPr>
                <w:b/>
                <w:i/>
              </w:rPr>
              <w:t>il-popolazzjoni statistika;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il-klassifikazzjonijiet u l-analiżijiet;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(c)</w:t>
            </w:r>
            <w:r>
              <w:tab/>
            </w:r>
            <w:r>
              <w:rPr>
                <w:b/>
                <w:i/>
              </w:rPr>
              <w:t>il-klassifikazzjonijiet u l-analiżijiet;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(d)</w:t>
            </w:r>
            <w:r>
              <w:tab/>
            </w:r>
            <w:r>
              <w:rPr>
                <w:b/>
                <w:i/>
              </w:rPr>
              <w:t>il-kumpilazzjoni tal-indiċijiet;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d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(d)</w:t>
            </w:r>
            <w:r>
              <w:tab/>
            </w:r>
            <w:r>
              <w:rPr>
                <w:b/>
                <w:i/>
              </w:rPr>
              <w:t>il-kumpilazzjoni tal-indiċijiet;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(e)</w:t>
            </w:r>
            <w:r>
              <w:tab/>
            </w:r>
            <w:r>
              <w:rPr>
                <w:b/>
                <w:i/>
              </w:rPr>
              <w:t>l-użu ta’ approssimazzjonijiet u rekwiżiti tal-kwalità;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(e)</w:t>
            </w:r>
            <w:r>
              <w:tab/>
            </w:r>
            <w:r>
              <w:rPr>
                <w:b/>
                <w:i/>
              </w:rPr>
              <w:t>l-użu ta’ approssimazzjonijiet u rekwiżiti tal-kwalità;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(f)</w:t>
            </w:r>
            <w:r>
              <w:tab/>
            </w:r>
            <w:r>
              <w:rPr>
                <w:b/>
                <w:i/>
              </w:rPr>
              <w:t>il-perjodu ta’ referenza;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f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(f)</w:t>
            </w:r>
            <w:r>
              <w:tab/>
            </w:r>
            <w:r>
              <w:rPr>
                <w:b/>
                <w:i/>
              </w:rPr>
              <w:t>il-perjodu ta’ referenza;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(g)</w:t>
            </w:r>
            <w:r>
              <w:tab/>
            </w:r>
            <w:r>
              <w:rPr>
                <w:b/>
                <w:i/>
              </w:rPr>
              <w:t>l-iskadenza tat-trażmissjoni tad-data;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g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(g)</w:t>
            </w:r>
            <w:r>
              <w:tab/>
            </w:r>
            <w:r>
              <w:rPr>
                <w:b/>
                <w:i/>
              </w:rPr>
              <w:t>l-iskadenza tat-trażmissjoni tad-data;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(h)</w:t>
            </w:r>
            <w:r>
              <w:tab/>
            </w:r>
            <w:r>
              <w:rPr>
                <w:b/>
                <w:i/>
              </w:rPr>
              <w:t>l-ewwel perjodu ta’ referenza.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4 – punt h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(h)</w:t>
            </w:r>
            <w:r>
              <w:tab/>
            </w:r>
            <w:r>
              <w:rPr>
                <w:b/>
                <w:i/>
              </w:rPr>
              <w:t>l-ewwel perjodu ta’ referenza.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5a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Fir-rigward tad-diżaggregazzjonijiet imsemmija fil-paragrafu 4, il-punt (c), il-Kummissjoni għandha mill-inqas: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 tiddistingwi bejn proprjetà immobbli kummerċjali li tkun proprjetà ta’ persuni fiżiċi u dik proprjetà ta’ persuni ġuridiċi;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 tiddistingwi bejn proprjetà immobbli kummerċjali residenzjali u mhux residenzjali;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- tidentifika l-kirjiet għal żmien qasir.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5 – paragrafu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L-atti ta’ implimentazzjoni msemmija </w:t>
            </w:r>
            <w:r>
              <w:rPr>
                <w:b/>
                <w:i/>
              </w:rPr>
              <w:t>fil-paragrafu</w:t>
            </w:r>
            <w:r>
              <w:t xml:space="preserve"> 4 għandhom jiġu adottati f’konformità mal-proċedura ta’ eżami msemmija fl-Artikolu 10.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L-atti ta</w:t>
            </w:r>
            <w:r>
              <w:rPr>
                <w:b/>
                <w:i/>
              </w:rPr>
              <w:t>’</w:t>
            </w:r>
            <w:r>
              <w:t xml:space="preserve"> implimentazzjoni msemmija </w:t>
            </w:r>
            <w:r>
              <w:rPr>
                <w:b/>
                <w:i/>
              </w:rPr>
              <w:t>f’paragrafu</w:t>
            </w:r>
            <w:r>
              <w:t xml:space="preserve"> 4 għandhom jiġu adottati </w:t>
            </w:r>
            <w:r>
              <w:rPr>
                <w:b/>
                <w:i/>
              </w:rPr>
              <w:t>f’konformità</w:t>
            </w:r>
            <w:r>
              <w:t xml:space="preserve"> mal-proċedura ta</w:t>
            </w:r>
            <w:r>
              <w:rPr>
                <w:b/>
                <w:i/>
              </w:rPr>
              <w:t>’</w:t>
            </w:r>
            <w:r>
              <w:t xml:space="preserve"> eżami msemmija fl-Artikolu 10 </w:t>
            </w:r>
            <w:r>
              <w:rPr>
                <w:b/>
                <w:i/>
              </w:rPr>
              <w:t>mill-inqas 24 xahar qabel il-bidu tal-perjodu ta’ referenza rilevanti</w:t>
            </w:r>
            <w:r>
              <w:t xml:space="preserve">. </w:t>
            </w:r>
            <w:r>
              <w:rPr>
                <w:b/>
                <w:i/>
              </w:rPr>
              <w:t>Il-Kummissjoni għandha tiżgura li l-atti ta’ implimentazzjoni adottati skont dan il-paragrafu jikkonformaw mal-prinċipju tal-proporzjonalità u ma jimponux kost jew piż addizzjonali sinifikanti fuq l-Istati Membri jew fuq il-kumpaniji.</w:t>
            </w:r>
            <w:r>
              <w:t xml:space="preserve"> </w:t>
            </w:r>
            <w:r>
              <w:rPr>
                <w:b/>
                <w:i/>
              </w:rPr>
              <w:t>L-istudji pilota kif stabbilit fl-Artikolu 7 u r-riżultati tagħhom għandhom jiġu vvalutati u jitqiesu kif xieraq qabel ma ssir kwalunkwe modifika tal-elementi tad-data msemmija fil-paragrafu 4 ta’ dan l-Artikolu.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6 – paragrafu 4 – punt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il-metadata ta’ referenza </w:t>
            </w:r>
            <w:r>
              <w:rPr>
                <w:b/>
                <w:i/>
              </w:rPr>
              <w:t>annwali</w:t>
            </w:r>
            <w:r>
              <w:t xml:space="preserve"> u r-rapporti ta’ kwalità;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(a)</w:t>
            </w:r>
            <w:r>
              <w:tab/>
            </w:r>
            <w:r>
              <w:t xml:space="preserve">il-metadata ta’ referenza </w:t>
            </w:r>
            <w:r>
              <w:rPr>
                <w:b/>
                <w:i/>
              </w:rPr>
              <w:t>trimestrali</w:t>
            </w:r>
            <w:r>
              <w:t xml:space="preserve"> u r-rapporti ta’ kwalità;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Meta l-Kummissjoni (il-Eurostat) tidentifika ħtieġa għal rekwiżiti ta’ data ġodda sinifikanti jew titjib fid-data koperta minn dan ir-Regolament, hija </w:t>
            </w:r>
            <w:r>
              <w:rPr>
                <w:b/>
                <w:i/>
              </w:rPr>
              <w:t>tista’</w:t>
            </w:r>
            <w:r>
              <w:t xml:space="preserve"> tniedi studji pilota li għandhom jitwettqu mill-Istati Membri, fuq bażi volontarja, qabel kwalunkwe ġbir ġdid ta’ data.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Meta l-Kummissjoni (il-Eurostat) tidentifika ħtieġa għal rekwiżiti ta’ data ġodda sinifikanti jew titjib fid-data koperta minn dan ir-Regolament, hija </w:t>
            </w:r>
            <w:r>
              <w:rPr>
                <w:b/>
                <w:i/>
              </w:rPr>
              <w:t>għandha</w:t>
            </w:r>
            <w:r>
              <w:t xml:space="preserve"> tniedi studji pilota li għandhom jitwettqu mill-Istati Membri, fuq bażi volontarja, qabel kwalunkwe ġbir ġdid ta’ data.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Markus Ferber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L-istudji pilota msemmija fil-paragrafu 1 għandhom jitwettqu sabiex jiġu vvalutati r-rilevanza u l-fattibbiltà li jiġu ssodisfati r-rekwiżiti ġodda tad-data jew it-titjib. Il-Kummissjoni għandha, fejn xieraq u b’kont meħud tas-sejbiet tal-istudji pilota, tagħmel proposti għall-introduzzjoni ta’ rekwiżiti ġodda tad-data.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L-istudji pilota msemmija fil-paragrafu 1 għandhom jitwettqu sabiex jiġu vvalutati r-rilevanza u l-fattibbiltà li jiġu ssodisfati r-rekwiżiti ġodda tad-data jew it-titjib </w:t>
            </w:r>
            <w:r>
              <w:rPr>
                <w:b/>
                <w:i/>
              </w:rPr>
              <w:t>u għandhom jitwettqu b’mod li jimminimizza l-piż għad-detenturi privati tad-data</w:t>
            </w:r>
            <w:r>
              <w:t>. Il-Kummissjoni għandha, fejn xieraq u b’kont meħud tas-sejbiet tal-istudji pilota, tagħmel proposti għall-introduzzjoni ta’ rekwiżiti ġodda tad-data.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L-istudji pilota msemmija fil-paragrafu 1 għandhom jitwettqu sabiex jiġu vvalutati r-rilevanza u l-fattibbiltà li jiġu ssodisfati r-rekwiżiti ġodda tad-data jew it-titjib. Il-Kummissjoni għandha, fejn xieraq u b’kont meħud tas-sejbiet tal-istudji pilota, tagħmel proposti għall-introduzzjoni ta’ rekwiżiti ġodda tad-data.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L-istudji pilota msemmija fil-paragrafu 1 għandhom jitwettqu sabiex jiġu vvalutati r-rilevanza u l-fattibbiltà li jiġu ssodisfati r-rekwiżiti ġodda tad-data jew it-titjib. Il-Kummissjoni għandha, fejn xieraq u b’kont meħud tas-sejbiet tal-istudji pilota, </w:t>
            </w:r>
            <w:r>
              <w:rPr>
                <w:b/>
                <w:i/>
              </w:rPr>
              <w:t>inkluża ż-żieda potenzjali tal-piż amministrattiv, </w:t>
            </w:r>
            <w:r>
              <w:t>tagħmel proposti għall-introduzzjoni ta’ rekwiżiti ġodda tad-data.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2a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Jista’ jsir studju pilota biex tinġabar data dwar il-valur tat-tranżazzjonijiet tal-proprjetà immobbli kummerċjali.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7 – paragrafu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L-Istati</w:t>
            </w:r>
            <w:r>
              <w:t xml:space="preserve"> Membri, </w:t>
            </w:r>
            <w:r>
              <w:rPr>
                <w:b/>
                <w:i/>
              </w:rPr>
              <w:t>flimkien mal-Kummissjoni (il-Eurostat), għandhom jiżguraw</w:t>
            </w:r>
            <w:r>
              <w:t xml:space="preserve"> li dawk l-istudji jkunu rappreżentattivi fil-livell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Il-Kummissjoni (il-Eurostat) għandha, f’kooperazzjoni mal-Istati</w:t>
            </w:r>
            <w:r>
              <w:t xml:space="preserve"> Membri, </w:t>
            </w:r>
            <w:r>
              <w:rPr>
                <w:b/>
                <w:i/>
              </w:rPr>
              <w:t>tiżgura</w:t>
            </w:r>
            <w:r>
              <w:t xml:space="preserve"> li dawk l-istudji jkunu rappreżentattivi fil-livell tal-Unjoni.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Artikolu 11</w:t>
            </w:r>
            <w:r>
              <w:tab/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  <w:jc w:val="center"/>
            </w:pPr>
            <w:r>
              <w:rPr>
                <w:b/>
                <w:i/>
              </w:rPr>
              <w:t>Derogi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Meta l-applikazzjoni ta’ dan ir-Regolament jew dik tal-miżuri ta’ implimentazzjoni adottati skont dan tkun teħtieġ adattamenti kbar f’sistema nazzjonali tal-istatistika ta’ Stat Membru, il-Kummissjoni tista’ tagħti derogi, permezz ta’ atti ta’ implimentazzjoni, lil dak l-Istat Membru, għal perjodu massimu ta’ 3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L-Istat Membru rilevanti għandu jippreżenta lill-Kummissjoni talba debitament motivata għal deroga skont il-paragrafu 1, fi żmien 3 xhur mid-data tad-dħul fis-seħħ tal-att li fir-rigward tiegħu tintalab id-deroga.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L-impatt tad-derogi msemmija fil-paragrafu 1 fuq il-komparabbiltà tad-data tal-Istati Membri jew fuq il-kalkolu tal-aggregati Ewropej meħtieġa f’waqthom u rappreżentattivi għandu jinżamm għal minimu.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Il-Kummissjoni għandha tqis il-piż fuq ir-rispondenti meta tagħti d-derogi.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L-atti ta’ implimentazzjoni msemmija fil-paragrafu 1 għandhom jiġu adottati f’konformità mal-proċedura ta’ eżami msemmija fl-Artikolu 10.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pPr>
        <w:pStyle w:val="AmJustTitle"/>
      </w:pPr>
      <w:r>
        <w:rPr>
          <w:rStyle w:val="HideTWBExt"/>
        </w:rPr>
        <w:t>&lt;TitreJust&gt;</w:t>
      </w:r>
      <w:r>
        <w:t>Ġustifikazzjoni</w:t>
      </w:r>
      <w:r>
        <w:rPr>
          <w:rStyle w:val="HideTWBExt"/>
        </w:rPr>
        <w:t>&lt;/TitreJust&gt;</w:t>
      </w:r>
    </w:p>
    <w:p>
      <w:pPr>
        <w:pStyle w:val="AmJustText"/>
      </w:pPr>
      <w:r>
        <w:t>Hekk kif il-korpi internazzjonali qed jagħtu dejjem aktar l-attenzjoni għall-vulnerabbiltajiet li qed jiżdiedu u li jirriżultaw mis-settur tal-proprjetà immobbli kummerċjali, huwa ta’ importanza kbira li jingħalaq id-distakk fid-data malajr kemm jista’ jkun.</w:t>
      </w:r>
      <w:r>
        <w:t xml:space="preserve"> </w:t>
      </w:r>
      <w:r>
        <w:t>L-indikaturi inklużi f’dan ir-Regolament kienu diġà rrakkomandati mill-BERS 10 snin ilu, u b’hekk l-Istati Membri ngħataw biżżejjed żmien biex jadattaw il-qafas statistiku tagħhom.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ab/>
            </w:r>
            <w:r>
              <w:t xml:space="preserve">Meta l-applikazzjoni ta’ dan ir-Regolament jew dik tal-miżuri ta’ implimentazzjoni adottati skont dan tkun teħtieġ adattamenti kbar f’sistema nazzjonali tal-istatistika ta’ Stat Membru, il-Kummissjoni tista’ tagħti derogi, permezz ta’ atti ta’ implimentazzjoni, lil dak l-Istat Membru, għal perjodu massimu ta’ </w:t>
            </w:r>
            <w:r>
              <w:rPr>
                <w:b/>
                <w:i/>
              </w:rPr>
              <w:t>3</w:t>
            </w:r>
            <w:r>
              <w:t xml:space="preserve">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(1)</w:t>
            </w:r>
            <w:r>
              <w:tab/>
            </w:r>
            <w:r>
              <w:t xml:space="preserve">Meta l-applikazzjoni ta’ dan ir-Regolament jew tal-miżuri ta’ implimentazzjoni adottati skont dan tkun teħtieġ adattamenti kbar f’sistema nazzjonali tal-istatistika ta’ Stat Membru, </w:t>
            </w:r>
            <w:r>
              <w:rPr>
                <w:b/>
                <w:i/>
              </w:rPr>
              <w:t>speċjalment f’każijiet fejn partijiet sinifikanti tal-proċeduri amministrattivi meħtieġa għall-ġbir tad-data jkunu għadhom ma ġewx diġitalizzati,</w:t>
            </w:r>
            <w:r>
              <w:t xml:space="preserve"> il-Kummissjoni tista’ tagħti derogi, permezz ta’ atti ta’ implimentazzjoni, lil dak l-Istat Membru, għal perjodu massimu ta’ </w:t>
            </w:r>
            <w:r>
              <w:rPr>
                <w:b/>
                <w:i/>
              </w:rPr>
              <w:t>ħames</w:t>
            </w:r>
            <w:r>
              <w:t xml:space="preserve">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1.</w:t>
            </w:r>
            <w:r>
              <w:tab/>
            </w:r>
            <w:r>
              <w:t xml:space="preserve">Meta l-applikazzjoni ta’ dan ir-Regolament jew dik tal-miżuri ta’ implimentazzjoni adottati skont dan tkun teħtieġ adattamenti kbar f’sistema nazzjonali tal-istatistika ta’ Stat Membru, il-Kummissjoni tista’ tagħti derogi, permezz ta’ atti ta’ implimentazzjoni, lil dak l-Istat Membru, għal perjodu massimu ta’ </w:t>
            </w:r>
            <w:r>
              <w:rPr>
                <w:b/>
                <w:i/>
              </w:rPr>
              <w:t>3</w:t>
            </w:r>
            <w:r>
              <w:t xml:space="preserve"> snin.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(1)</w:t>
            </w:r>
            <w:r>
              <w:tab/>
            </w:r>
            <w:r>
              <w:t xml:space="preserve">Meta l-applikazzjoni ta’ dan ir-Regolament jew tal-miżuri ta’ implimentazzjoni adottati skont dan tkun teħtieġ adattamenti kbar f’sistema nazzjonali tal-istatistika ta’ Stat Membru, il-Kummissjoni tista’ tagħti derogi, permezz ta’ atti ta’ implimentazzjoni, lil dak l-Istat Membru, għal perjodu massimu ta’ </w:t>
            </w:r>
            <w:r>
              <w:rPr>
                <w:b/>
                <w:i/>
              </w:rPr>
              <w:t>ħames</w:t>
            </w:r>
            <w:r>
              <w:t xml:space="preserve"> snin.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11 – paragrafu 3a (ġdid)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Meta deroga tibqa’ ġġustifikata fi tmiem il-perjodu li għalih tkun ingħatat, il-Kummissjoni tista’ tadotta att ta’ implimentazzjoni għall-għoti ta’ deroga oħra għal perjodu massimu ta’ tliet snin.</w:t>
            </w:r>
            <w:r>
              <w:t xml:space="preserve"> </w:t>
            </w:r>
            <w:r>
              <w:rPr>
                <w:b/>
                <w:i/>
              </w:rPr>
              <w:t>L-Istat Membru rilevanti għandu jippreżenta talba li tindika r-raġunijiet u motivazzjonijiet dettaljati b’appoġġ għal din l-estensjoni, lill-Kummissjoni mhux aktar tard minn 6 xhur qabel it-tmiem tal-perjodu ta’ validità tad-deroga mogħtija skont il-paragrafu 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Engin Eroglu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13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2026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2029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13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2026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2028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13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2026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2028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Stefan Berger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Artikolu 13 – paragrafu 2 – subparagrafu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2026</w:t>
            </w:r>
            <w: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Għandu japplika mill-1 ta’ Jannar </w:t>
            </w:r>
            <w:r>
              <w:rPr>
                <w:b/>
                <w:i/>
              </w:rPr>
              <w:t>2029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{DE}</w:t>
      </w:r>
      <w:r>
        <w:t>de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Irene Tinagli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aa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(aa)</w:t>
            </w:r>
            <w:r>
              <w:tab/>
            </w:r>
            <w:r>
              <w:rPr>
                <w:b/>
                <w:i/>
              </w:rPr>
              <w:t>Permessi tal-bini (l-għadd ta’ abitazzjonijiet, l-erja tal-art li tista’ tintuża) diżaggregati skont l-akkomodazzjoni soċjali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Irene Tinagli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ba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(ba)</w:t>
            </w:r>
            <w:r>
              <w:tab/>
            </w:r>
            <w:r>
              <w:rPr>
                <w:b/>
                <w:i/>
              </w:rPr>
              <w:t>Bidu tal-kostruzzjonijiet u t-tlestija tax-xogħlijiet ta’ kostruzzjoni (erja tal-art li tista’ tintuża) diżaggregati skont l-akkomodazzjoni soċjali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punt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>Indiċijiet tal-prezzijiet tal-proprjetà immobbli kummerċjali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(c)</w:t>
            </w:r>
            <w:r>
              <w:tab/>
            </w:r>
            <w:r>
              <w:t xml:space="preserve">Indiċijiet tal-prezzijiet tal-proprjetà immobbli kummerċjali </w:t>
            </w:r>
            <w:r>
              <w:rPr>
                <w:b/>
                <w:i/>
              </w:rPr>
              <w:t>(fuq bażi volontarja)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Irene Tinagli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ca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(ca)</w:t>
            </w:r>
            <w:r>
              <w:tab/>
            </w:r>
            <w:r>
              <w:rPr>
                <w:b/>
                <w:i/>
              </w:rPr>
              <w:t>Indiċijiet tal-prezzijiet tal-proprjetà immobbli kummerċjali diżaggregata skont il-proprjetà li tipproduċi l-introjtu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Irene Tinagli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da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(da)</w:t>
            </w:r>
            <w:r>
              <w:tab/>
            </w:r>
            <w:r>
              <w:rPr>
                <w:b/>
                <w:i/>
              </w:rPr>
              <w:t>Indiċijiet tal-kiri tal-proprjetà immobbli kummerċjali diżaggregata skont il-proprjetà li tipproduċi l-introjtu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punt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(e)</w:t>
            </w:r>
            <w:r>
              <w:tab/>
            </w:r>
            <w:r>
              <w:rPr>
                <w:b/>
                <w:i/>
              </w:rPr>
              <w:t>Valur tat-tranżazzjonijiet ta’ 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imħassar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Kubín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punt e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(e)</w:t>
            </w:r>
            <w:r>
              <w:tab/>
            </w:r>
            <w:r>
              <w:t>Valur tat-tranżazzjonijiet ta’ proprjetà immobbli kummerċjali.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(e)</w:t>
            </w:r>
            <w:r>
              <w:tab/>
            </w:r>
            <w:r>
              <w:t xml:space="preserve">Valur tat-tranżazzjonijiet ta’ proprjetà immobbli kummerċjali </w:t>
            </w:r>
            <w:r>
              <w:rPr>
                <w:b/>
                <w:i/>
              </w:rPr>
              <w:t>(fuq bażi volontarja)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ea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(ea)</w:t>
            </w:r>
            <w:r>
              <w:tab/>
            </w:r>
            <w:r>
              <w:rPr>
                <w:b/>
                <w:i/>
              </w:rPr>
              <w:t>indiċijiet tar-rendiment tal-kiri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eb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(eb)</w:t>
            </w:r>
            <w:r>
              <w:tab/>
            </w:r>
            <w:r>
              <w:rPr>
                <w:b/>
                <w:i/>
              </w:rPr>
              <w:t>rati ta’ spazju disponibbli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Emenda</w:t>
      </w:r>
      <w:r>
        <w:tab/>
      </w:r>
      <w:r>
        <w:tab/>
      </w:r>
      <w:r>
        <w:rPr>
          <w:rStyle w:val="HideTWBExt"/>
        </w:rPr>
        <w:t>&lt;NumAm&gt;</w:t>
      </w:r>
      <w:r>
        <w:t>100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Kira Marie Peter-Hansen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f’isem il-Grupp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Proposta għal regolament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Anness I – parti ec (ġdida)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Emenda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(ec)</w:t>
            </w:r>
            <w:r>
              <w:tab/>
            </w:r>
            <w:r>
              <w:rPr>
                <w:b/>
                <w:i/>
              </w:rPr>
              <w:t>kirjiet għal żmien qasir, inkluż l-għadd ta’ proprjetà immobbli residenzjali użata kompletament jew parzjalment għal finijiet ta’ kiri għal żmien qasir, l-għadd medju ta’ jiem fis-sena li fihom dawn il-proprjetajiet immobbli residenzjali jinkrew u r-rendimenti medji għal tali kirjiet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779.504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42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42</w:t>
    </w:r>
    <w:r>
      <w:fldChar w:fldCharType="end"/>
    </w:r>
    <w:r>
      <w:tab/>
    </w:r>
    <w:r>
      <w:rPr>
        <w:rStyle w:val="HideTWBExt"/>
      </w:rPr>
      <w:t>&lt;PathFdR&gt;</w:t>
    </w:r>
    <w:r>
      <w:t>AM\1331374MT.docx</w:t>
    </w:r>
    <w:r>
      <w:rPr>
        <w:rStyle w:val="HideTWBExt"/>
      </w:rPr>
      <w:t>&lt;/PathFdR&gt;</w:t>
    </w:r>
  </w:p>
  <w:p>
    <w:pPr>
      <w:pStyle w:val="EPFooter2"/>
    </w:pPr>
    <w:r>
      <w:t>MT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AM\1331374MT.docx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41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42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779.504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MT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AM\1331374MT.docx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779.504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MT</w:t>
    </w:r>
    <w:r>
      <w:tab/>
    </w:r>
    <w:r>
      <w:rPr>
        <w:rStyle w:val="EPFooter2Motto"/>
      </w:rPr>
      <w:t>Magħquda fid-diversità</w:t>
    </w:r>
    <w:r>
      <w:tab/>
    </w:r>
    <w:r>
      <w:t>MT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5080417 HideTWBExt;}}{\*\rsidtbl \rsid24658\rsid358857\rsid735077\rsid787282\rsid2892074\rsid3622648\rsid4666813\rsid5708216\rsid6641733\rsid7553164\rsid8465581\rsid8681905\rsid8724649&#13;_x000a_\rsid9590763\rsid9636012\rsid9862312\rsid11215221\rsid11370291\rsid11434737\rsid11607138\rsid11824949\rsid12154954\rsid14424199\rsid15080417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3}{\nofchars36}{\*\company European Parliament}{\nofcharsws37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5080417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959076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959076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5080417 \rtlch\fcs1 \af0\afs20\alang1025 \ltrch\fcs0 \fs24\lang2057\langfe2057\cgrid\langnp2057\langfenp2057 {\rtlch\fcs1 \af0 \ltrch\fcs0 &#13;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&#13;_x000a_\rtlch\fcs1 \af0 \ltrch\fcs0 \insrsid15080417\charrsid946740 &#13;_x000a_\par }\pard \ltrpar\ql \li0\ri0\widctlpar\wrapdefault\aspalpha\aspnum\faauto\adjustright\rin0\lin0\itap0\pararsid16324206 {\rtlch\fcs1 \af0 \ltrch\fcs0 \insrsid24658\charrsid16324206 {\*\bkmkend End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2086&#13;_x000a_6318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4184271 HideTWBExt;}}{\*\rsidtbl \rsid24658\rsid358857\rsid735077\rsid787282\rsid2236920\rsid2892074\rsid3622648\rsid4666813\rsid5708216\rsid6641733\rsid7553164\rsid8465581\rsid8681905&#13;_x000a_\rsid8724649\rsid9636012\rsid9862312\rsid11215221\rsid11370291\rsid11434737\rsid11607138\rsid11824949\rsid12154954\rsid14184271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3}{\nofchars35}{\*\company European Parliament}{\nofcharsws36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4184271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223692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223692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&#13;_x000a_\rtlch\fcs1 \af0 \ltrch\fcs0 \insrsid24658\charrsid16324206 {\*\bkmkend End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904f&#13;_x000a_ed18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8941110 HideTWBExt;}}{\*\rsidtbl \rsid24658\rsid358857\rsid735077\rsid787282\rsid2431835\rsid2892074\rsid3622648\rsid4666813\rsid5708216\rsid6641733\rsid7553164\rsid8465581\rsid8681905&#13;_x000a_\rsid8724649\rsid8941110\rsid9636012\rsid9862312\rsid11215221\rsid11370291\rsid11434737\rsid11607138\rsid11824949\rsid12154954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1}{\nofchars20}{\*\company European Parliament}{\nofcharsws20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894111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2431835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2431835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8941110\charrsid946740 {\*\bkmkstart IntroA}&lt;RepeatBlock-AmendA&gt;}{\rtlch\fcs1 \af0 \ltrch\fcs0 \insrsid24658\charrsid16324206 {\*\bkmkend Intro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d0da&#13;_x000a_6417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721985 HideTWBExt;}}{\*\rsidtbl \rsid24658\rsid358857\rsid721985\rsid735077\rsid787282\rsid2892074\rsid3622648\rsid4666813\rsid5708216\rsid6641733\rsid7553164\rsid8465581\rsid8681905&#13;_x000a_\rsid8724649\rsid9636012\rsid9862312\rsid11215221\rsid11370291\rsid11434340\rsid11434737\rsid11607138\rsid11824949\rsid12154954\rsid14424199\rsid15204470\rsid15285974\rsid15535219\rsid15950462\rsid16324206\rsid16662270}{\mmathPr\mmathFont34\mbrkBin0&#13;_x000a_\mbrkBinSub0\msmallFrac0\mdispDef1\mlMargin0\mrMargin0\mdefJc1\mwrapIndent1440\mintLim0\mnaryLim1}{\info{\author FELIX Karina}{\operator FELIX Karina}{\creatim\yr2019\mo7\dy3\hr16\min3}{\revtim\yr2019\mo7\dy3\hr16\min3}{\version1}{\edmins0}{\nofpages1}&#13;_x000a_{\nofwords1}{\nofchars20}{\*\company European Parliament}{\nofcharsws20}{\vern97}}{\*\xmlnstbl {\xmlns1 http://schemas.microsoft.com/office/word/2003/wordml}}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721985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143434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143434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ql \li0\ri0\widctlpar\wrapdefault\aspalpha\aspnum\faauto\adjustright\rin0\lin0\itap0\pararsid16324206 \rtlch\fcs1 \af0\afs20\alang1025 \ltrch\fcs0 \fs24\lang2057\langfe2057\cgrid\langnp2057\langfenp2057 {\rtlch\fcs1 \af0 \ltrch\fcs0 &#13;_x000a_\cs15\v\f1\fs20\cf9\insrsid721985\charrsid946740 {\*\bkmkstart IntroB}&lt;RepeatBlock-AmendB&gt;}{\rtlch\fcs1 \af0 \ltrch\fcs0 \insrsid24658\charrsid16324206 {\*\bkmkend Intro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f0ab&#13;_x000a_e117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5184084 HideTWBExt;}{\s16\ql \li0\ri0\sa120\nowidctlpar\wrapdefault\aspalpha\aspnum\faauto\adjustright\rin0\lin0\itap0 \rtlch\fcs1 \af0\afs20\alang1025 \ltrch\fcs0 &#13;_x000a_\fs24\lang2057\langfe2057\cgrid\langnp2057\langfenp2057 \sbasedon0 \snext16 \spriority0 \styrsid5184084 Normal6a;}{\s17\ql \li0\ri0\nowidctlpar\wrapdefault\aspalpha\aspnum\faauto\adjustright\rin0\lin0\itap0 \rtlch\fcs1 \af0\afs20\alang1025 \ltrch\fcs0 &#13;_x000a_\b\fs24\lang2057\langfe2057\cgrid\langnp2057\langfenp2057 \sbasedon0 \snext17 \spriority0 \styrsid5184084 NormalBold;}{\s18\qr \li0\ri0\sb240\sa240\nowidctlpar\wrapdefault\aspalpha\aspnum\faauto\adjustright\rin0\lin0\itap0 \rtlch\fcs1 &#13;_x000a_\af0\afs20\alang1025 \ltrch\fcs0 \fs24\lang2057\langfe2057\cgrid\langnp2057\langfenp2057 \sbasedon0 \snext18 \spriority0 \styrsid5184084 AmOrLang;}{\s19\qc \li0\ri0\sa240\nowidctlpar\wrapdefault\aspalpha\aspnum\faauto\adjustright\rin0\lin0\itap0 &#13;_x000a_\rtlch\fcs1 \af0\afs20\alang1025 \ltrch\fcs0 \i\fs24\lang2057\langfe2057\cgrid\langnp2057\langfenp2057 \sbasedon0 \snext19 \spriority0 \styrsid5184084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5184084 AmNumberTabs;}}{\*\rsidtbl \rsid24658\rsid358857\rsid735077\rsid787282\rsid2892074\rsid3622648\rsid4666813\rsid5184084\rsid5708216&#13;_x000a_\rsid6641733\rsid7553164\rsid8465581\rsid8681905\rsid8724649\rsid9636012\rsid9862312\rsid10499370\rsid11215221\rsid11370291\rsid11434737\rsid11607138\rsid11824949\rsid12154954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6\min3}&#13;_x000a_{\revtim\yr2019\mo7\dy3\hr16\min3}{\version1}{\edmins0}{\nofpages1}{\nofwords26}{\nofchars301}{\*\company European Parliament}{\nofcharsws30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5184084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0499370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0499370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5184084 \rtlch\fcs1 \af0\afs20\alang1025 \ltrch\fcs0 \b\fs24\lang2057\langfe2057\cgrid\langnp2057\langfenp2057 {\rtlch\fcs1 \af0 \ltrch\fcs0 \cs15\b0\v\f1\fs20\cf9\insrsid5184084\charrsid946740 {\*\bkmkstart restartA}&lt;AmendA&gt;}{&#13;_x000a_\rtlch\fcs1 \af0 \ltrch\fcs0 \insrsid5184084\charrsid946740 [ZAMENDMENT]\tab \tab }{\rtlch\fcs1 \af0 \ltrch\fcs0 \cs15\b0\v\f1\fs20\cf9\insrsid5184084\charrsid946740 &lt;NumAmA&gt;}{\rtlch\fcs1 \af0 \ltrch\fcs0 \insrsid5184084\charrsid946740 [ZNRAM]}{&#13;_x000a_\rtlch\fcs1 \af0 \ltrch\fcs0 \cs15\b0\v\f1\fs20\cf9\insrsid5184084\charrsid946740 &lt;/NumAmA&gt;}{\rtlch\fcs1 \af0 \ltrch\fcs0 \insrsid5184084\charrsid946740 &#13;_x000a_\par }\pard\plain \ltrpar\s17\ql \li0\ri0\nowidctlpar\wrapdefault\aspalpha\aspnum\faauto\adjustright\rin0\lin0\itap0\pararsid5184084 \rtlch\fcs1 \af0\afs20\alang1025 \ltrch\fcs0 \b\fs24\lang2057\langfe2057\cgrid\langnp2057\langfenp2057 {\rtlch\fcs1 \af0 &#13;_x000a_\ltrch\fcs0 \cs15\b0\v\f1\fs20\cf9\lang1024\langfe1024\noproof\insrsid5184084\charrsid14699840 &lt;RepeatBlock-By&gt;}{\rtlch\fcs1 \af0 \ltrch\fcs0 \lang1024\langfe1024\noproof\insrsid5184084\charrsid14699840 [RepeatMembers]}{\rtlch\fcs1 \af0 \ltrch\fcs0 &#13;_x000a_\cs15\b0\v\f1\fs20\cf9\lang1024\langfe1024\noproof\insrsid5184084\charrsid14699840 &lt;Members&gt;}{\rtlch\fcs1 \af0 \ltrch\fcs0 \insrsid5184084\charrsid14699840 [ZMEMBERS]}{\rtlch\fcs1 \af0 \ltrch\fcs0 &#13;_x000a_\cs15\b0\v\f1\fs20\cf9\lang1024\langfe1024\noproof\insrsid5184084\charrsid14699840 &lt;/Members&gt;}{\rtlch\fcs1 \af0 \ltrch\fcs0 \insrsid5184084\charrsid14699840 &#13;_x000a_\par }\pard\plain \ltrpar\ql \li0\ri0\widctlpar\wrapdefault\aspalpha\aspnum\faauto\adjustright\rin0\lin0\itap0\pararsid5184084 \rtlch\fcs1 \af0\afs20\alang1025 \ltrch\fcs0 \fs24\lang2057\langfe2057\cgrid\langnp2057\langfenp2057 {\rtlch\fcs1 \af0 \ltrch\fcs0 &#13;_x000a_\cs15\v\f1\fs20\cf9\lang1024\langfe1024\noproof\langnp1043\insrsid5184084\charrsid2237221 &lt;AuNomDe&gt;&lt;OptDel&gt;}{\rtlch\fcs1 \af0 \ltrch\fcs0 \lang1024\langfe1024\noproof\langnp1043\insrsid5184084\charrsid2237221 [ZONBEHALF]}{\rtlch\fcs1 \af0 \ltrch\fcs0 &#13;_x000a_\cs15\v\f1\fs20\cf9\lang1024\langfe1024\noproof\langnp1043\insrsid5184084\charrsid2237221 &lt;/OptDel&gt;&lt;/AuNomDe&gt;}{\rtlch\fcs1 \af0 \ltrch\fcs0 \lang1043\langfe2057\langnp1043\insrsid5184084\charrsid2237221 &#13;_x000a_\par }{\rtlch\fcs1 \af0 \ltrch\fcs0 \insrsid5184084\charrsid14699840 &lt;&lt;&lt;}{\rtlch\fcs1 \af0 \ltrch\fcs0 \cs15\v\f1\fs20\cf9\lang1024\langfe1024\noproof\insrsid5184084\charrsid14699840 &lt;/RepeatBlock-By&gt;}{\rtlch\fcs1 \af0 \ltrch\fcs0 &#13;_x000a_\insrsid5184084\charrsid14699840 &#13;_x000a_\par }\pard\plain \ltrpar\s17\ql \li0\ri0\nowidctlpar\wrapdefault\aspalpha\aspnum\faauto\adjustright\rin0\lin0\itap0\pararsid5184084 \rtlch\fcs1 \af0\afs20\alang1025 \ltrch\fcs0 \b\fs24\lang2057\langfe2057\cgrid\langnp2057\langfenp2057 {\rtlch\fcs1 \af0 &#13;_x000a_\ltrch\fcs0 \cs15\b0\v\f1\fs20\cf9\insrsid5184084\charrsid946740 &lt;DocAmend&gt;}{\rtlch\fcs1 \af0 \ltrch\fcs0 \insrsid5184084\charrsid946740 [ZRESOLUTION]}{\rtlch\fcs1 \af0 \ltrch\fcs0 \cs15\b0\v\f1\fs20\cf9\insrsid5184084\charrsid946740 &lt;/DocAmend&gt;}{&#13;_x000a_\rtlch\fcs1 \af0 \ltrch\fcs0 \insrsid5184084\charrsid946740 &#13;_x000a_\par }{\rtlch\fcs1 \af0 \ltrch\fcs0 \cs15\b0\v\f1\fs20\cf9\lang1024\langfe1024\noproof\insrsid5184084\charrsid16013815 &lt;Article&gt;}{\rtlch\fcs1 \af0 \ltrch\fcs0 \insrsid5184084\charrsid16013815 [ZRESPART]}{\rtlch\fcs1 \af0 \ltrch\fcs0 &#13;_x000a_\cs15\b0\v\f1\fs20\cf9\lang1024\langfe1024\noproof\insrsid5184084\charrsid16013815 &lt;/Article&gt;}{\rtlch\fcs1 \af0 \ltrch\fcs0 \insrsid5184084\charrsid16013815 &#13;_x000a_\par \ltrrow}\trowd \irow0\irowband0\ltrrow\ts11\trqc\trgaph340\trleft-340\trftsWidth1\trftsWidthB3\trpaddl340\trpaddr340\trpaddfl3\trpaddft3\trpaddfb3\trpaddfr3\tblind0\tblindtype3 \clvertalt\clbrdrt\brdrtbl \clbrdrl\brdrtbl \clbrdrb\brdrtbl \clbrdrr\brdrtbl &#13;_x000a_\cltxlrtb\clftsWidth3\clwWidth9752\clshdrawnil \cellx9412\pard\plain \ltrpar\ql \li0\ri0\keepn\widctlpar\intbl\wrapdefault\aspalpha\aspnum\faauto\adjustright\rin0\lin0\pararsid10630121 \rtlch\fcs1 \af0\afs20\alang1025 \ltrch\fcs0 &#13;_x000a_\fs24\lang2057\langfe2057\cgrid\langnp2057\langfenp2057 {\rtlch\fcs1 \af0 \ltrch\fcs0 \insrsid5184084\charrsid946740 \cell }\pard\plain \ltrpar\ql \li0\ri0\widctlpar\intbl\wrapdefault\aspalpha\aspnum\faauto\adjustright\rin0\lin0 \rtlch\fcs1 &#13;_x000a_\af0\afs20\alang1025 \ltrch\fcs0 \fs24\lang2057\langfe2057\cgrid\langnp2057\langfenp2057 {\rtlch\fcs1 \af0 \ltrch\fcs0 \insrsid5184084\charrsid946740 \trowd \irow0\irowband0\ltrrow&#13;_x000a_\ts11\trqc\trgaph340\trleft-340\trftsWidth1\trftsWidthB3\trpaddl340\trpaddr340\trpaddfl3\trpaddft3\trpaddfb3\trpaddfr3\tblind0\tblindtype3 \clvertalt\clbrdrt\brdrtbl \clbrdrl\brdrtbl \clbrdrb\brdrtbl \clbrdrr\brdrtbl &#13;_x000a_\cltxlrtb\clftsWidth3\clwWidth9752\clshdrawnil \cellx9412\row \ltrrow}\trowd \irow1\irowband1\ltrrow\ts11\trqc\trgaph340\trleft-340\trftsWidth1\trftsWidthB3\trpaddl340\trpaddr340\trpaddfl3\trpaddft3\trpaddfb3\trpaddfr3\tblind0\tblindtype3 \clvertalt&#13;_x000a_\clbrdrt\brdrtbl \clbrdrl\brdrtbl \clbrdrb\brdrtbl \clbrdrr\brdrtbl \cltxlrtb\clftsWidth3\clwWidth4876\clshdrawnil \cellx4536\clvertalt\clbrdrt\brdrtbl \clbrdrl\brdrtbl \clbrdrb\brdrtbl \clbrdrr\brdrtbl \cltxlrtb\clftsWidth3\clwWidth4876\clshdrawnil &#13;_x000a_\cellx9412\pard\plain \ltrpar\s19\qc \li0\ri0\sa240\keepn\nowidctlpar\intbl\wrapdefault\aspalpha\aspnum\faauto\adjustright\rin0\lin0\pararsid10630121 \rtlch\fcs1 \af0\afs20\alang1025 \ltrch\fcs0 \i\fs24\lang2057\langfe2057\cgrid\langnp2057\langfenp2057 {&#13;_x000a_\rtlch\fcs1 \af0 \ltrch\fcs0 \insrsid5184084\charrsid946740 [ZLEFTA]\cell [ZRIGHT]\cell }\pard\plain \ltrpar\ql \li0\ri0\widctlpar\intbl\wrapdefault\aspalpha\aspnum\faauto\adjustright\rin0\lin0 \rtlch\fcs1 \af0\afs20\alang1025 \ltrch\fcs0 &#13;_x000a_\fs24\lang2057\langfe2057\cgrid\langnp2057\langfenp2057 {\rtlch\fcs1 \af0 \ltrch\fcs0 \insrsid5184084\charrsid946740 \trowd \irow1\irowband1\ltrrow&#13;_x000a_\ts11\trqc\trgaph340\trleft-340\trftsWidth1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6\ql \li0\ri0\sa120\nowidctlpar\intbl\wrapdefault\aspalpha\aspnum\faauto\adjustright\rin0\lin0\pararsid12024389 \rtlch\fcs1 \af0\afs20\alang1025 \ltrch\fcs0 \fs24\lang2057\langfe2057\cgrid\langnp2057\langfenp2057 {\rtlch\fcs1 \af0 \ltrch\fcs0 &#13;_x000a_\insrsid5184084\charrsid946740 [ZTEXTL]\cell [ZTEXTR]}{\rtlch\fcs1 \af0\afs24 \ltrch\fcs0 \insrsid5184084\charrsid946740 \cell }\pard\plain \ltrpar\ql \li0\ri0\widctlpar\intbl\wrapdefault\aspalpha\aspnum\faauto\adjustright\rin0\lin0 \rtlch\fcs1 &#13;_x000a_\af0\afs20\alang1025 \ltrch\fcs0 \fs24\lang2057\langfe2057\cgrid\langnp2057\langfenp2057 {\rtlch\fcs1 \af0 \ltrch\fcs0 \insrsid5184084\charrsid946740 \trowd \irow2\irowband2\lastrow \ltrrow&#13;_x000a_\ts11\trqc\trgaph340\trleft-340\trftsWidth1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8\qr \li0\ri0\sb240\sa240\nowidctlpar\wrapdefault\aspalpha\aspnum\faauto\adjustright\rin0\lin0\itap0\pararsid5184084 \rtlch\fcs1 \af0\afs20\alang1025 \ltrch\fcs0 \fs24\lang2057\langfe2057\cgrid\langnp2057\langfenp2057 {\rtlch\fcs1 \af0 \ltrch\fcs0 &#13;_x000a_\insrsid5184084\charrsid946740 Or. }{\rtlch\fcs1 \af0 \ltrch\fcs0 \cs15\v\f1\fs20\cf9\insrsid5184084\charrsid946740 &lt;Original&gt;}{\rtlch\fcs1 \af0 \ltrch\fcs0 \insrsid5184084\charrsid946740 [ZORLANG]}{\rtlch\fcs1 \af0 \ltrch\fcs0 &#13;_x000a_\cs15\v\f1\fs20\cf9\insrsid5184084\charrsid946740 &lt;/Original&gt;}{\rtlch\fcs1 \af0 \ltrch\fcs0 \insrsid5184084\charrsid946740 &#13;_x000a_\par }\pard\plain \ltrpar\ql \li0\ri0\widctlpar\wrapdefault\aspalpha\aspnum\faauto\adjustright\rin0\lin0\itap0\pararsid5184084 \rtlch\fcs1 \af0\afs20\alang1025 \ltrch\fcs0 \fs24\lang2057\langfe2057\cgrid\langnp2057\langfenp2057 {\rtlch\fcs1 \af0 \ltrch\fcs0 &#13;_x000a_\cs15\v\f1\fs20\cf9\insrsid5184084\charrsid946740 &lt;/AmendA&gt;}{\rtlch\fcs1 \af0 \ltrch\fcs0 \insrsid24658\charrsid16324206 {\*\bkmkend restartA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f062&#13;_x000a_7919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7344099 HideTWBExt;}{\s16\ql \li0\ri0\sa120\nowidctlpar\wrapdefault\aspalpha\aspnum\faauto\adjustright\rin0\lin0\itap0 \rtlch\fcs1 \af0\afs20\alang1025 \ltrch\fcs0 &#13;_x000a_\fs24\lang2057\langfe2057\cgrid\langnp2057\langfenp2057 \sbasedon0 \snext16 \spriority0 \styrsid7344099 Normal6a;}{\s17\ql \li0\ri0\nowidctlpar\wrapdefault\aspalpha\aspnum\faauto\adjustright\rin0\lin0\itap0 \rtlch\fcs1 \af0\afs20\alang1025 \ltrch\fcs0 &#13;_x000a_\b\fs24\lang2057\langfe2057\cgrid\langnp2057\langfenp2057 \sbasedon0 \snext17 \spriority0 \styrsid7344099 NormalBold;}{\s18\ql \li0\ri0\sa240\nowidctlpar\wrapdefault\aspalpha\aspnum\faauto\adjustright\rin0\lin0\itap0 \rtlch\fcs1 \af0\afs20\alang1025 &#13;_x000a_\ltrch\fcs0 \i\fs24\lang2057\langfe2057\cgrid\langnp2057\langfenp2057 \sbasedon0 \snext18 \spriority0 \styrsid7344099 AmJustText;}{\s19\qc \li0\ri0\sb240\sa240\nowidctlpar\wrapdefault\aspalpha\aspnum\faauto\adjustright\rin0\lin0\itap0 \rtlch\fcs1 &#13;_x000a_\af0\afs20\alang1025 \ltrch\fcs0 \i\fs24\lang2057\langfe2057\cgrid\langnp2057\langfenp2057 \sbasedon0 \snext19 \spriority0 \styrsid7344099 AmCrossRef;}{&#13;_x000a_\s20\qc \li0\ri0\sb240\sa240\keepn\nowidctlpar\wrapdefault\aspalpha\aspnum\faauto\adjustright\rin0\lin0\itap0 \rtlch\fcs1 \af0\afs20\alang1025 \ltrch\fcs0 \i\fs24\lang2057\langfe2057\cgrid\langnp2057\langfenp2057 &#13;_x000a_\sbasedon0 \snext18 \spriority0 \styrsid7344099 AmJustTitle;}{\s21\qr \li0\ri0\sb240\sa240\nowidctlpar\wrapdefault\aspalpha\aspnum\faauto\adjustright\rin0\lin0\itap0 \rtlch\fcs1 \af0\afs20\alang1025 \ltrch\fcs0 &#13;_x000a_\fs24\lang2057\langfe2057\cgrid\langnp2057\langfenp2057 \sbasedon0 \snext21 \spriority0 \styrsid7344099 AmOrLang;}{\s22\qc \li0\ri0\sa240\nowidctlpar\wrapdefault\aspalpha\aspnum\faauto\adjustright\rin0\lin0\itap0 \rtlch\fcs1 \af0\afs20\alang1025 &#13;_x000a_\ltrch\fcs0 \i\fs24\lang2057\langfe2057\cgrid\langnp2057\langfenp2057 \sbasedon0 \snext22 \spriority0 \styrsid7344099 AmColumnHeading;}{\s23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3 \spriority0 \styrsid7344099 AmNumberTabs;}}{\*\rsidtbl \rsid24658\rsid358857\rsid735077\rsid787282\rsid2892074\rsid3622648\rsid4666813\rsid5708216\rsid6641733&#13;_x000a_\rsid7344099\rsid7553164\rsid8465581\rsid8681905\rsid8724649\rsid9636012\rsid9862312\rsid11215221\rsid11370291\rsid11434737\rsid11607138\rsid11824949\rsid12154954\rsid13981856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6\min3}&#13;_x000a_{\revtim\yr2019\mo7\dy3\hr16\min3}{\version1}{\edmins0}{\nofpages1}{\nofwords42}{\nofchars483}{\*\company European Parliament}{\nofcharsws488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7344099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3981856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3981856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3\ql \li0\ri0\sb240\keepn\nowidctlpar\tx879\tx936\tx1021\tx1077\tx1134\tx1191\tx1247\tx1304\tx1361\tx1418\tx1474\tx1531\tx1588\tx1644\tx1701\tx1758\tx1814\tx1871\tx2070\tx2126\tx3374\tx3430\wrapdefault\aspalpha\aspnum\faauto\adjustright\rin0&#13;_x000a_\lin0\itap0\pararsid7344099 \rtlch\fcs1 \af0\afs20\alang1025 \ltrch\fcs0 \b\fs24\lang2057\langfe2057\cgrid\langnp2057\langfenp2057 {\rtlch\fcs1 \af0 \ltrch\fcs0 \cs15\b0\v\f1\fs20\cf9\insrsid7344099\charrsid946740 {\*\bkmkstart restartB}&lt;AmendB&gt;}{&#13;_x000a_\rtlch\fcs1 \af0 \ltrch\fcs0 \insrsid7344099\charrsid946740 [ZAMENDMENT]\tab \tab }{\rtlch\fcs1 \af0 \ltrch\fcs0 \cs15\b0\v\f1\fs20\cf9\insrsid7344099\charrsid946740 &lt;NumAmB&gt;}{\rtlch\fcs1 \af0 \ltrch\fcs0 \insrsid7344099\charrsid946740 [ZNRAM]}{&#13;_x000a_\rtlch\fcs1 \af0 \ltrch\fcs0 \cs15\b0\v\f1\fs20\cf9\insrsid7344099\charrsid946740 &lt;/NumAmB&gt;}{\rtlch\fcs1 \af0 \ltrch\fcs0 \insrsid7344099\charrsid946740 &#13;_x000a_\par }\pard\plain \ltrpar\s17\ql \li0\ri0\nowidctlpar\wrapdefault\aspalpha\aspnum\faauto\adjustright\rin0\lin0\itap0\pararsid7344099 \rtlch\fcs1 \af0\afs20\alang1025 \ltrch\fcs0 \b\fs24\lang2057\langfe2057\cgrid\langnp2057\langfenp2057 {\rtlch\fcs1 \af0 &#13;_x000a_\ltrch\fcs0 \cs15\b0\v\f1\fs20\cf9\lang1024\langfe1024\noproof\insrsid7344099\charrsid14699840 &lt;RepeatBlock-By&gt;}{\rtlch\fcs1 \af0 \ltrch\fcs0 \lang1024\langfe1024\noproof\insrsid7344099\charrsid14699840 [RepeatMembers]}{\rtlch\fcs1 \af0 \ltrch\fcs0 &#13;_x000a_\cs15\b0\v\f1\fs20\cf9\lang1024\langfe1024\noproof\insrsid7344099\charrsid14699840 &lt;Members&gt;}{\rtlch\fcs1 \af0 \ltrch\fcs0 \insrsid7344099\charrsid14699840 [ZMEMBERS]}{\rtlch\fcs1 \af0 \ltrch\fcs0 &#13;_x000a_\cs15\b0\v\f1\fs20\cf9\lang1024\langfe1024\noproof\insrsid7344099\charrsid14699840 &lt;/Members&gt;}{\rtlch\fcs1 \af0 \ltrch\fcs0 \insrsid7344099\charrsid14699840 &#13;_x000a_\par }\pard\plain \ltrpar\ql \li0\ri0\widctlpar\wrapdefault\aspalpha\aspnum\faauto\adjustright\rin0\lin0\itap0\pararsid7344099 \rtlch\fcs1 \af0\afs20\alang1025 \ltrch\fcs0 \fs24\lang2057\langfe2057\cgrid\langnp2057\langfenp2057 {\rtlch\fcs1 \af0 \ltrch\fcs0 &#13;_x000a_\cs15\v\f1\fs20\cf9\lang1024\langfe1024\noproof\langnp1043\insrsid7344099\charrsid2237221 &lt;AuNomDe&gt;&lt;OptDel&gt;}{\rtlch\fcs1 \af0 \ltrch\fcs0 \lang1024\langfe1024\noproof\langnp1043\insrsid7344099\charrsid2237221 [ZONBEHALF]}{\rtlch\fcs1 \af0 \ltrch\fcs0 &#13;_x000a_\cs15\v\f1\fs20\cf9\lang1024\langfe1024\noproof\langnp1043\insrsid7344099\charrsid2237221 &lt;/OptDel&gt;&lt;/AuNomDe&gt;}{\rtlch\fcs1 \af0 \ltrch\fcs0 \lang1043\langfe2057\langnp1043\insrsid7344099\charrsid2237221 &#13;_x000a_\par }{\rtlch\fcs1 \af0 \ltrch\fcs0 \insrsid7344099\charrsid14699840 &lt;&lt;&lt;}{\rtlch\fcs1 \af0 \ltrch\fcs0 \cs15\v\f1\fs20\cf9\lang1024\langfe1024\noproof\insrsid7344099\charrsid14699840 &lt;/RepeatBlock-By&gt;}{\rtlch\fcs1 \af0 \ltrch\fcs0 &#13;_x000a_\insrsid7344099\charrsid14699840 &#13;_x000a_\par }\pard\plain \ltrpar\s17\ql \li0\ri0\nowidctlpar\wrapdefault\aspalpha\aspnum\faauto\adjustright\rin0\lin0\itap0\pararsid7344099 \rtlch\fcs1 \af0\afs20\alang1025 \ltrch\fcs0 \b\fs24\lang2057\langfe2057\cgrid\langnp2057\langfenp2057 {\rtlch\fcs1 \af0 &#13;_x000a_\ltrch\fcs0 \cs15\b0\v\f1\fs20\cf9\insrsid7344099\charrsid946740 &lt;DocAmend&gt;}{\rtlch\fcs1 \af0 \ltrch\fcs0 \insrsid7344099\charrsid946740 [Z}{\rtlch\fcs1 \af0 \ltrch\fcs0 \insrsid7344099 AMDOC}{\rtlch\fcs1 \af0 \ltrch\fcs0 \insrsid7344099\charrsid946740 ]}&#13;_x000a_{\rtlch\fcs1 \af0 \ltrch\fcs0 \cs15\b0\v\f1\fs20\cf9\insrsid7344099\charrsid946740 &lt;/DocAmend&gt;}{\rtlch\fcs1 \af0 \ltrch\fcs0 \insrsid7344099\charrsid946740 &#13;_x000a_\par }\pard \ltrpar\s17\ql \li0\ri0\keepn\nowidctlpar\wrapdefault\aspalpha\aspnum\faauto\adjustright\rin0\lin0\itap0\pararsid7344099 {\rtlch\fcs1 \af0 \ltrch\fcs0 \cs15\b0\v\f1\fs20\cf9\insrsid7344099\charrsid946740 &lt;Article&gt;}{\rtlch\fcs1 \af0 \ltrch\fcs0 &#13;_x000a_\insrsid7344099\charrsid946740 [ZAMPART]}{\rtlch\fcs1 \af0 \ltrch\fcs0 \cs15\b0\v\f1\fs20\cf9\insrsid7344099\charrsid946740 &lt;/Article&gt;}{\rtlch\fcs1 \af0 \ltrch\fcs0 \insrsid7344099\charrsid946740 &#13;_x000a_\par }\pard\plain \ltrpar\ql \li0\ri0\keepn\widctlpar\wrapdefault\aspalpha\aspnum\faauto\adjustright\rin0\lin0\itap0\pararsid7344099 \rtlch\fcs1 \af0\afs20\alang1025 \ltrch\fcs0 \fs24\lang2057\langfe2057\cgrid\langnp2057\langfenp2057 {\rtlch\fcs1 \af0 &#13;_x000a_\ltrch\fcs0 \cs15\v\f1\fs20\cf9\lang1043\langfe2057\langnp1043\insrsid7344099\charrsid2237221 &lt;DocAmend2&gt;&lt;OptDel&gt;}{\rtlch\fcs1 \af0 \ltrch\fcs0 \lang1043\langfe2057\langnp1043\insrsid7344099\charrsid2237221 [ZNRACT]}{\rtlch\fcs1 \af0 \ltrch\fcs0 &#13;_x000a_\cs15\v\f1\fs20\cf9\lang1043\langfe2057\langnp1043\insrsid7344099\charrsid2237221 &lt;/OptDel&gt;&lt;/DocAmend2&gt;}{\rtlch\fcs1 \af0 \ltrch\fcs0 \lang1043\langfe2057\langnp1043\insrsid7344099\charrsid2237221 &#13;_x000a_\par }\pard \ltrpar\ql \li0\ri0\widctlpar\wrapdefault\aspalpha\aspnum\faauto\adjustright\rin0\lin0\itap0\pararsid7344099 {\rtlch\fcs1 \af0 \ltrch\fcs0 \cs15\v\f1\fs20\cf9\lang1036\langfe2057\langnp1036\insrsid7344099\charrsid2237221 &lt;Article2&gt;&lt;OptDel&gt;}{&#13;_x000a_\rtlch\fcs1 \af0 \ltrch\fcs0 \lang1036\langfe2057\langnp1036\insrsid7344099\charrsid2237221 [ZACTPART]}{\rtlch\fcs1 \af0 \ltrch\fcs0 \cs15\v\f1\fs20\cf9\lang1036\langfe2057\langnp1036\insrsid7344099\charrsid2237221 &lt;/OptDel&gt;&lt;/Article2&gt;}{\rtlch\fcs1 \af0 &#13;_x000a_\ltrch\fcs0 \lang1036\langfe2057\langnp1036\insrsid7344099\charrsid2237221 &#13;_x000a_\par \ltrrow}\trowd \irow0\irowband0\ltrrow\ts11\trqc\trgaph340\trleft-340\trftsWidth3\trwWidth9752\trftsWidthB3\trpaddl340\trpaddr340\trpaddfl3\trpaddft3\trpaddfb3\trpaddfr3\tblind0\tblindtype3 \clvertalt\clbrdrt\brdrtbl \clbrdrl\brdrtbl \clbrdrb\brdrtbl &#13;_x000a_\clbrdrr\brdrtbl \cltxlrtb\clftsWidth3\clwWidth9752\clshdrawnil \cellx9412\pard\plain \ltrpar\ql \li0\ri0\keepn\widctlpar\intbl\wrapdefault\aspalpha\aspnum\faauto\adjustright\rin0\lin0\pararsid10630121 \rtlch\fcs1 \af0\afs20\alang1025 \ltrch\fcs0 &#13;_x000a_\fs24\lang2057\langfe2057\cgrid\langnp2057\langfenp2057 {\rtlch\fcs1 \af0 \ltrch\fcs0 \lang1036\langfe2057\langnp1036\insrsid7344099\charrsid2237221 \cell }\pard\plain \ltrpar&#13;_x000a_\ql \li0\ri0\widctlpar\intbl\wrapdefault\aspalpha\aspnum\faauto\adjustright\rin0\lin0 \rtlch\fcs1 \af0\afs20\alang1025 \ltrch\fcs0 \fs24\lang2057\langfe2057\cgrid\langnp2057\langfenp2057 {\rtlch\fcs1 \af0 \ltrch\fcs0 \insrsid7344099\charrsid11559818 &#13;_x000a_\trowd \irow0\irowband0\ltrrow\ts11\trqc\trgaph340\trleft-340\trftsWidth3\trwWidth9752\trftsWidthB3\trpaddl340\trpaddr340\trpaddfl3\trpaddft3\trpaddfb3\trpaddfr3\tblind0\tblindtype3 \clvertalt\clbrdrt\brdrtbl \clbrdrl\brdrtbl \clbrdrb\brdrtbl \clbrdrr&#13;_x000a_\brdrtbl \cltxlrtb\clftsWidth3\clwWidth9752\clshdrawnil \cellx9412\row \ltrrow}\trowd \irow1\irowband1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22\qc \li0\ri0\sa240\keepn\nowidctlpar\intbl\wrapdefault\aspalpha\aspnum\faauto\adjustright\rin0\lin0\pararsid10630121 \rtlch\fcs1 \af0\afs20\alang1025 \ltrch\fcs0 \i\fs24\lang2057\langfe2057\cgrid\langnp2057\langfenp2057 {\rtlch\fcs1 \af0 \ltrch\fcs0 &#13;_x000a_\insrsid7344099\charrsid946740 [ZLEFTB]\cell [ZRIGHT]\cell }\pard\plain \ltrpar\ql \li0\ri0\widctlpar\intbl\wrapdefault\aspalpha\aspnum\faauto\adjustright\rin0\lin0 \rtlch\fcs1 \af0\afs20\alang1025 \ltrch\fcs0 &#13;_x000a_\fs24\lang2057\langfe2057\cgrid\langnp2057\langfenp2057 {\rtlch\fcs1 \af0 \ltrch\fcs0 \insrsid7344099\charrsid946740 \trowd \irow1\irowband1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6\ql \li0\ri0\sa120\nowidctlpar\intbl\wrapdefault\aspalpha\aspnum\faauto\adjustright\rin0\lin0\pararsid12024389 \rtlch\fcs1 \af0\afs20\alang1025 \ltrch\fcs0 \fs24\lang2057\langfe2057\cgrid\langnp2057\langfenp2057 {\rtlch\fcs1 \af0 \ltrch\fcs0 &#13;_x000a_\insrsid7344099\charrsid946740 [ZTEXTL]\cell [ZTEXTR]}{\rtlch\fcs1 \af0\afs24 \ltrch\fcs0 \insrsid7344099\charrsid946740 \cell }\pard\plain \ltrpar\ql \li0\ri0\widctlpar\intbl\wrapdefault\aspalpha\aspnum\faauto\adjustright\rin0\lin0 \rtlch\fcs1 &#13;_x000a_\af0\afs20\alang1025 \ltrch\fcs0 \fs24\lang2057\langfe2057\cgrid\langnp2057\langfenp2057 {\rtlch\fcs1 \af0 \ltrch\fcs0 \insrsid7344099\charrsid946740 \trowd \irow2\irowband2\lastrow \ltrrow&#13;_x000a_\ts11\trqc\trgaph340\trleft-340\trftsWidth3\trwWidth9752\trftsWidthB3\trpaddl340\trpaddr340\trpaddfl3\trpaddft3\trpaddfb3\trpaddfr3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21\qr \li0\ri0\sb240\sa240\nowidctlpar\wrapdefault\aspalpha\aspnum\faauto\adjustright\rin0\lin0\itap0\pararsid7344099 \rtlch\fcs1 \af0\afs20\alang1025 \ltrch\fcs0 \fs24\lang2057\langfe2057\cgrid\langnp2057\langfenp2057 {\rtlch\fcs1 \af0 \ltrch\fcs0 &#13;_x000a_\insrsid7344099\charrsid946740 Or. }{\rtlch\fcs1 \af0 \ltrch\fcs0 \cs15\v\f1\fs20\cf9\insrsid7344099\charrsid946740 &lt;Original&gt;}{\rtlch\fcs1 \af0 \ltrch\fcs0 \insrsid7344099\charrsid946740 [ZORLANG]}{\rtlch\fcs1 \af0 \ltrch\fcs0 &#13;_x000a_\cs15\v\f1\fs20\cf9\insrsid7344099\charrsid946740 &lt;/Original&gt;}{\rtlch\fcs1 \af0 \ltrch\fcs0 \insrsid7344099\charrsid946740 &#13;_x000a_\par }\pard\plain \ltrpar\s19\qc \li0\ri0\sb240\sa240\nowidctlpar\wrapdefault\aspalpha\aspnum\faauto\adjustright\rin0\lin0\itap0\pararsid7344099 \rtlch\fcs1 \af0\afs20\alang1025 \ltrch\fcs0 \i\fs24\lang2057\langfe2057\cgrid\langnp2057\langfenp2057 {&#13;_x000a_\rtlch\fcs1 \af0 \ltrch\fcs0 \cs15\i0\v\f1\fs20\cf9\insrsid7344099\charrsid946740 &lt;OptDel&gt;}{\rtlch\fcs1 \af0 \ltrch\fcs0 \insrsid7344099\charrsid946740 [ZCROSSREF]}{\rtlch\fcs1 \af0 \ltrch\fcs0 \cs15\i0\v\f1\fs20\cf9\insrsid7344099\charrsid946740 &#13;_x000a_&lt;/OptDel&gt;}{\rtlch\fcs1 \af0 \ltrch\fcs0 \insrsid7344099\charrsid946740 &#13;_x000a_\par }\pard\plain \ltrpar\s20\qc \li0\ri0\sb240\sa240\keepn\nowidctlpar\wrapdefault\aspalpha\aspnum\faauto\adjustright\rin0\lin0\itap0\pararsid7344099 \rtlch\fcs1 \af0\afs20\alang1025 \ltrch\fcs0 \i\fs24\lang2057\langfe2057\cgrid\langnp2057\langfenp2057 {&#13;_x000a_\rtlch\fcs1 \af0 \ltrch\fcs0 \cs15\i0\v\f1\fs20\cf9\insrsid7344099\charrsid946740 &lt;TitreJust&gt;}{\rtlch\fcs1 \af0 \ltrch\fcs0 \insrsid7344099\charrsid946740 [ZJUSTIFICATION]}{\rtlch\fcs1 \af0 \ltrch\fcs0 \cs15\i0\v\f1\fs20\cf9\insrsid7344099\charrsid946740 &#13;_x000a_&lt;/TitreJust&gt;}{\rtlch\fcs1 \af0 \ltrch\fcs0 \insrsid7344099\charrsid946740 &#13;_x000a_\par }\pard\plain \ltrpar\s18\ql \li0\ri0\sa240\nowidctlpar\wrapdefault\aspalpha\aspnum\faauto\adjustright\rin0\lin0\itap0\pararsid7344099 \rtlch\fcs1 \af0\afs20\alang1025 \ltrch\fcs0 \i\fs24\lang2057\langfe2057\cgrid\langnp2057\langfenp2057 {\rtlch\fcs1 \af0 &#13;_x000a_\ltrch\fcs0 \cs15\i0\v\f1\fs20\cf9\insrsid7344099\charrsid946740 &lt;OptDelPrev&gt;}{\rtlch\fcs1 \af0 \ltrch\fcs0 \insrsid7344099\charrsid946740 [ZTEXTJUST]}{\rtlch\fcs1 \af0 \ltrch\fcs0 \cs15\i0\v\f1\fs20\cf9\insrsid7344099\charrsid946740 &lt;/OptDelPrev&gt;}{&#13;_x000a_\rtlch\fcs1 \af0 \ltrch\fcs0 \insrsid7344099\charrsid946740 &#13;_x000a_\par }\pard\plain \ltrpar\ql \li0\ri0\widctlpar\wrapdefault\aspalpha\aspnum\faauto\adjustright\rin0\lin0\itap0\pararsid7344099 \rtlch\fcs1 \af0\afs20\alang1025 \ltrch\fcs0 \fs24\lang2057\langfe2057\cgrid\langnp2057\langfenp2057 {\rtlch\fcs1 \af0 \ltrch\fcs0 &#13;_x000a_\cs15\v\f1\fs20\cf9\insrsid7344099\charrsid946740 &lt;/AmendB&gt;}{\rtlch\fcs1 \af0 \ltrch\fcs0 \insrsid24658\charrsid16324206 {\*\bkmkend restartB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40a2&#13;_x000a_0c1aa8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t-M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widowControl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42</Pages>
  <Words>7150</Words>
  <Characters>51997</Characters>
  <Application>Microsoft Office Word</Application>
  <DocSecurity>0</DocSecurity>
  <Lines>1</Lines>
  <Paragraphs>831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1331374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291141</vt:lpwstr>
  </property>
  <property fmtid="{D5CDD505-2E9C-101B-9397-08002B2CF9AE}" pid="7" name="dmxml.render.traceId">
    <vt:lpwstr>691eda390c281f460752776aa09fd09e</vt:lpwstr>
  </property>
  <property fmtid="{D5CDD505-2E9C-101B-9397-08002B2CF9AE}" pid="8" name="FooterPath">
    <vt:lpwstr>AM\1331374MT.docx</vt:lpwstr>
  </property>
  <property fmtid="{D5CDD505-2E9C-101B-9397-08002B2CF9AE}" pid="9" name="PE Number">
    <vt:lpwstr>779.504</vt:lpwstr>
  </property>
  <property fmtid="{D5CDD505-2E9C-101B-9397-08002B2CF9AE}" pid="10" name="UID">
    <vt:lpwstr>eu.europa.europarl-DIN1-2025-0000212645_02.00-mt-01.00_text-xml</vt:lpwstr>
  </property>
</Properties>
</file>