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Odbor za ekonomske in monetarne zadeve</w:t>
      </w:r>
      <w:r>
        <w:rPr>
          <w:rStyle w:val="HideTWBExt"/>
        </w:rPr>
        <w:t>&lt;/Commission&gt;</w:t>
      </w:r>
    </w:p>
    <w:p>
      <w:pPr>
        <w:pStyle w:val="LineBottom"/>
      </w:pPr>
      <w:r>
        <w:t xml:space="preserve"> </w:t>
      </w:r>
    </w:p>
    <w:p>
      <w:pPr>
        <w:pStyle w:val="CoverReference"/>
      </w:pPr>
      <w:r>
        <w:rPr>
          <w:rStyle w:val="HideTWBExt"/>
        </w:rPr>
        <w:t>&lt;RefProc&gt;</w:t>
      </w:r>
      <w:r>
        <w:t>2025/0052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{07/11/2025}</w:t>
      </w:r>
      <w:r>
        <w:t>7.11.2025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16</w:t>
      </w:r>
      <w:r>
        <w:t xml:space="preserve"> - </w:t>
      </w:r>
      <w:r>
        <w:t>100</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Aurore Lalucq</w:t>
      </w:r>
      <w:r>
        <w:rPr>
          <w:rStyle w:val="HideTWBExt"/>
        </w:rPr>
        <w:t>&lt;/Rapporteur&gt;</w:t>
      </w:r>
    </w:p>
    <w:p>
      <w:pPr>
        <w:pStyle w:val="CoverNormal24a"/>
      </w:pPr>
      <w:r>
        <w:rPr>
          <w:rStyle w:val="HideTWBExt"/>
        </w:rPr>
        <w:t>&lt;DocRefPE&gt;</w:t>
      </w:r>
      <w:r>
        <w:t>(PE778.148v01-00)</w:t>
      </w:r>
      <w:r>
        <w:rPr>
          <w:rStyle w:val="HideTWBExt"/>
        </w:rPr>
        <w:t>&lt;/DocRefPE&gt;</w:t>
      </w:r>
    </w:p>
    <w:p>
      <w:pPr>
        <w:pStyle w:val="CoverNormal24a"/>
      </w:pPr>
      <w:r>
        <w:rPr>
          <w:rStyle w:val="HideTWBExt"/>
        </w:rPr>
        <w:t>&lt;Titre&gt;</w:t>
      </w:r>
      <w:r>
        <w:t>Nefinančna statistika o poslovnih nepremičninah</w:t>
      </w:r>
      <w:r>
        <w:rPr>
          <w:rStyle w:val="HideTWBExt"/>
        </w:rPr>
        <w:t>&lt;/Titre&gt;</w:t>
      </w:r>
    </w:p>
    <w:p>
      <w:pPr>
        <w:pStyle w:val="CoverNormal"/>
      </w:pPr>
      <w:r>
        <w:rPr>
          <w:rStyle w:val="HideTWBExt"/>
        </w:rPr>
        <w:t>&lt;DocAmend&gt;</w:t>
      </w:r>
      <w:r>
        <w:t>Predlog uredbe</w:t>
      </w:r>
      <w:r>
        <w:rPr>
          <w:rStyle w:val="HideTWBExt"/>
        </w:rPr>
        <w:t>&lt;/DocAmend&gt;</w:t>
      </w:r>
    </w:p>
    <w:p>
      <w:pPr>
        <w:pStyle w:val="CoverNormal24a"/>
      </w:pPr>
      <w:r>
        <w:rPr>
          <w:rStyle w:val="HideTWBExt"/>
        </w:rPr>
        <w:t>&lt;DocRef&gt;</w:t>
      </w:r>
      <w:r>
        <w:t>(COM(2025)0100 – 2025/0052(COD))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 xml:space="preserve">v imenu skupine The Left </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Statistika o gibanjih na nepremičninskih trgih je bistvena za oblikovanje ekonomske in monetarne politike, spremljanje sistemskega tveganja in usmerjanje oblikovanja makrobonitetne politike.</w:t>
            </w:r>
          </w:p>
        </w:tc>
        <w:tc>
          <w:tcPr>
            <w:tcW w:w="4876" w:type="dxa"/>
            <w:tcBorders>
              <w:top w:val="nil"/>
              <w:left w:val="nil"/>
              <w:bottom w:val="nil"/>
              <w:right w:val="nil"/>
            </w:tcBorders>
          </w:tcPr>
          <w:p>
            <w:pPr>
              <w:pStyle w:val="Normal6a"/>
            </w:pPr>
            <w:r>
              <w:t>(1)</w:t>
            </w:r>
            <w:r>
              <w:tab/>
            </w:r>
            <w:r>
              <w:t xml:space="preserve">Statistika o gibanjih na nepremičninskih trgih je bistvena za oblikovanje ekonomske in monetarne politike, spremljanje sistemskega tveganja in usmerjanje oblikovanja makrobonitetne politike. </w:t>
            </w:r>
            <w:r>
              <w:rPr>
                <w:b/>
                <w:i/>
              </w:rPr>
              <w:t>Pretekle finančne krize so pokazale, da se lahko gibanja na nepremičninskih trgih izrazijo skozi finančni sistem in močno vplivajo na realno gospodarstvo.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Odbor za finančno stabilnost je v svojem poročilu z dne 19. junija 2025 z naslovom Vulnerabilities in non-bank Commercial Estate Property Investors (Ranljivosti pri nebančnih vlagateljih v poslovne nepremičnine) opredelil glavne ranljivosti, ki izhajajo iz sektorja poslovnih nepremičnin.</w:t>
            </w:r>
            <w:r>
              <w:t xml:space="preserve"> </w:t>
            </w:r>
            <w:r>
              <w:rPr>
                <w:b/>
                <w:i/>
              </w:rPr>
              <w:t>V poročilu so opredeljene preostale podatkovne vrzeli, ki ovirajo pooblastila makrobonitetnih organov.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 istem priporočilu ESRB iz leta 2019 je fizična poslovna nepremičnina opredeljena kot katera koli nepremičnina, ki ustvarja dohodek, obstoječa ali v razvoju, vključno z najemnimi stanovanji, ali nepremičnina, ki jo lastniki uporabljajo za poslovanje, uresničevanje svojega namena ali opravljanje dejavnosti, obstoječa ali v gradnji; ne vključuje nepremičnin, ki so razvrščene kot stanovanjske nepremičnine, in vključuje socialna stanovanja. Opredelitve v tej uredbi so usklajene s tistimi, ki jih je ESRB priporočil leta 2019.</w:t>
            </w:r>
          </w:p>
        </w:tc>
        <w:tc>
          <w:tcPr>
            <w:tcW w:w="4876" w:type="dxa"/>
            <w:tcBorders>
              <w:top w:val="nil"/>
              <w:left w:val="nil"/>
              <w:bottom w:val="nil"/>
              <w:right w:val="nil"/>
            </w:tcBorders>
          </w:tcPr>
          <w:p>
            <w:pPr>
              <w:pStyle w:val="Normal6a"/>
            </w:pPr>
            <w:r>
              <w:t>(6)</w:t>
            </w:r>
            <w:r>
              <w:tab/>
            </w:r>
            <w:r>
              <w:t>V istem priporočilu ESRB iz leta 2019 je fizična poslovna nepremičnina opredeljena kot katera koli nepremičnina, ki ustvarja dohodek, obstoječa ali v razvoju, vključno z najemnimi stanovanji, ali nepremičnina, ki jo lastniki uporabljajo za poslovanje, uresničevanje svojega namena ali opravljanje dejavnosti, obstoječa ali v gradnji; ne vključuje nepremičnin, ki so razvrščene kot stanovanjske nepremičnine, in vključuje socialna stanovanja. Opredelitve v tej uredbi so usklajene s tistimi, ki jih je ESRB priporočil leta 2019</w:t>
            </w:r>
            <w:r>
              <w:rPr>
                <w:b/>
                <w:i/>
              </w:rPr>
              <w:t>, razen socialnih stanovanj, ki so izključena iz poslovnih nepremičnin, kot je navedeno v priporočilu ESRB iz leta 2016, in s poročilom Eurostata „Commercial property price indicators:</w:t>
            </w:r>
            <w:r>
              <w:t xml:space="preserve"> </w:t>
            </w:r>
            <w:r>
              <w:rPr>
                <w:b/>
                <w:i/>
              </w:rPr>
              <w:t>sources, methods and issues“ (Kazalniki cen poslovnih nepremičnin: viri, metode in vprašanja)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Komisija (Eurostat) in nacionalni statistični uradi (NSU) so v tesnem sodelovanju z ESRB ocenili izvedljivost, kar zadeva</w:t>
            </w:r>
            <w:r>
              <w:t xml:space="preserve"> kazalnike fizičnih poslovnih nepremičnin, in sicer indeks cen, indeks dajanja v najem, indeks donosnosti dajanja v najem, stopnje nezasedenosti in začetek gradnje</w:t>
            </w:r>
            <w:r>
              <w:rPr>
                <w:b/>
                <w:i/>
              </w:rPr>
              <w:t>, ki jih je priporočil ESRB.</w:t>
            </w:r>
            <w:r>
              <w:t xml:space="preserve"> </w:t>
            </w:r>
            <w:r>
              <w:rPr>
                <w:b/>
                <w:i/>
              </w:rPr>
              <w:t>Potrjena je bila izvedljivost priprave indeksa cen, indeksa dajanja v najem, začetkov gradnje in dokončanja del. Zaradi omejene razpoložljivosti virov podatkov in nezadostne kakovosti v to uredbo ni mogoče vključiti kazalnikov „indeks donosnosti dajanja v najem“ in „stopnje nezasedenosti“ ter bi ju bilo treba razvijati še naprej</w:t>
            </w:r>
            <w:r>
              <w:t>. Vključen pa je bil dodaten pomemben kazalnik o vrednosti transakcij s poslovnimi nepremičninami.</w:t>
            </w:r>
          </w:p>
        </w:tc>
        <w:tc>
          <w:tcPr>
            <w:tcW w:w="4876" w:type="dxa"/>
            <w:tcBorders>
              <w:top w:val="nil"/>
              <w:left w:val="nil"/>
              <w:bottom w:val="nil"/>
              <w:right w:val="nil"/>
            </w:tcBorders>
          </w:tcPr>
          <w:p>
            <w:pPr>
              <w:pStyle w:val="Normal6a"/>
            </w:pPr>
            <w:r>
              <w:t>(7)</w:t>
            </w:r>
            <w:r>
              <w:tab/>
            </w:r>
            <w:r>
              <w:rPr>
                <w:b/>
                <w:i/>
              </w:rPr>
              <w:t>V skladu s priporočilom ESRB iz leta 2019 bi bilo treba zbirati</w:t>
            </w:r>
            <w:r>
              <w:t xml:space="preserve"> kazalnike fizičnih poslovnih nepremičnin, in sicer indeks cen, indeks dajanja v najem, indeks donosnosti dajanja v najem, stopnje nezasedenosti in začetek gradnje. Vključen pa je bil dodaten pomemben kazalnik o vrednosti transakcij s poslovnimi nepremičninami.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Ker so bili indeks donosnosti dajanja v najem in kazalniki stopenj nezasedenosti skupaj z drugimi kazalniki vključeni že v priporočilo ESRB iz leta 2016, bi jih bilo treba zahtevati že od začetka uporabe te uredbe.</w:t>
      </w:r>
    </w:p>
    <w:p>
      <w:r>
        <w:rPr>
          <w:rStyle w:val="HideTWBExt"/>
        </w:rPr>
        <w:t>&lt;/Amend&gt;</w:t>
      </w:r>
    </w:p>
    <w:p>
      <w:pPr>
        <w:pStyle w:val="AmNumberTabs"/>
      </w:pPr>
      <w:r>
        <w:rPr>
          <w:rStyle w:val="HideTWBExt"/>
        </w:rPr>
        <w:t>&lt;Amend&gt;</w:t>
      </w:r>
      <w:r>
        <w:t>Predlog spremembe</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Komisija (Eurostat) in nacionalni statistični uradi (NSU) so v tesnem sodelovanju z ESRB ocenili izvedljivost, kar zadeva kazalnike fizičnih poslovnih nepremičnin, in sicer indeks cen, indeks dajanja v najem, indeks donosnosti dajanja v najem, stopnje nezasedenosti in začetek gradnje, ki jih je priporočil ESRB. Potrjena je bila izvedljivost priprave indeksa cen, indeksa dajanja v najem, začetkov gradnje in dokončanja del. Zaradi omejene razpoložljivosti virov podatkov in nezadostne kakovosti v to uredbo ni mogoče vključiti kazalnikov „indeks donosnosti dajanja v najem“ in „stopnje nezasedenosti“ </w:t>
            </w:r>
            <w:r>
              <w:rPr>
                <w:b/>
                <w:i/>
              </w:rPr>
              <w:t>ter bi ju bilo treba razvijati še naprej</w:t>
            </w:r>
            <w:r>
              <w:t>. Vključen pa je bil dodaten pomemben kazalnik o vrednosti transakcij s poslovnimi nepremičninami.</w:t>
            </w:r>
          </w:p>
        </w:tc>
        <w:tc>
          <w:tcPr>
            <w:tcW w:w="4876" w:type="dxa"/>
            <w:tcBorders>
              <w:top w:val="nil"/>
              <w:left w:val="nil"/>
              <w:bottom w:val="nil"/>
              <w:right w:val="nil"/>
            </w:tcBorders>
          </w:tcPr>
          <w:p>
            <w:pPr>
              <w:pStyle w:val="Normal6a"/>
            </w:pPr>
            <w:r>
              <w:t>(7)</w:t>
            </w:r>
            <w:r>
              <w:tab/>
            </w:r>
            <w:r>
              <w:t>Komisija (Eurostat) in nacionalni statistični uradi (NSU) so v tesnem sodelovanju z ESRB ocenili izvedljivost, kar zadeva kazalnike fizičnih poslovnih nepremičnin,</w:t>
            </w:r>
            <w:r>
              <w:rPr>
                <w:b/>
                <w:i/>
              </w:rPr>
              <w:t> </w:t>
            </w:r>
            <w:r>
              <w:t xml:space="preserve"> in sicer indeks cen, indeks dajanja v najem, indeks donosnosti dajanja v najem, stopnje nezasedenosti in začetek gradnje, ki jih je priporočil ESRB. Potrjena je bila izvedljivost priprave indeksa cen, indeksa dajanja v najem, začetkov gradnje in dokončanja del. Zaradi omejene razpoložljivosti virov podatkov in nezadostne kakovosti v to uredbo ni mogoče vključiti kazalnikov „indeks donosnosti dajanja v najem“ in „stopnje nezasedenosti“. Vključen pa je bil dodaten pomemben kazalnik o vrednosti transakcij s poslovnimi nepremičninami.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Komisija (Eurostat) in nacionalni statistični uradi (NSU) so v tesnem sodelovanju z ESRB ocenili izvedljivost, kar zadeva kazalnike fizičnih poslovnih nepremičnin, in sicer indeks cen, indeks dajanja v najem, indeks donosnosti dajanja v najem, stopnje nezasedenosti in začetek gradnje, ki jih je priporočil ESRB. Potrjena je bila izvedljivost priprave indeksa cen, indeksa dajanja v najem, začetkov gradnje in dokončanja del. Zaradi omejene razpoložljivosti virov podatkov in nezadostne kakovosti v to uredbo ni mogoče vključiti kazalnikov „indeks donosnosti dajanja v najem“ in „stopnje nezasedenosti“ </w:t>
            </w:r>
            <w:r>
              <w:rPr>
                <w:b/>
                <w:i/>
              </w:rPr>
              <w:t>ter bi ju bilo treba razvijati še naprej</w:t>
            </w:r>
            <w:r>
              <w:t>. Vključen pa je bil dodaten pomemben kazalnik o vrednosti transakcij s poslovnimi nepremičninami.</w:t>
            </w:r>
          </w:p>
        </w:tc>
        <w:tc>
          <w:tcPr>
            <w:tcW w:w="4876" w:type="dxa"/>
            <w:tcBorders>
              <w:top w:val="nil"/>
              <w:left w:val="nil"/>
              <w:bottom w:val="nil"/>
              <w:right w:val="nil"/>
            </w:tcBorders>
          </w:tcPr>
          <w:p>
            <w:pPr>
              <w:pStyle w:val="Normal6a"/>
            </w:pPr>
            <w:r>
              <w:t>(7)</w:t>
            </w:r>
            <w:r>
              <w:tab/>
            </w:r>
            <w:r>
              <w:t>Komisija (Eurostat) in nacionalni statistični uradi (NSU) so v tesnem sodelovanju z ESRB ocenili izvedljivost, kar zadeva kazalnike fizičnih poslovnih nepremičnin,</w:t>
            </w:r>
            <w:r>
              <w:rPr>
                <w:b/>
                <w:i/>
              </w:rPr>
              <w:t> </w:t>
            </w:r>
            <w:r>
              <w:t xml:space="preserve"> in sicer indeks cen, indeks dajanja v najem, indeks donosnosti dajanja v najem, stopnje nezasedenosti in začetek gradnje, ki jih je priporočil ESRB. Potrjena je bila izvedljivost priprave indeksa cen, indeksa dajanja v najem, začetkov gradnje in dokončanja del. Zaradi omejene razpoložljivosti virov podatkov in nezadostne kakovosti v to uredbo ni mogoče vključiti kazalnikov „indeks donosnosti dajanja v najem“ in „stopnje nezasedenosti“. Vključen pa je bil dodaten pomemben kazalnik o vrednosti transakcij s poslovnimi nepremičninami.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Komisija (Eurostat) in nacionalni statistični uradi (NSU) so v tesnem sodelovanju z ESRB ocenili izvedljivost, kar zadeva kazalnike fizičnih poslovnih nepremičnin, in sicer indeks cen, indeks dajanja v najem, indeks donosnosti dajanja v najem, stopnje nezasedenosti in začetek gradnje, ki jih je priporočil ESRB. </w:t>
            </w:r>
            <w:r>
              <w:rPr>
                <w:b/>
                <w:i/>
              </w:rPr>
              <w:t>Potrjena</w:t>
            </w:r>
            <w:r>
              <w:t xml:space="preserve"> je bila izvedljivost priprave indeksa cen, indeksa dajanja v najem, začetkov gradnje in dokončanja del. Zaradi omejene razpoložljivosti virov podatkov in nezadostne kakovosti v to uredbo ni mogoče vključiti kazalnikov „indeks donosnosti dajanja v najem“ in „stopnje nezasedenosti“ ter bi ju bilo treba razvijati še naprej. Vključen pa je bil dodaten pomemben kazalnik o vrednosti transakcij s poslovnimi nepremičninami.</w:t>
            </w:r>
          </w:p>
        </w:tc>
        <w:tc>
          <w:tcPr>
            <w:tcW w:w="4876" w:type="dxa"/>
            <w:tcBorders>
              <w:top w:val="nil"/>
              <w:left w:val="nil"/>
              <w:bottom w:val="nil"/>
              <w:right w:val="nil"/>
            </w:tcBorders>
          </w:tcPr>
          <w:p>
            <w:pPr>
              <w:pStyle w:val="Normal6a"/>
            </w:pPr>
            <w:r>
              <w:t>(7)</w:t>
            </w:r>
            <w:r>
              <w:tab/>
            </w:r>
            <w:r>
              <w:t xml:space="preserve">Komisija (Eurostat) in nacionalni statistični uradi (NSU) so v tesnem sodelovanju z ESRB ocenili izvedljivost, kar zadeva kazalnike fizičnih poslovnih nepremičnin, in sicer indeks cen, indeks dajanja v najem, indeks donosnosti dajanja v najem, stopnje nezasedenosti in začetek gradnje, ki jih je priporočil ESRB. </w:t>
            </w:r>
            <w:r>
              <w:rPr>
                <w:b/>
                <w:i/>
              </w:rPr>
              <w:t>V primeru nekaterih držav članic</w:t>
            </w:r>
            <w:r>
              <w:t xml:space="preserve"> je bila </w:t>
            </w:r>
            <w:r>
              <w:rPr>
                <w:b/>
                <w:i/>
              </w:rPr>
              <w:t>potrjena</w:t>
            </w:r>
            <w:r>
              <w:t xml:space="preserve"> izvedljivost priprave indeksa cen, indeksa dajanja v najem, začetkov gradnje in dokončanja del. Zaradi omejene razpoložljivosti virov podatkov in nezadostne kakovosti v to uredbo ni mogoče vključiti kazalnikov „indeks donosnosti dajanja v najem“ in „stopnje nezasedenosti“ ter bi ju bilo treba razvijati še naprej. Vključen pa je bil dodaten pomemben kazalnik o vrednosti transakcij s poslovnimi nepremičninami.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NSU in Komisija (Eurostat) bi morali imeti tudi pravico do dostopa do novih virov podatkov, vključno s podatki v zasebni lasti, in njihove uporabe za statistične namene v skladu s členom 17b Uredbe (ES) št. 223/2009, kakor je bila spremenjena z Uredbo (EU) 2024/3018.</w:t>
            </w:r>
            <w:r>
              <w:t xml:space="preserve"> </w:t>
            </w:r>
            <w:r>
              <w:rPr>
                <w:b/>
                <w:i/>
              </w:rPr>
              <w:t>Zasebni imetnik podatkov bi moral podatke in ustrezne metapodatke na zahtevo brezplačno dati na voljo NSU ali Komisiji (Eurostatu), kadar so zahtevani podatki nujno potrebni za razvoj, pripravo in izkazovanje evropske nefinančne statistike o poslovnih nepremičninah ter jih ni mogoče pridobiti z drugimi sredstvi ali pa se bo z njihovo ponovno uporabo znatno zmanjšalo breme poročanja za imetnike podatkov in druga podjetja.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NSU in Komisija (Eurostat) bi morali imeti tudi pravico do dostopa do novih virov podatkov, vključno s podatki v zasebni lasti, in njihove uporabe za statistične namene v skladu s členom 17b Uredbe (ES) št. 223/2009, kakor je bila spremenjena z Uredbo (EU) 2024/3018. Zasebni imetnik podatkov bi moral podatke in ustrezne metapodatke na zahtevo brezplačno dati na voljo NSU ali Komisiji (Eurostatu), kadar so zahtevani podatki nujno potrebni za razvoj, pripravo in izkazovanje evropske nefinančne statistike o poslovnih nepremičninah ter jih ni mogoče pridobiti z drugimi sredstvi ali pa se bo z njihovo ponovno uporabo znatno zmanjšalo breme poročanja za imetnike podatkov in druga podjetja.</w:t>
            </w:r>
          </w:p>
        </w:tc>
        <w:tc>
          <w:tcPr>
            <w:tcW w:w="4876" w:type="dxa"/>
            <w:tcBorders>
              <w:top w:val="nil"/>
              <w:left w:val="nil"/>
              <w:bottom w:val="nil"/>
              <w:right w:val="nil"/>
            </w:tcBorders>
          </w:tcPr>
          <w:p>
            <w:pPr>
              <w:pStyle w:val="Normal6a"/>
            </w:pPr>
            <w:r>
              <w:t>(10)</w:t>
            </w:r>
            <w:r>
              <w:tab/>
            </w:r>
            <w:r>
              <w:t xml:space="preserve">NSU in Komisija (Eurostat) bi morali imeti tudi pravico do dostopa do novih virov podatkov, vključno s podatki v zasebni lasti, in njihove uporabe za statistične namene v skladu s členom 17b Uredbe (ES) št. 223/2009, kakor je bila spremenjena z Uredbo (EU) 2024/3018. Zasebni imetnik podatkov bi moral podatke in ustrezne metapodatke na zahtevo brezplačno dati na voljo NSU ali Komisiji (Eurostatu), kadar so zahtevani podatki nujno potrebni za razvoj, pripravo in izkazovanje evropske nefinančne statistike o poslovnih nepremičninah ter jih ni mogoče pridobiti z drugimi sredstvi ali pa se bo z njihovo ponovno uporabo znatno zmanjšalo breme poročanja za imetnike podatkov in druga podjetja. </w:t>
            </w:r>
            <w:r>
              <w:rPr>
                <w:b/>
                <w:i/>
              </w:rPr>
              <w:t>Nacionalni statistični uradi in Komisija bi morali pri uveljavljanju svoje pravice, da zahtevajo podatke od zasebnih imetnikov podatkov, zagotoviti, da podjetja in združenja niso čezmerno ekonomsko obremenjena.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NSU in Komisija (Eurostat) bi morali imeti tudi pravico do dostopa do novih virov podatkov, vključno s podatki v zasebni lasti, in njihove uporabe za statistične namene v skladu s členom 17b Uredbe (ES) št. 223/2009, kakor je bila spremenjena z Uredbo (EU) 2024/3018. Zasebni imetnik podatkov bi moral podatke in ustrezne metapodatke na zahtevo brezplačno dati na voljo NSU ali Komisiji (Eurostatu), kadar so zahtevani podatki nujno potrebni za razvoj, pripravo in izkazovanje evropske nefinančne statistike o poslovnih nepremičninah ter jih ni mogoče pridobiti z drugimi sredstvi ali pa se bo z njihovo ponovno uporabo znatno zmanjšalo breme poročanja za imetnike podatkov in druga podjetja.</w:t>
            </w:r>
          </w:p>
        </w:tc>
        <w:tc>
          <w:tcPr>
            <w:tcW w:w="4876" w:type="dxa"/>
            <w:tcBorders>
              <w:top w:val="nil"/>
              <w:left w:val="nil"/>
              <w:bottom w:val="nil"/>
              <w:right w:val="nil"/>
            </w:tcBorders>
          </w:tcPr>
          <w:p>
            <w:pPr>
              <w:pStyle w:val="Normal6a"/>
            </w:pPr>
            <w:r>
              <w:t>(10)</w:t>
            </w:r>
            <w:r>
              <w:tab/>
            </w:r>
            <w:r>
              <w:t xml:space="preserve">NSU in Komisija (Eurostat) bi morali imeti tudi pravico do dostopa do novih virov podatkov, vključno s podatki v zasebni lasti, in njihove uporabe za statistične namene v skladu s členom 17b Uredbe (ES) št. 223/2009, kakor je bila spremenjena z Uredbo (EU) 2024/3018. Zasebni imetnik podatkov bi moral podatke in ustrezne metapodatke na zahtevo brezplačno dati na voljo NSU ali Komisiji (Eurostatu), kadar so zahtevani podatki nujno potrebni za razvoj, pripravo in izkazovanje evropske nefinančne statistike o poslovnih nepremičninah ter jih ni mogoče pridobiti z drugimi sredstvi ali pa se bo z njihovo ponovno uporabo znatno zmanjšalo breme poročanja za imetnike podatkov in druga podjetja. </w:t>
            </w:r>
            <w:r>
              <w:rPr>
                <w:b/>
                <w:i/>
              </w:rPr>
              <w:t>Pravica nacionalnih statističnih uradov in Komisije, da zahtevajo podatke od zasebnih imetnikov podatkov, ne bi smela povzročiti nesorazmerne ekonomske obremenitve podjetij ali združenj.</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Da bi se upošteval gospodarski in tehnični razvoj, bi bilo treba na Komisijo prenesti pooblastila, da v skladu s členom 290 Pogodbe o delovanju Evropske unije sprejme akte za spremembo seznama spremenljivk iz Priloge I.</w:t>
            </w:r>
            <w:r>
              <w:t xml:space="preserve"> </w:t>
            </w:r>
            <w:r>
              <w:rPr>
                <w:b/>
                <w:i/>
              </w:rPr>
              <w:t>Zlasti je pomembno, da se Komisija pri svojem pripravljalnem delu ustrezno posvetuje, vključno na ravni strokovnjakov, in da se ta posvetovanja izvedejo v skladu z načeli, določenimi v Medinstitucionalnem sporazumu z dne 13. aprila 2016 o boljši pripravi zakonodaje (</w:t>
            </w:r>
            <w:r>
              <w:rPr>
                <w:b/>
                <w:i/>
                <w:vertAlign w:val="superscript"/>
              </w:rPr>
              <w:t>8</w:t>
            </w:r>
            <w:r>
              <w:rPr>
                <w:b/>
                <w:i/>
              </w:rPr>
              <w:t>).</w:t>
            </w:r>
            <w:r>
              <w:t xml:space="preserve"> </w:t>
            </w:r>
            <w:r>
              <w:rPr>
                <w:b/>
                <w:i/>
              </w:rPr>
              <w:t>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UL L 123, 12.5.2016, str.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Da bi </w:t>
            </w:r>
            <w:r>
              <w:rPr>
                <w:b/>
                <w:i/>
              </w:rPr>
              <w:t>se upošteval gospodarski in tehnični razvoj, bi bilo treba na Komisijo prenesti pooblastila, da v skladu s členom 290 Pogodbe o delovanju Evropske unije sprejme akte za spremembo seznama</w:t>
            </w:r>
            <w:r>
              <w:t xml:space="preserve"> spremenljivk </w:t>
            </w:r>
            <w:r>
              <w:rPr>
                <w:b/>
                <w:i/>
              </w:rPr>
              <w:t>iz Priloge I.</w:t>
            </w:r>
            <w:r>
              <w:t xml:space="preserve"> </w:t>
            </w:r>
            <w:r>
              <w:rPr>
                <w:b/>
                <w:i/>
              </w:rPr>
              <w:t>Zlasti je pomembno, da se Komisija pri svojem pripravljalnem delu ustrezno posvetuje, vključno na ravni strokovnjakov, in da se ta posvetovanja</w:t>
            </w:r>
            <w:r>
              <w:t xml:space="preserve"> izvedejo </w:t>
            </w:r>
            <w:r>
              <w:rPr>
                <w:b/>
                <w:i/>
              </w:rPr>
              <w:t>v skladu z načeli, določenimi v Medinstitucionalnem sporazumu z dne 13. aprila 2016 o boljši pripravi zakonodaje (</w:t>
            </w:r>
            <w:r>
              <w:rPr>
                <w:b/>
                <w:i/>
                <w:vertAlign w:val="superscript"/>
              </w:rPr>
              <w:t>8</w:t>
            </w:r>
            <w:r>
              <w:rPr>
                <w:b/>
                <w:i/>
              </w:rPr>
              <w:t>).</w:t>
            </w:r>
            <w:r>
              <w:t xml:space="preserve"> </w:t>
            </w:r>
            <w:r>
              <w:rPr>
                <w:b/>
                <w:i/>
              </w:rPr>
              <w:t>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r>
              <w:t>.</w:t>
            </w:r>
          </w:p>
        </w:tc>
        <w:tc>
          <w:tcPr>
            <w:tcW w:w="4876" w:type="dxa"/>
            <w:tcBorders>
              <w:top w:val="nil"/>
              <w:left w:val="nil"/>
              <w:bottom w:val="nil"/>
              <w:right w:val="nil"/>
            </w:tcBorders>
          </w:tcPr>
          <w:p>
            <w:pPr>
              <w:pStyle w:val="Normal6a"/>
            </w:pPr>
            <w:r>
              <w:t>(16)</w:t>
            </w:r>
            <w:r>
              <w:tab/>
            </w:r>
            <w:r>
              <w:t xml:space="preserve">Da bi </w:t>
            </w:r>
            <w:r>
              <w:rPr>
                <w:b/>
                <w:i/>
              </w:rPr>
              <w:t>zagotovili stabilen in pregleden regulativni okvir za statistične zahteve iz te uredbe, se prilagoditve</w:t>
            </w:r>
            <w:r>
              <w:t xml:space="preserve"> spremenljivk</w:t>
            </w:r>
            <w:r>
              <w:rPr>
                <w:b/>
                <w:i/>
              </w:rPr>
              <w:t>, navedenih v Prilogi I, lahko</w:t>
            </w:r>
            <w:r>
              <w:t xml:space="preserve"> izvedejo </w:t>
            </w:r>
            <w:r>
              <w:rPr>
                <w:b/>
                <w:i/>
              </w:rPr>
              <w:t>le s spremembo te uredbe po rednem zakonodajnem postopku.</w:t>
            </w:r>
            <w:r>
              <w:t xml:space="preserve"> </w:t>
            </w:r>
            <w:r>
              <w:rPr>
                <w:b/>
                <w:i/>
              </w:rPr>
              <w:t>Izvedbeni akti bi morali obravnavati zgolj tehnične podrobnosti, ki ne povzročajo novih ali dodatnih obveznosti poročanja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UL L 123, 12.5.2016, str.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Da bi </w:t>
            </w:r>
            <w:r>
              <w:rPr>
                <w:b/>
                <w:i/>
              </w:rPr>
              <w:t>se upošteval gospodarski in tehnični razvoj, bi bilo treba na Komisijo prenesti pooblastila, da v skladu s členom 290 Pogodbe o delovanju Evropske unije sprejme akte za</w:t>
            </w:r>
            <w:r>
              <w:t xml:space="preserve"> spremembo </w:t>
            </w:r>
            <w:r>
              <w:rPr>
                <w:b/>
                <w:i/>
              </w:rPr>
              <w:t>seznama spremenljivk iz Priloge I.</w:t>
            </w:r>
            <w:r>
              <w:t xml:space="preserve"> </w:t>
            </w:r>
            <w:r>
              <w:rPr>
                <w:b/>
                <w:i/>
              </w:rPr>
              <w:t>Zlasti je pomembno, da se Komisija pri svojem pripravljalnem delu ustrezno posvetuje, vključno na ravni strokovnjakov, in da se ta posvetovanja izvedejo v skladu z načeli, določenimi v Medinstitucionalnem sporazumu z dne 13. aprila 2016 o boljši pripravi zakonodaje (</w:t>
            </w:r>
            <w:r>
              <w:rPr>
                <w:b/>
                <w:i/>
                <w:vertAlign w:val="superscript"/>
              </w:rPr>
              <w:t>8</w:t>
            </w:r>
            <w:r>
              <w:rPr>
                <w:b/>
                <w:i/>
              </w:rPr>
              <w:t>).</w:t>
            </w:r>
            <w:r>
              <w:t xml:space="preserve"> </w:t>
            </w:r>
            <w:r>
              <w:rPr>
                <w:b/>
                <w:i/>
              </w:rPr>
              <w:t>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r>
              <w:t>.</w:t>
            </w:r>
          </w:p>
        </w:tc>
        <w:tc>
          <w:tcPr>
            <w:tcW w:w="4876" w:type="dxa"/>
            <w:tcBorders>
              <w:top w:val="nil"/>
              <w:left w:val="nil"/>
              <w:bottom w:val="nil"/>
              <w:right w:val="nil"/>
            </w:tcBorders>
          </w:tcPr>
          <w:p>
            <w:pPr>
              <w:pStyle w:val="Normal6a"/>
            </w:pPr>
            <w:r>
              <w:t>(16)</w:t>
            </w:r>
            <w:r>
              <w:tab/>
            </w:r>
            <w:r>
              <w:t xml:space="preserve">Da bi </w:t>
            </w:r>
            <w:r>
              <w:rPr>
                <w:b/>
                <w:i/>
              </w:rPr>
              <w:t>zagotovili, da statistične zahteve iz te uredbe temeljijo na stabilnem in preglednem regulativnem okviru, se spremenljivke, navedene v Prilogi I, l lahko prilagodijo le s</w:t>
            </w:r>
            <w:r>
              <w:t xml:space="preserve"> spremembo </w:t>
            </w:r>
            <w:r>
              <w:rPr>
                <w:b/>
                <w:i/>
              </w:rPr>
              <w:t>te uredbe po rednem zakonodajnem postopku.</w:t>
            </w:r>
            <w:r>
              <w:t xml:space="preserve"> </w:t>
            </w:r>
            <w:r>
              <w:rPr>
                <w:b/>
                <w:i/>
              </w:rPr>
              <w:t>Izvedbeni akti bi morali obravnavati izključno tehnične podrobnosti, ki ne povzročajo novih ali dodatnih obveznosti poročanja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UL L 123, 12.5.2016, str.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Za zagotovitev enotnih pogojev izvajanja te uredbe v zvezi s podrobnostmi spremenljivk, kakor tudi obliko ter ukrepi v zvezi z varnostjo in zaupnostjo ter postopkom za izmenjavo zaupnih podatkov, praktično ureditvijo posredovanja poročil o kakovosti in metapodatkih ter njihovo vsebino in roki za posredovanje, standardi za posredovanje podatkov in metapodatkov ter odstopanji od zahtev te uredbe ali od izvedbenih aktov, sprejetih na podlagi te uredbe, bi bilo treba na Komisijo prenesti izvedbena pooblastila.</w:t>
            </w:r>
            <w:r>
              <w:t xml:space="preserve"> </w:t>
            </w:r>
            <w:r>
              <w:rPr>
                <w:b/>
                <w:i/>
              </w:rPr>
              <w:t>Ta pooblastila bi bilo treba izvajati v skladu z Uredbo (EU) št. 182/2011 Evropskega parlamenta in Sveta (</w:t>
            </w:r>
            <w:r>
              <w:rPr>
                <w:b/>
                <w:i/>
                <w:vertAlign w:val="superscript"/>
              </w:rPr>
              <w:t>9</w:t>
            </w:r>
            <w:r>
              <w:rPr>
                <w:b/>
                <w:i/>
              </w:rPr>
              <w:t>).</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9</w:t>
            </w:r>
            <w:r>
              <w:t xml:space="preserve"> </w:t>
            </w:r>
            <w:r>
              <w:rPr>
                <w:b/>
                <w:i/>
              </w:rPr>
              <w:t>UL L 55, 28.2.2011, str. 13.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Za zagotovitev enotnih pogojev izvajanja te uredbe </w:t>
            </w:r>
            <w:r>
              <w:rPr>
                <w:b/>
                <w:i/>
              </w:rPr>
              <w:t>v zvezi s podrobnostmi spremenljivk, kakor tudi obliko ter ukrepi v zvezi z varnostjo in zaupnostjo ter postopkom za izmenjavo zaupnih podatkov, praktično ureditvijo posredovanja poročil o kakovosti in metapodatkih ter njihovo vsebino in roki za posredovanje, standardi za posredovanje podatkov in metapodatkov ter odstopanji od zahtev te uredbe ali od izvedbenih aktov, sprejetih na podlagi te uredbe,</w:t>
            </w:r>
            <w:r>
              <w:t xml:space="preserve"> bi bilo treba na Komisijo prenesti izvedbena pooblastila. Ta pooblastila bi bilo treba izvajati v skladu z Uredbo (EU) št. 182/2011 Evropskega parlamenta in Sveta </w:t>
            </w:r>
            <w:r>
              <w:rPr>
                <w:b/>
                <w:i/>
              </w:rPr>
              <w:t>(</w:t>
            </w:r>
            <w:r>
              <w:rPr>
                <w:vertAlign w:val="superscript"/>
              </w:rPr>
              <w:t>9</w:t>
            </w:r>
            <w:r>
              <w:rPr>
                <w:b/>
                <w:i/>
              </w:rPr>
              <w:t>)</w:t>
            </w:r>
            <w:r>
              <w:t>.</w:t>
            </w:r>
          </w:p>
        </w:tc>
        <w:tc>
          <w:tcPr>
            <w:tcW w:w="4876" w:type="dxa"/>
            <w:tcBorders>
              <w:top w:val="nil"/>
              <w:left w:val="nil"/>
              <w:bottom w:val="nil"/>
              <w:right w:val="nil"/>
            </w:tcBorders>
          </w:tcPr>
          <w:p>
            <w:pPr>
              <w:pStyle w:val="Normal6a"/>
            </w:pPr>
            <w:r>
              <w:t>(17)</w:t>
            </w:r>
            <w:r>
              <w:tab/>
            </w:r>
            <w:r>
              <w:t>Za zagotovitev enotnih pogojev izvajanja te uredbe bi bilo treba na Komisijo prenesti izvedbena pooblastila</w:t>
            </w:r>
            <w:r>
              <w:rPr>
                <w:b/>
                <w:i/>
              </w:rPr>
              <w:t>.</w:t>
            </w:r>
            <w:r>
              <w:t xml:space="preserve"> </w:t>
            </w:r>
            <w:r>
              <w:rPr>
                <w:b/>
                <w:i/>
              </w:rPr>
              <w:t>Ti izvedbeni akti bi se morali nanašati izključno na tehnične podrobnosti in praktične ureditve, potrebne za uporabo te uredbe, kot so določitev formatov, postopki za prenos podatkov, varnostni ukrepi ali tehnične specifikacije, vključno z določitvijo izvzetij iz zahtev te uredbe.</w:t>
            </w:r>
            <w:r>
              <w:t xml:space="preserve"> </w:t>
            </w:r>
            <w:r>
              <w:rPr>
                <w:b/>
                <w:i/>
              </w:rPr>
              <w:t>Ne bi smeli ustvariti novih ali razširjenih obveznosti poročanja za države članice ali ponudnike podatkov</w:t>
            </w:r>
            <w:r>
              <w:t>. Ta pooblastila bi bilo treba izvajati v skladu z Uredbo (EU) št. 182/2011 Evropskega parlamenta in Sveta</w:t>
            </w:r>
            <w:r>
              <w:rPr>
                <w:vertAlign w:val="superscript"/>
              </w:rPr>
              <w:t>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UL L 55, 28.2.2011, str. 13.</w:t>
            </w:r>
          </w:p>
        </w:tc>
        <w:tc>
          <w:tcPr>
            <w:tcW w:w="4876" w:type="dxa"/>
            <w:tcBorders>
              <w:top w:val="nil"/>
              <w:left w:val="nil"/>
              <w:bottom w:val="nil"/>
              <w:right w:val="nil"/>
            </w:tcBorders>
          </w:tcPr>
          <w:p>
            <w:pPr>
              <w:pStyle w:val="Normal6a"/>
            </w:pPr>
            <w:r>
              <w:rPr>
                <w:vertAlign w:val="superscript"/>
              </w:rPr>
              <w:t>9</w:t>
            </w:r>
            <w:r>
              <w:t xml:space="preserve"> </w:t>
            </w:r>
            <w:r>
              <w:t>UL L 55, 28.2.2011, str. 13.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Kadar bi bile za uporabo te uredbe ali izvedbenih aktov, sprejetih na podlagi te uredbe, potrebne velike prilagoditve nacionalnega statističnega sistema države članice, bi morala Komisija v ustrezno utemeljenih primerih imeti možnost zadevni državi članici odobriti odstopanja.</w:t>
            </w:r>
            <w:r>
              <w:t xml:space="preserve"> </w:t>
            </w:r>
            <w:r>
              <w:rPr>
                <w:b/>
                <w:i/>
              </w:rPr>
              <w:t>Taka odstopanja bi morala biti začasna in odobrena za trajanje največ treh let. Komisija bi morala zadevnim državam članicam zagotoviti pomoč pri njihovih prizadevanjih za izvajanje zahtevanih prilagoditev njihovih statističnih sistemov, da bi odstopanja čim prej prenehala.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Kadar bi bile za uporabo te uredbe </w:t>
            </w:r>
            <w:r>
              <w:rPr>
                <w:b/>
                <w:i/>
              </w:rPr>
              <w:t>ali izvedbenih aktov, sprejetih na podlagi te uredbe,</w:t>
            </w:r>
            <w:r>
              <w:t xml:space="preserve"> potrebne </w:t>
            </w:r>
            <w:r>
              <w:rPr>
                <w:b/>
                <w:i/>
              </w:rPr>
              <w:t>velike</w:t>
            </w:r>
            <w:r>
              <w:t xml:space="preserve"> prilagoditve nacionalnega statističnega sistema države članice, bi morala Komisija v ustrezno utemeljenih primerih imeti možnost zadevni državi članici odobriti odstopanja. Taka odstopanja bi morala biti začasna in odobrena za trajanje največ </w:t>
            </w:r>
            <w:r>
              <w:rPr>
                <w:b/>
                <w:i/>
              </w:rPr>
              <w:t>treh</w:t>
            </w:r>
            <w:r>
              <w:t xml:space="preserve"> let. Komisija bi morala zadevnim državam članicam zagotoviti pomoč pri njihovih prizadevanjih za izvajanje zahtevanih prilagoditev njihovih statističnih sistemov, da bi odstopanja čim prej prenehala.</w:t>
            </w:r>
          </w:p>
        </w:tc>
        <w:tc>
          <w:tcPr>
            <w:tcW w:w="4876" w:type="dxa"/>
            <w:tcBorders>
              <w:top w:val="nil"/>
              <w:left w:val="nil"/>
              <w:bottom w:val="nil"/>
              <w:right w:val="nil"/>
            </w:tcBorders>
          </w:tcPr>
          <w:p>
            <w:pPr>
              <w:pStyle w:val="Normal6a"/>
            </w:pPr>
            <w:r>
              <w:t>(18)</w:t>
            </w:r>
            <w:r>
              <w:tab/>
            </w:r>
            <w:r>
              <w:t xml:space="preserve">Kadar bi bile za uporabo te uredbe potrebne </w:t>
            </w:r>
            <w:r>
              <w:rPr>
                <w:b/>
                <w:i/>
              </w:rPr>
              <w:t>obsežne</w:t>
            </w:r>
            <w:r>
              <w:t xml:space="preserve"> prilagoditve nacionalnega statističnega sistema države članice </w:t>
            </w:r>
            <w:r>
              <w:rPr>
                <w:b/>
                <w:i/>
              </w:rPr>
              <w:t>– zlasti v primerih</w:t>
            </w:r>
            <w:r>
              <w:t xml:space="preserve">, </w:t>
            </w:r>
            <w:r>
              <w:rPr>
                <w:b/>
                <w:i/>
              </w:rPr>
              <w:t>ko bistveni deli upravnih postopkov, potrebnih za zbiranje podatkov, še niso digitalizirani –</w:t>
            </w:r>
            <w:r>
              <w:t xml:space="preserve"> bi morala Komisija v ustrezno utemeljenih primerih imeti možnost zadevni državi članici odobriti odstopanja. Taka odstopanja bi morala biti začasna in odobrena za trajanje največ </w:t>
            </w:r>
            <w:r>
              <w:rPr>
                <w:b/>
                <w:i/>
              </w:rPr>
              <w:t>petih</w:t>
            </w:r>
            <w:r>
              <w:t xml:space="preserve"> let. Komisija bi morala zadevnim državam članicam zagotoviti pomoč pri njihovih prizadevanjih za izvajanje zahtevanih prilagoditev njihovih statističnih sistemov, da bi odstopanja čim prej prenehala.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Kadar bi bile za uporabo te uredbe </w:t>
            </w:r>
            <w:r>
              <w:rPr>
                <w:b/>
                <w:i/>
              </w:rPr>
              <w:t>ali izvedbenih aktov, sprejetih na podlagi te uredbe,</w:t>
            </w:r>
            <w:r>
              <w:t xml:space="preserve"> potrebne </w:t>
            </w:r>
            <w:r>
              <w:rPr>
                <w:b/>
                <w:i/>
              </w:rPr>
              <w:t>velike</w:t>
            </w:r>
            <w:r>
              <w:t xml:space="preserve"> prilagoditve nacionalnega statističnega sistema države članice, bi morala Komisija v ustrezno utemeljenih primerih imeti možnost zadevni državi članici odobriti odstopanja. Taka odstopanja bi morala biti začasna in odobrena za trajanje največ </w:t>
            </w:r>
            <w:r>
              <w:rPr>
                <w:b/>
                <w:i/>
              </w:rPr>
              <w:t>treh</w:t>
            </w:r>
            <w:r>
              <w:t xml:space="preserve"> let. Komisija bi morala zadevnim državam članicam zagotoviti pomoč pri njihovih prizadevanjih za izvajanje zahtevanih prilagoditev njihovih statističnih sistemov, da bi odstopanja čim prej prenehala.</w:t>
            </w:r>
          </w:p>
        </w:tc>
        <w:tc>
          <w:tcPr>
            <w:tcW w:w="4876" w:type="dxa"/>
            <w:tcBorders>
              <w:top w:val="nil"/>
              <w:left w:val="nil"/>
              <w:bottom w:val="nil"/>
              <w:right w:val="nil"/>
            </w:tcBorders>
          </w:tcPr>
          <w:p>
            <w:pPr>
              <w:pStyle w:val="Normal6a"/>
            </w:pPr>
            <w:r>
              <w:t>(18)</w:t>
            </w:r>
            <w:r>
              <w:tab/>
            </w:r>
            <w:r>
              <w:t xml:space="preserve">Kadar bi bile za uporabo te uredbe potrebne prilagoditve nacionalnega statističnega sistema države članice, bi morala Komisija v ustrezno utemeljenih primerih imeti možnost zadevni državi članici odobriti odstopanja. Taka odstopanja bi morala biti začasna in odobrena za trajanje največ </w:t>
            </w:r>
            <w:r>
              <w:rPr>
                <w:b/>
                <w:i/>
              </w:rPr>
              <w:t>petih</w:t>
            </w:r>
            <w:r>
              <w:t xml:space="preserve"> let. Komisija bi morala zadevnim državam članicam zagotoviti pomoč pri njihovih prizadevanjih za izvajanje zahtevanih prilagoditev njihovih statističnih sistemov, da bi odstopanja čim prej prenehala.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 – točka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socialna stanovanja;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Nepremičnine, ki se uporabljajo pri netržnih dejavnostih, kot so socialna stanovanja, ne bi smele biti vključene v statistiko poslovnih nepremičnin.</w:t>
      </w:r>
      <w:r>
        <w:t xml:space="preserve"> </w:t>
      </w:r>
      <w:r>
        <w:t>To je v skladu s poročilom Eurostata z naslovom „Commercial property price indicators: sources, methods and issues:</w:t>
      </w:r>
      <w:r>
        <w:t xml:space="preserve"> </w:t>
      </w:r>
      <w:r>
        <w:t>sources, methods and issues“ (Kazalniki cen poslovnih nepremičnin: viri, metode in vprašanja).</w:t>
      </w:r>
    </w:p>
    <w:p>
      <w:r>
        <w:rPr>
          <w:rStyle w:val="HideTWBExt"/>
        </w:rPr>
        <w:t>&lt;/Amend&gt;</w:t>
      </w:r>
    </w:p>
    <w:p>
      <w:pPr>
        <w:pStyle w:val="AmNumberTabs"/>
      </w:pPr>
      <w:r>
        <w:rPr>
          <w:rStyle w:val="HideTWBExt"/>
        </w:rPr>
        <w:t>&lt;Amend&gt;</w:t>
      </w:r>
      <w:r>
        <w:t>Predlog spremembe</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 – točka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„socialno stanovanje“ pomeni vsako stanovanjsko nepremičnino, ki jo pridobi pravna oseba ali je v lasti ali upravljanju te osebe in je namenjena predvsem oddajanju najemnikom, in sicer prikrajšanim osebam ali osebam z manj socialnimi ugodnostmi, po najemninah, nižjih od tržnih, v skladu s posebnimi pravili in ne po tržnih mehanizmih.</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Države članice </w:t>
            </w:r>
            <w:r>
              <w:rPr>
                <w:b/>
                <w:i/>
              </w:rPr>
              <w:t>si</w:t>
            </w:r>
            <w:r>
              <w:t xml:space="preserve"> pri pripravi statistike, ki se zahteva na podlagi te uredbe, </w:t>
            </w:r>
            <w:r>
              <w:rPr>
                <w:b/>
                <w:i/>
              </w:rPr>
              <w:t>prizadevajo, da v največji možni meri izkoristijo</w:t>
            </w:r>
            <w:r>
              <w:t xml:space="preserve"> upravne podatke </w:t>
            </w:r>
            <w:r>
              <w:rPr>
                <w:b/>
                <w:i/>
              </w:rPr>
              <w:t>in s tem zmanjšajo breme poročanja</w:t>
            </w:r>
            <w:r>
              <w:t>.</w:t>
            </w:r>
          </w:p>
        </w:tc>
        <w:tc>
          <w:tcPr>
            <w:tcW w:w="4876" w:type="dxa"/>
            <w:tcBorders>
              <w:top w:val="nil"/>
              <w:left w:val="nil"/>
              <w:bottom w:val="nil"/>
              <w:right w:val="nil"/>
            </w:tcBorders>
          </w:tcPr>
          <w:p>
            <w:pPr>
              <w:pStyle w:val="Normal6a"/>
            </w:pPr>
            <w:r>
              <w:t xml:space="preserve">Države članice pri pripravi statistike, ki se zahteva na podlagi te uredbe, </w:t>
            </w:r>
            <w:r>
              <w:rPr>
                <w:b/>
                <w:i/>
              </w:rPr>
              <w:t>uporabijo izključno obstoječe</w:t>
            </w:r>
            <w:r>
              <w:t xml:space="preserve"> upravne podatke.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Kadar z upravnimi podatki ni mogoče pripraviti statistike, ki izpolnjuje zahteve glede kakovosti iz člena 6 te uredbe, lahko države članice poleg tega uporabijo vse druge ustrezne vire podatkov, vključno z raziskavami in podatki zasebnih imetnikov podatkov, ter znanstveno utemeljene, dobro dokumentirane in javno dostopne metode ali inovativne pristope, pri čemer se izogibajo pretiranemu obremenjevanju dajalcev podatkov.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Kadar z upravnimi podatki ni mogoče pripraviti statistike, ki izpolnjuje zahteve glede kakovosti iz člena 6 te uredbe, lahko države članice poleg tega uporabijo vse druge ustrezne vire podatkov, vključno z raziskavami in podatki zasebnih imetnikov podatkov, ter znanstveno utemeljene, dobro dokumentirane in javno dostopne metode ali inovativne pristope, pri čemer se izogibajo pretiranemu obremenjevanju dajalcev podatkov.</w:t>
            </w:r>
          </w:p>
        </w:tc>
        <w:tc>
          <w:tcPr>
            <w:tcW w:w="4876" w:type="dxa"/>
            <w:tcBorders>
              <w:top w:val="nil"/>
              <w:left w:val="nil"/>
              <w:bottom w:val="nil"/>
              <w:right w:val="nil"/>
            </w:tcBorders>
          </w:tcPr>
          <w:p>
            <w:pPr>
              <w:pStyle w:val="Normal6a"/>
            </w:pPr>
            <w:r>
              <w:t xml:space="preserve">Kadar z upravnimi podatki ni mogoče pripraviti statistike, ki izpolnjuje zahteve glede kakovosti iz člena 6 te uredbe, lahko države članice poleg tega uporabijo vse druge ustrezne vire podatkov, vključno z raziskavami in podatki zasebnih imetnikov podatkov, ter znanstveno utemeljene, dobro dokumentirane in javno dostopne metode ali inovativne pristope, pri čemer se izogibajo pretiranemu obremenjevanju </w:t>
            </w:r>
            <w:r>
              <w:rPr>
                <w:b/>
                <w:i/>
              </w:rPr>
              <w:t>in nesorazmerni ekonomski obremenitvi</w:t>
            </w:r>
            <w:r>
              <w:t xml:space="preserve"> dajalcev podatkov.</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Informacije, potrebne za pripravo nefinančne statistike o poslovnih nepremičninah, se pridobijo od statističnih enot, kot so določene v Uredbi Sveta (EGS) št. 696/93, od imetnikov upravnih evidenc</w:t>
            </w:r>
            <w:r>
              <w:rPr>
                <w:b/>
                <w:i/>
              </w:rPr>
              <w:t>, zasebnih imetnikov podatkov</w:t>
            </w:r>
            <w:r>
              <w:t xml:space="preserve"> ali iz drugih virov, pod pogojem, da rezultati izpolnjujejo merila kakovosti iz člena 6 te uredbe.</w:t>
            </w:r>
          </w:p>
        </w:tc>
        <w:tc>
          <w:tcPr>
            <w:tcW w:w="4876" w:type="dxa"/>
            <w:tcBorders>
              <w:top w:val="nil"/>
              <w:left w:val="nil"/>
              <w:bottom w:val="nil"/>
              <w:right w:val="nil"/>
            </w:tcBorders>
          </w:tcPr>
          <w:p>
            <w:pPr>
              <w:pStyle w:val="Normal6a"/>
            </w:pPr>
            <w:r>
              <w:t>1.</w:t>
            </w:r>
            <w:r>
              <w:tab/>
            </w:r>
            <w:r>
              <w:t>Informacije, potrebne za pripravo nefinančne statistike o poslovnih nepremičninah, se pridobijo od statističnih enot, kot so določene v Uredbi Sveta (EGS) št. 696/93, od imetnikov upravnih evidenc ali iz drugih virov, pod pogojem, da rezultati izpolnjujejo merila kakovosti iz člena 6 te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 xml:space="preserve">v imenu skupine The Left </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Statistične enote, ki zagotavljajo informacije o poslovnih nepremičninah, po potrebi sodelujejo pri zbiranju ali zagotavljanju informacij. Statistične enote predložijo pravočasne, točne in popolne informacije, potrebne za pripravo statistike iz te uredbe. Statistične enote te informacije predložijo nacionalnim statističnim organom, pristojnim za pripravo nefinančne statistike o poslovnih nepremičninah.</w:t>
            </w:r>
          </w:p>
        </w:tc>
        <w:tc>
          <w:tcPr>
            <w:tcW w:w="4876" w:type="dxa"/>
            <w:tcBorders>
              <w:top w:val="nil"/>
              <w:left w:val="nil"/>
              <w:bottom w:val="nil"/>
              <w:right w:val="nil"/>
            </w:tcBorders>
          </w:tcPr>
          <w:p>
            <w:pPr>
              <w:pStyle w:val="Normal6a"/>
            </w:pPr>
            <w:r>
              <w:t>2.</w:t>
            </w:r>
            <w:r>
              <w:tab/>
            </w:r>
            <w:r>
              <w:t xml:space="preserve">Statistične enote, ki zagotavljajo informacije o poslovnih nepremičninah, po potrebi sodelujejo pri zbiranju ali zagotavljanju informacij. Statistične enote predložijo pravočasne, točne in popolne informacije, potrebne za pripravo statistike iz te uredbe. Statistične enote te informacije predložijo nacionalnim statističnim organom, pristojnim za pripravo nefinančne statistike o poslovnih nepremičninah. </w:t>
            </w:r>
            <w:r>
              <w:rPr>
                <w:b/>
                <w:i/>
              </w:rPr>
              <w:t>Informacije se zagotovijo v elektronski in strojno berljivi obliki.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se zagotovi interoperabilnost in olajša avtomatizirana uporaba, bi bilo treba podatke zagotoviti v elektronski in strojno berljivi obliki.</w:t>
      </w:r>
    </w:p>
    <w:p>
      <w:r>
        <w:rPr>
          <w:rStyle w:val="HideTWBExt"/>
        </w:rPr>
        <w:t>&lt;/Amend&gt;</w:t>
      </w:r>
    </w:p>
    <w:p>
      <w:pPr>
        <w:pStyle w:val="AmNumberTabs"/>
      </w:pPr>
      <w:r>
        <w:rPr>
          <w:rStyle w:val="HideTWBExt"/>
        </w:rPr>
        <w:t>&lt;Amend&gt;</w:t>
      </w:r>
      <w:r>
        <w:t>Predlog spremembe</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 xml:space="preserve">v imenu skupine The Left </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 zahtevo nacionalnih statističnih organov, pristojnih za pripravo nefinančne statistike o poslovnih nepremičninah, statistične enote po možnosti zagotovijo elektronske evidence o transakcijah, in sicer na ravni podrobnosti, ki je potrebna za pripravo nefinančne statistike o poslovnih nepremičninah.</w:t>
            </w:r>
          </w:p>
        </w:tc>
        <w:tc>
          <w:tcPr>
            <w:tcW w:w="4876" w:type="dxa"/>
            <w:tcBorders>
              <w:top w:val="nil"/>
              <w:left w:val="nil"/>
              <w:bottom w:val="nil"/>
              <w:right w:val="nil"/>
            </w:tcBorders>
          </w:tcPr>
          <w:p>
            <w:pPr>
              <w:pStyle w:val="Normal6a"/>
            </w:pPr>
            <w:r>
              <w:t>3.</w:t>
            </w:r>
            <w:r>
              <w:tab/>
            </w:r>
            <w:r>
              <w:t xml:space="preserve">Na zahtevo nacionalnih statističnih organov, pristojnih za pripravo nefinančne statistike o poslovnih nepremičninah, statistične enote po možnosti zagotovijo elektronske </w:t>
            </w:r>
            <w:r>
              <w:rPr>
                <w:b/>
                <w:i/>
              </w:rPr>
              <w:t>in strojno berljive</w:t>
            </w:r>
            <w:r>
              <w:t xml:space="preserve"> evidence o transakcijah, in sicer na ravni podrobnosti, ki je potrebna za pripravo nefinančne statistike o poslovnih nepremičninah.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se zagotovi interoperabilnost in olajša avtomatizirana uporaba, bi bilo treba podatke zagotoviti v strojno berljivi (ne zgolj „elektronski“) obliki.</w:t>
      </w:r>
    </w:p>
    <w:p>
      <w:r>
        <w:rPr>
          <w:rStyle w:val="HideTWBExt"/>
        </w:rPr>
        <w:t>&lt;/Amend&gt;</w:t>
      </w:r>
    </w:p>
    <w:p>
      <w:pPr>
        <w:pStyle w:val="AmNumberTabs"/>
      </w:pPr>
      <w:r>
        <w:rPr>
          <w:rStyle w:val="HideTWBExt"/>
        </w:rPr>
        <w:t>&lt;Amend&gt;</w:t>
      </w:r>
      <w:r>
        <w:t>Predlog spremembe</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NSU in drugi nacionalni statistični organi imajo brezplačen dostop do podatkov in ustreznih metapodatkov iz upravnih virov podatkov, upravnih podatkovnih zbirk, upravnih sistemov interoperabilnosti ali vseh ustreznih in potrebnih upravnih podatkov ter jih uporabljajo in povezujejo na pravočasen način in dovolj pogosto ter z dovolj visoko razčlenjenostjo za namene razvoja</w:t>
            </w:r>
            <w:r>
              <w:rPr>
                <w:b/>
                <w:i/>
              </w:rPr>
              <w:t>,</w:t>
            </w:r>
            <w:r>
              <w:t xml:space="preserve"> priprave </w:t>
            </w:r>
            <w:r>
              <w:rPr>
                <w:b/>
                <w:i/>
              </w:rPr>
              <w:t>in izkazovanja</w:t>
            </w:r>
            <w:r>
              <w:t xml:space="preserve"> evropske nefinančne statistike o poslovnih nepremičninah v skladu s členom 17a Uredbe (ES) št. 223/2009. Dostop nacionalnih statističnih organov, pristojnih za pripravo nefinančne statistike o poslovnih nepremičninah, do takih podatkov in metapodatkov je omejen na upravne evidence znotraj njihovih zadevnih sistemov javne uprave.</w:t>
            </w:r>
          </w:p>
        </w:tc>
        <w:tc>
          <w:tcPr>
            <w:tcW w:w="4876" w:type="dxa"/>
            <w:tcBorders>
              <w:top w:val="nil"/>
              <w:left w:val="nil"/>
              <w:bottom w:val="nil"/>
              <w:right w:val="nil"/>
            </w:tcBorders>
          </w:tcPr>
          <w:p>
            <w:pPr>
              <w:pStyle w:val="Normal6a"/>
            </w:pPr>
            <w:r>
              <w:t>4.</w:t>
            </w:r>
            <w:r>
              <w:tab/>
            </w:r>
            <w:r>
              <w:t xml:space="preserve">NSU in drugi nacionalni statistični organi imajo brezplačen dostop do podatkov in ustreznih metapodatkov iz upravnih virov podatkov, upravnih podatkovnih zbirk, upravnih sistemov interoperabilnosti ali vseh ustreznih in potrebnih upravnih podatkov ter jih uporabljajo in povezujejo na pravočasen način in dovolj pogosto ter z dovolj visoko razčlenjenostjo za namene razvoja </w:t>
            </w:r>
            <w:r>
              <w:rPr>
                <w:b/>
                <w:i/>
              </w:rPr>
              <w:t>in</w:t>
            </w:r>
            <w:r>
              <w:t xml:space="preserve"> priprave evropske nefinančne statistike o poslovnih nepremičninah v skladu s členom 17a Uredbe (ES) št. 223/2009. Dostop nacionalnih statističnih organov, pristojnih za pripravo nefinančne statistike o poslovnih nepremičninah, do takih podatkov in metapodatkov je omejen na upravne evidence znotraj njihovih zadevnih sistemov javne uprave.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NSU ali Komisija (Eurostat) lahko od zasebnega imetnika podatkov zahteva, da brezplačno da na voljo podatke in ustrezne metapodatke, kadar so zahtevani podatki nujno potrebni za razvoj, pripravo in izkazovanje evropske statistike o poslovnih nepremičninah ter jih ni mogoče pridobiti z drugimi sredstvi ali pa se bo z njihovo ponovno uporabo znatno zmanjšalo breme poročanja za imetnike podatkov in druga podjetja v skladu s členom 17b Uredbe (ES) št. 223/2009.</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NSU ali Komisija (Eurostat) lahko od zasebnega imetnika podatkov zahteva, da brezplačno da na voljo podatke in ustrezne metapodatke, kadar so zahtevani podatki nujno potrebni za razvoj</w:t>
            </w:r>
            <w:r>
              <w:rPr>
                <w:b/>
                <w:i/>
              </w:rPr>
              <w:t>,</w:t>
            </w:r>
            <w:r>
              <w:t xml:space="preserve"> pripravo </w:t>
            </w:r>
            <w:r>
              <w:rPr>
                <w:b/>
                <w:i/>
              </w:rPr>
              <w:t>in izkazovanje</w:t>
            </w:r>
            <w:r>
              <w:t xml:space="preserve"> evropske statistike o poslovnih nepremičninah ter jih ni mogoče pridobiti z drugimi sredstvi ali pa se bo z njihovo ponovno uporabo znatno zmanjšalo breme poročanja za imetnike podatkov in druga podjetja v skladu s členom 17b Uredbe (ES) št. 223/2009.</w:t>
            </w:r>
          </w:p>
        </w:tc>
        <w:tc>
          <w:tcPr>
            <w:tcW w:w="4876" w:type="dxa"/>
            <w:tcBorders>
              <w:top w:val="nil"/>
              <w:left w:val="nil"/>
              <w:bottom w:val="nil"/>
              <w:right w:val="nil"/>
            </w:tcBorders>
          </w:tcPr>
          <w:p>
            <w:pPr>
              <w:pStyle w:val="Normal6a"/>
            </w:pPr>
            <w:r>
              <w:t>5.</w:t>
            </w:r>
            <w:r>
              <w:tab/>
            </w:r>
            <w:r>
              <w:t xml:space="preserve">NSU ali Komisija (Eurostat) lahko od zasebnega imetnika podatkov zahteva, da brezplačno da na voljo podatke in ustrezne metapodatke, kadar so zahtevani podatki nujno potrebni za razvoj </w:t>
            </w:r>
            <w:r>
              <w:rPr>
                <w:b/>
                <w:i/>
              </w:rPr>
              <w:t>in</w:t>
            </w:r>
            <w:r>
              <w:t xml:space="preserve"> pripravo evropske statistike o poslovnih nepremičninah ter jih ni mogoče pridobiti z drugimi sredstvi ali pa se bo z njihovo ponovno uporabo znatno zmanjšalo breme poročanja za imetnike podatkov in druga podjetja v skladu s členom 17b Uredbe (ES) št. 223/2009. </w:t>
            </w:r>
            <w:r>
              <w:rPr>
                <w:b/>
                <w:i/>
              </w:rPr>
              <w:t>Za vsak prenos, objavo ali drugo uporabo podatkov in metapodatkov, prejetih od zasebnih imetnikov podatkov, zunaj pristojnosti nacionalnega statističnega urada (NSU) ali Komisije (Eurostat), je potrebno izrecno pisno soglasje zadevnega zasebnega imetnika podatkov.</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NSU ali Komisija (Eurostat) lahko od zasebnega imetnika podatkov zahteva, da brezplačno da na voljo podatke in ustrezne metapodatke, kadar so zahtevani podatki nujno potrebni za razvoj, pripravo in izkazovanje evropske statistike o poslovnih nepremičninah ter jih ni mogoče pridobiti z drugimi sredstvi ali pa se bo z njihovo ponovno uporabo znatno zmanjšalo breme poročanja za imetnike podatkov in druga podjetja v skladu s členom 17b Uredbe (ES) št. 223/2009.</w:t>
            </w:r>
          </w:p>
        </w:tc>
        <w:tc>
          <w:tcPr>
            <w:tcW w:w="4876" w:type="dxa"/>
            <w:tcBorders>
              <w:top w:val="nil"/>
              <w:left w:val="nil"/>
              <w:bottom w:val="nil"/>
              <w:right w:val="nil"/>
            </w:tcBorders>
          </w:tcPr>
          <w:p>
            <w:pPr>
              <w:pStyle w:val="Normal6a"/>
            </w:pPr>
            <w:r>
              <w:t>5.</w:t>
            </w:r>
            <w:r>
              <w:tab/>
            </w:r>
            <w:r>
              <w:t xml:space="preserve">NSU ali Komisija (Eurostat) lahko od zasebnega imetnika podatkov zahteva, da brezplačno da na voljo podatke in ustrezne metapodatke, kadar so zahtevani podatki nujno potrebni za razvoj, pripravo in izkazovanje evropske statistike o poslovnih nepremičninah ter jih ni mogoče pridobiti z drugimi sredstvi ali pa se bo z njihovo ponovno uporabo znatno zmanjšalo breme poročanja za imetnike podatkov in druga podjetja v skladu s členom 17b Uredbe (ES) št. 223/2009. </w:t>
            </w:r>
            <w:r>
              <w:rPr>
                <w:b/>
                <w:i/>
              </w:rPr>
              <w:t>Pravica nacionalnih statističnih uradov in Komisije, da zahtevajo podatke od zasebnih imetnikov podatkov, ne sme povzročiti nesorazmerne ekonomskega obremenitve podjetij ali združenj.</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Države članice zberejo in Komisiji (Eurostatu) posredujejo podatke, pomembne za vsako spremenljivko iz odstavka 1.</w:t>
            </w:r>
          </w:p>
        </w:tc>
        <w:tc>
          <w:tcPr>
            <w:tcW w:w="4876" w:type="dxa"/>
            <w:tcBorders>
              <w:top w:val="nil"/>
              <w:left w:val="nil"/>
              <w:bottom w:val="nil"/>
              <w:right w:val="nil"/>
            </w:tcBorders>
          </w:tcPr>
          <w:p>
            <w:pPr>
              <w:pStyle w:val="Normal6a"/>
            </w:pPr>
            <w:r>
              <w:t>2.</w:t>
            </w:r>
            <w:r>
              <w:tab/>
            </w:r>
            <w:r>
              <w:t xml:space="preserve">Države članice zberejo in Komisiji (Eurostatu) posredujejo podatke, pomembne za vsako spremenljivko iz odstavka 1. </w:t>
            </w:r>
            <w:r>
              <w:rPr>
                <w:b/>
                <w:i/>
              </w:rPr>
              <w:t>Države članice z majhnim trgom poslovnih nepremičnin te podatke zbirajo vsako leto.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Države članice zberejo in Komisiji (Eurostatu) posredujejo podatke, pomembne za vsako spremenljivko iz odstavka 1.</w:t>
            </w:r>
          </w:p>
        </w:tc>
        <w:tc>
          <w:tcPr>
            <w:tcW w:w="4876" w:type="dxa"/>
            <w:tcBorders>
              <w:top w:val="nil"/>
              <w:left w:val="nil"/>
              <w:bottom w:val="nil"/>
              <w:right w:val="nil"/>
            </w:tcBorders>
          </w:tcPr>
          <w:p>
            <w:pPr>
              <w:pStyle w:val="Normal6a"/>
            </w:pPr>
            <w:r>
              <w:t>2.</w:t>
            </w:r>
            <w:r>
              <w:tab/>
            </w:r>
            <w:r>
              <w:t xml:space="preserve">Države članice zberejo in Komisiji (Eurostatu) posredujejo podatke, pomembne za vsako spremenljivko iz odstavka 1. </w:t>
            </w:r>
            <w:r>
              <w:rPr>
                <w:b/>
                <w:i/>
              </w:rPr>
              <w:t>Podatki se pošljejo na ravni NUTS 3, če je to na voljo, v vsakem primeru pa na ravni NUTS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Države članice zberejo in Komisiji (Eurostatu) posredujejo podatke, pomembne za vsako spremenljivko iz odstavka 1.</w:t>
            </w:r>
          </w:p>
        </w:tc>
        <w:tc>
          <w:tcPr>
            <w:tcW w:w="4876" w:type="dxa"/>
            <w:tcBorders>
              <w:top w:val="nil"/>
              <w:left w:val="nil"/>
              <w:bottom w:val="nil"/>
              <w:right w:val="nil"/>
            </w:tcBorders>
          </w:tcPr>
          <w:p>
            <w:pPr>
              <w:pStyle w:val="Normal6a"/>
            </w:pPr>
            <w:r>
              <w:t>2.</w:t>
            </w:r>
            <w:r>
              <w:tab/>
            </w:r>
            <w:r>
              <w:t xml:space="preserve">Države članice zberejo in Komisiji (Eurostatu) </w:t>
            </w:r>
            <w:r>
              <w:rPr>
                <w:b/>
                <w:i/>
              </w:rPr>
              <w:t>vsaj vsako četrtletje</w:t>
            </w:r>
            <w:r>
              <w:t xml:space="preserve"> posredujejo podatke, pomembne za vsako spremenljivko iz odstavka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Države članice zberejo in Komisiji (Eurostatu) posredujejo podatke, pomembne za vsako spremenljivko iz odstavka 1.</w:t>
            </w:r>
          </w:p>
        </w:tc>
        <w:tc>
          <w:tcPr>
            <w:tcW w:w="4876" w:type="dxa"/>
            <w:tcBorders>
              <w:top w:val="nil"/>
              <w:left w:val="nil"/>
              <w:bottom w:val="nil"/>
              <w:right w:val="nil"/>
            </w:tcBorders>
          </w:tcPr>
          <w:p>
            <w:pPr>
              <w:pStyle w:val="Normal6a"/>
            </w:pPr>
            <w:r>
              <w:rPr>
                <w:b/>
                <w:i/>
              </w:rPr>
              <w:t>(2)</w:t>
            </w:r>
            <w:r>
              <w:tab/>
            </w:r>
            <w:r>
              <w:t xml:space="preserve">Države članice zberejo in Komisiji (Eurostatu) </w:t>
            </w:r>
            <w:r>
              <w:rPr>
                <w:b/>
                <w:i/>
              </w:rPr>
              <w:t>vsako leto</w:t>
            </w:r>
            <w:r>
              <w:t xml:space="preserve"> posredujejo podatke, pomembne za vsako spremenljivko iz odstavka 1.</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Države članice zberejo in Komisiji (Eurostatu) posredujejo podatke, pomembne za vsako spremenljivko iz odstavka 1.</w:t>
            </w:r>
          </w:p>
        </w:tc>
        <w:tc>
          <w:tcPr>
            <w:tcW w:w="4876" w:type="dxa"/>
            <w:tcBorders>
              <w:top w:val="nil"/>
              <w:left w:val="nil"/>
              <w:bottom w:val="nil"/>
              <w:right w:val="nil"/>
            </w:tcBorders>
          </w:tcPr>
          <w:p>
            <w:pPr>
              <w:pStyle w:val="Normal6a"/>
            </w:pPr>
            <w:r>
              <w:rPr>
                <w:b/>
                <w:i/>
              </w:rPr>
              <w:t>(2)</w:t>
            </w:r>
            <w:r>
              <w:tab/>
            </w:r>
            <w:r>
              <w:t xml:space="preserve">Države članice zberejo in Komisiji (Eurostatu) </w:t>
            </w:r>
            <w:r>
              <w:rPr>
                <w:b/>
                <w:i/>
              </w:rPr>
              <w:t>vsako leto</w:t>
            </w:r>
            <w:r>
              <w:t xml:space="preserve"> posredujejo podatke, pomembne za vsako spremenljivko iz odstavka 1.</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 Komisijo se prenese pooblastilo, da sprejme delegirane akte v skladu s členom 9 za spremembo seznama spremenljivk iz Priloge.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 Komisijo se prenese pooblastilo, da sprejme delegirane akte v skladu s členom 9 za spremembo seznama spremenljivk iz Priloge.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bi moralo biti v pristojnosti sozakonodajalca.</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 Komisijo se prenese pooblastilo, da sprejme delegirane akte v skladu s členom 9 za spremembo seznama spremenljivk</w:t>
            </w:r>
            <w:r>
              <w:t xml:space="preserve"> iz Priloge.</w:t>
            </w:r>
          </w:p>
        </w:tc>
        <w:tc>
          <w:tcPr>
            <w:tcW w:w="4876" w:type="dxa"/>
            <w:tcBorders>
              <w:top w:val="nil"/>
              <w:left w:val="nil"/>
              <w:bottom w:val="nil"/>
              <w:right w:val="nil"/>
            </w:tcBorders>
          </w:tcPr>
          <w:p>
            <w:pPr>
              <w:pStyle w:val="Normal6a"/>
            </w:pPr>
            <w:r>
              <w:rPr>
                <w:b/>
                <w:i/>
              </w:rPr>
              <w:t>(3)</w:t>
            </w:r>
            <w:r>
              <w:tab/>
            </w:r>
            <w:r>
              <w:rPr>
                <w:b/>
                <w:i/>
              </w:rPr>
              <w:t>Spremenljivke</w:t>
            </w:r>
            <w:r>
              <w:t xml:space="preserve"> iz Priloge </w:t>
            </w:r>
            <w:r>
              <w:rPr>
                <w:b/>
                <w:i/>
              </w:rPr>
              <w:t>I so dokončno določene v tej uredbi</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Komisija poskrbi, da pri izvajanju pooblastil za sprejemanje delegiranih aktov državam članicam ali poročevalcem ne nalaga znatnih dodatnih stroškov ali upravnega bremena.</w:t>
            </w:r>
            <w:r>
              <w:t xml:space="preserve"> </w:t>
            </w:r>
            <w:r>
              <w:rPr>
                <w:b/>
                <w:i/>
              </w:rPr>
              <w:t>Da se ocenijo stroški, breme in izvedljivost morebitnih novih zahtev glede podatkov, vključno s tem, da bi že obstoječe prostovoljne zahteve glede podatkov postale obvezne, se izvedejo pilotne študije v skladu s členom 7, njihovi rezultati pa se ustrezno ocenijo in upoštevajo pred sprejetjem delegiranega akta.</w:t>
            </w:r>
            <w:r>
              <w:t xml:space="preserve"> </w:t>
            </w:r>
            <w:r>
              <w:rPr>
                <w:b/>
                <w:i/>
              </w:rPr>
              <w:t>Nove spremenljivke se uvedejo le, če pilotne študije pokažejo, da bi bilo njihovo zbiranje izvedljivo v vseh državah članicah.</w:t>
            </w:r>
            <w:r>
              <w:t xml:space="preserve"> </w:t>
            </w:r>
            <w:r>
              <w:rPr>
                <w:b/>
                <w:i/>
              </w:rPr>
              <w:t>Pilotne študije iz tega odstavka se financirajo v skladu s členom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Spremenljivke iz Priloge I so dokončno določene v tej uredbi.</w:t>
            </w:r>
            <w:r>
              <w:t xml:space="preserve"> </w:t>
            </w:r>
            <w:r>
              <w:rPr>
                <w:b/>
                <w:i/>
              </w:rPr>
              <w:t>Spremembe se lahko izvedejo le po rednem zakonodajnem postopku.</w:t>
            </w:r>
            <w:r>
              <w:t xml:space="preserve"> </w:t>
            </w:r>
            <w:r>
              <w:rPr>
                <w:b/>
                <w:i/>
              </w:rPr>
              <w:t>Izvedbeni akti se lahko nanašajo izključno na tehnične podrobnosti, ki ne upravičujejo novih ali dodatnih obveznosti poročanja.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Komisija lahko z izvedbenimi akti določi naslednje podatkovne elemente, ki jih je treba posredovati, ter njihove tehnične opredelitve in poenostavitve:</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mersko enoto;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statistično populacijo;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klasifikacije in razčlenitve;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izračunavanje indeksov;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uporabo ocen in zahtev glede kakovosti;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referenčno obdobje;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rok za posredovanje podatkov;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prvo referenčno obdobje.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Komisija lahko z izvedbenimi akti določi naslednje podatkovne elemente, ki jih je treba posredovati, ter njihove tehnične opredelitve in poenostavitve:</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mersko enoto;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statistično populacijo;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klasifikacije in razčlenitve;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izračunavanje indeksov;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uporabo ocen in zahtev glede kakovosti;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referenčno obdobje;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rok za posredovanje podatkov;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prvo referenčno obdobje.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Komisija </w:t>
            </w:r>
            <w:r>
              <w:rPr>
                <w:b/>
                <w:i/>
              </w:rPr>
              <w:t>lahko</w:t>
            </w:r>
            <w:r>
              <w:t xml:space="preserve"> z izvedbenimi akti določi naslednje podatkovne elemente, ki jih je treba posredovati, ter njihove tehnične opredelitve in poenostavitve:</w:t>
            </w:r>
          </w:p>
        </w:tc>
        <w:tc>
          <w:tcPr>
            <w:tcW w:w="4876" w:type="dxa"/>
            <w:tcBorders>
              <w:top w:val="nil"/>
              <w:left w:val="nil"/>
              <w:bottom w:val="nil"/>
              <w:right w:val="nil"/>
            </w:tcBorders>
          </w:tcPr>
          <w:p>
            <w:pPr>
              <w:pStyle w:val="Normal6a"/>
            </w:pPr>
            <w:r>
              <w:t>4.</w:t>
            </w:r>
            <w:r>
              <w:tab/>
            </w:r>
            <w:r>
              <w:t>Komisija z izvedbenimi akti določi naslednje podatkovne elemente, ki jih je treba posredovati, ter njihove tehnične opredelitve in poenostavitve: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mersko enoto;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mersko enoto;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statistično populacijo;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statistično populacijo;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klasifikacije in razčlenitve;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klasifikacije in razčlenitve;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izračunavanje indeksov;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izračunavanje indeksov;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uporabo ocen in zahtev glede kakovosti;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uporabo ocen in zahtev glede kakovosti;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referenčno obdobje;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referenčno obdobje;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rok za posredovanje podatkov;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rok za posredovanje podatkov;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prvo referenčno obdobje.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prvo referenčno obdobje.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 razčlenitvah iz odstavka 4, točka (c), Komisija zagotovi vsaj naslednje: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razlikovanje med poslovnimi nepremičninami, ki so v lasti fizičnih in v lasti pravnih oseb;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razlikovanje med stanovanjskimi in nestanovanjskimi poslovnimi nepremičninami;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opredelitev kratkoročnega najema.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Izvedbeni akti iz odstavka 4 se sprejmejo v skladu s postopkom pregleda iz člena 10.</w:t>
            </w:r>
          </w:p>
        </w:tc>
        <w:tc>
          <w:tcPr>
            <w:tcW w:w="4876" w:type="dxa"/>
            <w:tcBorders>
              <w:top w:val="nil"/>
              <w:left w:val="nil"/>
              <w:bottom w:val="nil"/>
              <w:right w:val="nil"/>
            </w:tcBorders>
          </w:tcPr>
          <w:p>
            <w:pPr>
              <w:pStyle w:val="Normal6a"/>
            </w:pPr>
            <w:r>
              <w:t>6.</w:t>
            </w:r>
            <w:r>
              <w:tab/>
            </w:r>
            <w:r>
              <w:t xml:space="preserve">Izvedbeni akti iz odstavka 4 se sprejmejo v skladu s postopkom pregleda iz člena 10 </w:t>
            </w:r>
            <w:r>
              <w:rPr>
                <w:b/>
                <w:i/>
              </w:rPr>
              <w:t>najpozneje 24 mesecev pred začetkom zadevnega referenčnega obdobja</w:t>
            </w:r>
            <w:r>
              <w:t xml:space="preserve">. </w:t>
            </w:r>
            <w:r>
              <w:rPr>
                <w:b/>
                <w:i/>
              </w:rPr>
              <w:t>Komisija poskrbi, da so izvedbeni akti, sprejeti na podlagi tega odstavka, skladni z načelom sorazmernosti ter da državam članicam ali podjetjem ne nalagajo večjih dodatnih stroškov ali bremen.</w:t>
            </w:r>
            <w:r>
              <w:t xml:space="preserve"> </w:t>
            </w:r>
            <w:r>
              <w:rPr>
                <w:b/>
                <w:i/>
              </w:rPr>
              <w:t>Izvedejo se pilotne študije iz člena 7, njihovi rezultati pa se ustrezno ocenijo in upoštevajo pred vsako spremembo elementov podatkov iz odstavka 4 tega člena.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4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letne</w:t>
            </w:r>
            <w:r>
              <w:t xml:space="preserve"> referenčne metapodatke in poročila o kakovosti;</w:t>
            </w:r>
          </w:p>
        </w:tc>
        <w:tc>
          <w:tcPr>
            <w:tcW w:w="4876" w:type="dxa"/>
            <w:tcBorders>
              <w:top w:val="nil"/>
              <w:left w:val="nil"/>
              <w:bottom w:val="nil"/>
              <w:right w:val="nil"/>
            </w:tcBorders>
          </w:tcPr>
          <w:p>
            <w:pPr>
              <w:pStyle w:val="Normal6a"/>
            </w:pPr>
            <w:r>
              <w:t>(a)</w:t>
            </w:r>
            <w:r>
              <w:tab/>
            </w:r>
            <w:r>
              <w:rPr>
                <w:b/>
                <w:i/>
              </w:rPr>
              <w:t>četrtletne</w:t>
            </w:r>
            <w:r>
              <w:t xml:space="preserve"> referenčne metapodatke in poročila o kakovosti;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Kadar Komisija (Eurostat) ugotovi, da so potrebne bistvene nove zahteve po podatkih ali izboljšave podatkov, ki jih zajema ta uredba, </w:t>
            </w:r>
            <w:r>
              <w:rPr>
                <w:b/>
                <w:i/>
              </w:rPr>
              <w:t>lahko</w:t>
            </w:r>
            <w:r>
              <w:t xml:space="preserve"> začne pilotne študije, ki jih pred vsakim zbiranjem novih podatkov prostovoljno izvedejo države članice.</w:t>
            </w:r>
          </w:p>
        </w:tc>
        <w:tc>
          <w:tcPr>
            <w:tcW w:w="4876" w:type="dxa"/>
            <w:tcBorders>
              <w:top w:val="nil"/>
              <w:left w:val="nil"/>
              <w:bottom w:val="nil"/>
              <w:right w:val="nil"/>
            </w:tcBorders>
          </w:tcPr>
          <w:p>
            <w:pPr>
              <w:pStyle w:val="Normal6a"/>
            </w:pPr>
            <w:r>
              <w:t>1.</w:t>
            </w:r>
            <w:r>
              <w:tab/>
            </w:r>
            <w:r>
              <w:t>Kadar Komisija (Eurostat) ugotovi, da so potrebne bistvene nove zahteve po podatkih ali izboljšave podatkov, ki jih zajema ta uredba, začne pilotne študije, ki jih pred vsakim zbiranjem novih podatkov prostovoljno izvedejo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Pilotne študije iz odstavka 1 se izvedejo, da se ocenita ustreznost in izvedljivost izpolnjevanja novih zahtev po podatkih ali izboljšav. Komisija po potrebi in ob upoštevanju ugotovitev pilotnih študij pripravi predloge za uvedbo novih zahtev po podatkih.</w:t>
            </w:r>
          </w:p>
        </w:tc>
        <w:tc>
          <w:tcPr>
            <w:tcW w:w="4876" w:type="dxa"/>
            <w:tcBorders>
              <w:top w:val="nil"/>
              <w:left w:val="nil"/>
              <w:bottom w:val="nil"/>
              <w:right w:val="nil"/>
            </w:tcBorders>
          </w:tcPr>
          <w:p>
            <w:pPr>
              <w:pStyle w:val="Normal6a"/>
            </w:pPr>
            <w:r>
              <w:t>2.</w:t>
            </w:r>
            <w:r>
              <w:tab/>
            </w:r>
            <w:r>
              <w:t>Pilotne študije iz odstavka 1 se izvedejo, da se ocenita ustreznost in izvedljivost izpolnjevanja novih zahtev po podatkih ali izboljšav</w:t>
            </w:r>
            <w:r>
              <w:rPr>
                <w:b/>
                <w:i/>
              </w:rPr>
              <w:t>, in se izvedejo tako, da se čim bolj zmanjša breme za zasebne imetnike podatkov</w:t>
            </w:r>
            <w:r>
              <w:t>. Komisija po potrebi in ob upoštevanju ugotovitev pilotnih študij pripravi predloge za uvedbo novih zahtev po podatkih.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Pilotne študije iz odstavka 1 se izvedejo, da se ocenita ustreznost in izvedljivost izpolnjevanja novih zahtev po podatkih ali izboljšav. Komisija po potrebi in ob upoštevanju ugotovitev pilotnih študij pripravi predloge za uvedbo novih zahtev po podatkih.</w:t>
            </w:r>
          </w:p>
        </w:tc>
        <w:tc>
          <w:tcPr>
            <w:tcW w:w="4876" w:type="dxa"/>
            <w:tcBorders>
              <w:top w:val="nil"/>
              <w:left w:val="nil"/>
              <w:bottom w:val="nil"/>
              <w:right w:val="nil"/>
            </w:tcBorders>
          </w:tcPr>
          <w:p>
            <w:pPr>
              <w:pStyle w:val="Normal6a"/>
            </w:pPr>
            <w:r>
              <w:t>2.</w:t>
            </w:r>
            <w:r>
              <w:tab/>
            </w:r>
            <w:r>
              <w:t>Pilotne študije iz odstavka 1 se izvedejo, da se ocenita ustreznost in izvedljivost izpolnjevanja novih zahtev po podatkih ali izboljšav. Komisija po potrebi in ob upoštevanju ugotovitev pilotnih študij</w:t>
            </w:r>
            <w:r>
              <w:rPr>
                <w:b/>
                <w:i/>
              </w:rPr>
              <w:t>, vključno z morebitnim povečanjem upravnega bremena,</w:t>
            </w:r>
            <w:r>
              <w:t xml:space="preserve"> pripravi predloge za uvedbo novih zahtev po podatkih.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Lahko bi se izvedla pilotna študija za zbiranje podatkov o vrednosti transakcij s poslovnimi nepremičninami.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Države članice skupaj s Komisijo (Eurostatom</w:t>
            </w:r>
            <w:r>
              <w:t xml:space="preserve">) </w:t>
            </w:r>
            <w:r>
              <w:rPr>
                <w:b/>
                <w:i/>
              </w:rPr>
              <w:t>zagotovijo</w:t>
            </w:r>
            <w:r>
              <w:t xml:space="preserve"> reprezentativnost teh študij na ravni Unije.</w:t>
            </w:r>
          </w:p>
        </w:tc>
        <w:tc>
          <w:tcPr>
            <w:tcW w:w="4876" w:type="dxa"/>
            <w:tcBorders>
              <w:top w:val="nil"/>
              <w:left w:val="nil"/>
              <w:bottom w:val="nil"/>
              <w:right w:val="nil"/>
            </w:tcBorders>
          </w:tcPr>
          <w:p>
            <w:pPr>
              <w:pStyle w:val="Normal6a"/>
            </w:pPr>
            <w:r>
              <w:t>3.</w:t>
            </w:r>
            <w:r>
              <w:tab/>
            </w:r>
            <w:r>
              <w:rPr>
                <w:b/>
                <w:i/>
              </w:rPr>
              <w:t>Komisija (Eurostat</w:t>
            </w:r>
            <w:r>
              <w:t xml:space="preserve">) </w:t>
            </w:r>
            <w:r>
              <w:rPr>
                <w:b/>
                <w:i/>
              </w:rPr>
              <w:t>v sodelovanju z državami članicami zagotovi</w:t>
            </w:r>
            <w:r>
              <w:t xml:space="preserve"> reprezentativnost teh študij na ravni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11</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Odstopanja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Kadar so zaradi uporabe te uredbe ali izvedbenih ukrepov, sprejetih na njeni podlagi, potrebne večje prilagoditve v nacionalnem statističnem sistemu države članice, lahko Komisija tej državi članici z izvedbenimi akti odobri odstopanja za največ tri leta.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Zadevna država članica Komisiji predloži ustrezno utemeljeno zahtevo za odstopanje v skladu z odstavkom 1 v treh mesecih od datuma začetka veljavnosti akta, v zvezi s katerim se zahteva odstopanje.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Vpliv odstopanj iz odstavka 1 na primerljivost podatkov držav članic ali izračun zahtevanih pravočasnih in reprezentativnih evropskih agregatov je čim manjši.</w:t>
            </w:r>
            <w:r>
              <w:rPr>
                <w:b/>
                <w:i/>
              </w:rPr>
              <w:t xml:space="preserve"> </w:t>
            </w:r>
            <w:r>
              <w:rPr>
                <w:b/>
                <w:i/>
              </w:rPr>
              <w:t>Komisija pri odobritvi odstopanj upošteva obremenitev dajalcev podatkov.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Izvedbeni akti iz odstavka 1 se sprejmejo v skladu s postopkom pregleda iz člena 10.</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Ker mednarodni organi vse bolj opozarjajo na čedalje večjo ranljivost, ki izhaja iz sektorja poslovnih nepremičnin, je izjemno pomembno čim prej odpraviti vrzel v podatkih.</w:t>
      </w:r>
      <w:r>
        <w:t xml:space="preserve"> </w:t>
      </w:r>
      <w:r>
        <w:t>Kazalnike, vključene v to uredbo, je ESRB priporočil že pred desetimi leti, kar je državam članicam omogočilo dovolj časa za prilagoditev njihovega statističnega okvira.</w:t>
      </w:r>
    </w:p>
    <w:p>
      <w:r>
        <w:rPr>
          <w:rStyle w:val="HideTWBExt"/>
        </w:rPr>
        <w:t>&lt;/Amend&gt;</w:t>
      </w:r>
    </w:p>
    <w:p>
      <w:pPr>
        <w:pStyle w:val="AmNumberTabs"/>
      </w:pPr>
      <w:r>
        <w:rPr>
          <w:rStyle w:val="HideTWBExt"/>
        </w:rPr>
        <w:t>&lt;Amend&gt;</w:t>
      </w:r>
      <w:r>
        <w:t>Predlog spremembe</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Kadar so zaradi uporabe te uredbe ali izvedbenih ukrepov, sprejetih na njeni podlagi, potrebne večje prilagoditve v nacionalnem statističnem sistemu države članice, lahko Komisija tej državi članici z izvedbenimi akti odobri odstopanja za največ </w:t>
            </w:r>
            <w:r>
              <w:rPr>
                <w:b/>
                <w:i/>
              </w:rPr>
              <w:t>tri leta</w:t>
            </w:r>
            <w:r>
              <w:t>.</w:t>
            </w:r>
          </w:p>
        </w:tc>
        <w:tc>
          <w:tcPr>
            <w:tcW w:w="4876" w:type="dxa"/>
            <w:tcBorders>
              <w:top w:val="nil"/>
              <w:left w:val="nil"/>
              <w:bottom w:val="nil"/>
              <w:right w:val="nil"/>
            </w:tcBorders>
          </w:tcPr>
          <w:p>
            <w:pPr>
              <w:pStyle w:val="Normal6a"/>
            </w:pPr>
            <w:r>
              <w:rPr>
                <w:b/>
                <w:i/>
              </w:rPr>
              <w:t>(1)</w:t>
            </w:r>
            <w:r>
              <w:tab/>
            </w:r>
            <w:r>
              <w:t xml:space="preserve">Kadar so zaradi uporabe te uredbe ali izvedbenih ukrepov, sprejetih na njeni podlagi, potrebne večje prilagoditve v nacionalnem statističnem sistemu države članice, </w:t>
            </w:r>
            <w:r>
              <w:rPr>
                <w:b/>
                <w:i/>
              </w:rPr>
              <w:t>zlasti v primerih, ko bistveni deli upravnih postopkov, potrebnih za zbiranje podatkov, še niso digitalizirani,</w:t>
            </w:r>
            <w:r>
              <w:t xml:space="preserve"> lahko Komisija tej državi članici z izvedbenimi akti odobri odstopanja za največ </w:t>
            </w:r>
            <w:r>
              <w:rPr>
                <w:b/>
                <w:i/>
              </w:rPr>
              <w:t>pet let</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Kadar so zaradi uporabe te uredbe ali izvedbenih ukrepov, sprejetih na njeni podlagi, potrebne večje prilagoditve v nacionalnem statističnem sistemu države članice, lahko Komisija tej državi članici z izvedbenimi akti odobri odstopanja za največ </w:t>
            </w:r>
            <w:r>
              <w:rPr>
                <w:b/>
                <w:i/>
              </w:rPr>
              <w:t>tri leta</w:t>
            </w:r>
            <w:r>
              <w:t>.</w:t>
            </w:r>
          </w:p>
        </w:tc>
        <w:tc>
          <w:tcPr>
            <w:tcW w:w="4876" w:type="dxa"/>
            <w:tcBorders>
              <w:top w:val="nil"/>
              <w:left w:val="nil"/>
              <w:bottom w:val="nil"/>
              <w:right w:val="nil"/>
            </w:tcBorders>
          </w:tcPr>
          <w:p>
            <w:pPr>
              <w:pStyle w:val="Normal6a"/>
            </w:pPr>
            <w:r>
              <w:rPr>
                <w:b/>
                <w:i/>
              </w:rPr>
              <w:t>(1)</w:t>
            </w:r>
            <w:r>
              <w:tab/>
            </w:r>
            <w:r>
              <w:t xml:space="preserve">Kadar so zaradi uporabe te uredbe ali izvedbenih ukrepov, sprejetih na njeni podlagi, potrebne večje prilagoditve v nacionalnem statističnem sistemu države članice, lahko Komisija tej državi članici z izvedbenimi akti odobri odstopanja za največ </w:t>
            </w:r>
            <w:r>
              <w:rPr>
                <w:b/>
                <w:i/>
              </w:rPr>
              <w:t>pet let</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Kadar je odstopanje ob koncu obdobja, za katero je bilo odobreno, še vedno upravičeno, lahko Komisija sprejme izvedbeni akt, s katerim odobri nadaljnje odstopanje za največ tri leta.</w:t>
            </w:r>
            <w:r>
              <w:t xml:space="preserve"> </w:t>
            </w:r>
            <w:r>
              <w:rPr>
                <w:b/>
                <w:i/>
              </w:rPr>
              <w:t>Zadevna država članica Komisiji predloži zahtevo, v kateri navede razloge in podrobno podlago v podporo podaljšanju, in sicer najpozneje šest mesecev pred koncem obdobja veljavnosti odstopanja, odobrenega na podlagi odstavka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Uporablja se od 1. januarja </w:t>
            </w:r>
            <w:r>
              <w:rPr>
                <w:b/>
                <w:i/>
              </w:rPr>
              <w:t>2026</w:t>
            </w:r>
            <w:r>
              <w:t>.</w:t>
            </w:r>
          </w:p>
        </w:tc>
        <w:tc>
          <w:tcPr>
            <w:tcW w:w="4876" w:type="dxa"/>
            <w:tcBorders>
              <w:top w:val="nil"/>
              <w:left w:val="nil"/>
              <w:bottom w:val="nil"/>
              <w:right w:val="nil"/>
            </w:tcBorders>
          </w:tcPr>
          <w:p>
            <w:pPr>
              <w:pStyle w:val="Normal6a"/>
            </w:pPr>
            <w:r>
              <w:t>Uporablja se od 1. januarja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Uporablja se od 1. januarja </w:t>
            </w:r>
            <w:r>
              <w:rPr>
                <w:b/>
                <w:i/>
              </w:rPr>
              <w:t>2026</w:t>
            </w:r>
            <w:r>
              <w:t>.</w:t>
            </w:r>
          </w:p>
        </w:tc>
        <w:tc>
          <w:tcPr>
            <w:tcW w:w="4876" w:type="dxa"/>
            <w:tcBorders>
              <w:top w:val="nil"/>
              <w:left w:val="nil"/>
              <w:bottom w:val="nil"/>
              <w:right w:val="nil"/>
            </w:tcBorders>
          </w:tcPr>
          <w:p>
            <w:pPr>
              <w:pStyle w:val="Normal6a"/>
            </w:pPr>
            <w:r>
              <w:t>Uporablja se od 1. januarja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Uporablja se od 1. januarja </w:t>
            </w:r>
            <w:r>
              <w:rPr>
                <w:b/>
                <w:i/>
              </w:rPr>
              <w:t>2026</w:t>
            </w:r>
            <w:r>
              <w:t>.</w:t>
            </w:r>
          </w:p>
        </w:tc>
        <w:tc>
          <w:tcPr>
            <w:tcW w:w="4876" w:type="dxa"/>
            <w:tcBorders>
              <w:top w:val="nil"/>
              <w:left w:val="nil"/>
              <w:bottom w:val="nil"/>
              <w:right w:val="nil"/>
            </w:tcBorders>
          </w:tcPr>
          <w:p>
            <w:pPr>
              <w:pStyle w:val="Normal6a"/>
            </w:pPr>
            <w:r>
              <w:t>Uporablja se od 1. januarja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Uporablja se od 1. januarja </w:t>
            </w:r>
            <w:r>
              <w:rPr>
                <w:b/>
                <w:i/>
              </w:rPr>
              <w:t>2026</w:t>
            </w:r>
            <w:r>
              <w:t>.</w:t>
            </w:r>
          </w:p>
        </w:tc>
        <w:tc>
          <w:tcPr>
            <w:tcW w:w="4876" w:type="dxa"/>
            <w:tcBorders>
              <w:top w:val="nil"/>
              <w:left w:val="nil"/>
              <w:bottom w:val="nil"/>
              <w:right w:val="nil"/>
            </w:tcBorders>
          </w:tcPr>
          <w:p>
            <w:pPr>
              <w:pStyle w:val="Normal6a"/>
            </w:pPr>
            <w:r>
              <w:t>Uporablja se od 1. januarja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Gradbena dovoljenja (število stanovanj, uporabna tlorisna površina), razčlenjeno po socialnih stanovanjih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Začetek gradnje in dokončanje del (uporabna tlorisna površina), razčlenjeno po socialnih stanovanjih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c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Indeksi cen poslovnih nepremičnin</w:t>
            </w:r>
          </w:p>
        </w:tc>
        <w:tc>
          <w:tcPr>
            <w:tcW w:w="4876" w:type="dxa"/>
            <w:tcBorders>
              <w:top w:val="nil"/>
              <w:left w:val="nil"/>
              <w:bottom w:val="nil"/>
              <w:right w:val="nil"/>
            </w:tcBorders>
          </w:tcPr>
          <w:p>
            <w:pPr>
              <w:pStyle w:val="Normal6a"/>
            </w:pPr>
            <w:r>
              <w:t>(c)</w:t>
            </w:r>
            <w:r>
              <w:tab/>
            </w:r>
            <w:r>
              <w:t xml:space="preserve">Indeksi cen poslovnih nepremičnin </w:t>
            </w:r>
            <w:r>
              <w:rPr>
                <w:b/>
                <w:i/>
              </w:rPr>
              <w:t>(prostovoljno)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Indeksi cen poslovnih nepremičnin, razčlenjeno po nepremičninah, ki ustvarjajo dohodek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indeksi najemnin za poslovne nepremičnine, razčlenjeni glede na nepremičnine, ki ustvarjajo dohodek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e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Vrednost transakcij s poslovnimi nepremičninami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e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Vrednost </w:t>
            </w:r>
            <w:r>
              <w:rPr>
                <w:b/>
                <w:i/>
              </w:rPr>
              <w:t>transakcij</w:t>
            </w:r>
            <w:r>
              <w:t xml:space="preserve"> s poslovnimi nepremičninami</w:t>
            </w:r>
          </w:p>
        </w:tc>
        <w:tc>
          <w:tcPr>
            <w:tcW w:w="4876" w:type="dxa"/>
            <w:tcBorders>
              <w:top w:val="nil"/>
              <w:left w:val="nil"/>
              <w:bottom w:val="nil"/>
              <w:right w:val="nil"/>
            </w:tcBorders>
          </w:tcPr>
          <w:p>
            <w:pPr>
              <w:pStyle w:val="Normal6a"/>
            </w:pPr>
            <w:r>
              <w:t>(e)</w:t>
            </w:r>
            <w:r>
              <w:tab/>
            </w:r>
            <w:r>
              <w:t xml:space="preserve">Vrednost </w:t>
            </w:r>
            <w:r>
              <w:rPr>
                <w:b/>
                <w:i/>
              </w:rPr>
              <w:t>poslov</w:t>
            </w:r>
            <w:r>
              <w:t xml:space="preserve"> s poslovnimi nepremičninami </w:t>
            </w:r>
            <w:r>
              <w:rPr>
                <w:b/>
                <w:i/>
              </w:rPr>
              <w:t>(fakultativno).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indeksi donosnosti dajanja v najem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e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stopnje nezasedenosti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Priloga I – točka e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kratkoročni najem, vključno s številom stanovanjskih nepremičnin, ki se v celoti ali delno uporabljajo za kratkoročni najem, povprečnim številom dni na leto, ko se te stanovanjske nepremičnine oddajo v najem, in povprečno donosnostjo teh najemov.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40</w:t>
    </w:r>
    <w:r>
      <w:fldChar w:fldCharType="end"/>
    </w:r>
    <w:r>
      <w:tab/>
    </w:r>
    <w:r>
      <w:rPr>
        <w:rStyle w:val="HideTWBExt"/>
      </w:rPr>
      <w:t>&lt;PathFdR&gt;</w:t>
    </w:r>
    <w:r>
      <w:t>AM\1331374SL.docx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AM\1331374SL.docx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40</w:t>
    </w:r>
    <w:r>
      <w:fldChar w:fldCharType="end"/>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AM\1331374SL.docx</w:t>
    </w:r>
    <w:r>
      <w:rPr>
        <w:rStyle w:val="HideTWBExt"/>
      </w:rPr>
      <w:t>&lt;/PathFdR&gt;</w:t>
    </w:r>
    <w:r>
      <w:tab/>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40</Pages>
  <Words>7600</Words>
  <Characters>45053</Characters>
  <Application>Microsoft Office Word</Application>
  <DocSecurity>0</DocSecurity>
  <Lines>1</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1331374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291243</vt:lpwstr>
  </property>
  <property fmtid="{D5CDD505-2E9C-101B-9397-08002B2CF9AE}" pid="7" name="dmxml.render.traceId">
    <vt:lpwstr>691ee1f7b7ee79228486ba56569ceb2b</vt:lpwstr>
  </property>
  <property fmtid="{D5CDD505-2E9C-101B-9397-08002B2CF9AE}" pid="8" name="FooterPath">
    <vt:lpwstr>AM\1331374SL.docx</vt:lpwstr>
  </property>
  <property fmtid="{D5CDD505-2E9C-101B-9397-08002B2CF9AE}" pid="9" name="PE Number">
    <vt:lpwstr>779.504</vt:lpwstr>
  </property>
  <property fmtid="{D5CDD505-2E9C-101B-9397-08002B2CF9AE}" pid="10" name="UID">
    <vt:lpwstr>eu.europa.europarl-DIN1-2025-0000212645_02.00-sl-01.00_text-xml</vt:lpwstr>
  </property>
</Properties>
</file>