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{ECON}</w:t>
      </w:r>
      <w:r>
        <w:t>Hospodářský a měnový výbor</w:t>
      </w:r>
      <w:r>
        <w:rPr>
          <w:rStyle w:val="HideTWBExt"/>
        </w:rPr>
        <w:t>&lt;/Commission&gt;</w:t>
      </w:r>
    </w:p>
    <w:p>
      <w:pPr>
        <w:pStyle w:val="LineBottom"/>
      </w:pPr>
      <w:r>
        <w:t xml:space="preserve"> </w:t>
      </w:r>
    </w:p>
    <w:p>
      <w:pPr>
        <w:pStyle w:val="CoverReference"/>
      </w:pPr>
      <w:r>
        <w:rPr>
          <w:rStyle w:val="HideTWBExt"/>
        </w:rPr>
        <w:t>&lt;RefProc&gt;</w:t>
      </w:r>
      <w:r>
        <w:t>2025/2136</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{19/01/2026}</w:t>
      </w:r>
      <w:r>
        <w:t>19. 1. 2026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w:t>
      </w:r>
      <w:r>
        <w:t xml:space="preserve"> - </w:t>
      </w:r>
      <w:r>
        <w:t>285</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Evelyn Regner</w:t>
      </w:r>
      <w:r>
        <w:rPr>
          <w:rStyle w:val="HideTWBExt"/>
        </w:rPr>
        <w:t>&lt;/Rapporteur&gt;</w:t>
      </w:r>
    </w:p>
    <w:p>
      <w:pPr>
        <w:pStyle w:val="CoverNormal24a"/>
      </w:pPr>
      <w:r>
        <w:rPr>
          <w:rStyle w:val="HideTWBExt"/>
        </w:rPr>
        <w:t>&lt;DocRefPE&gt;</w:t>
      </w:r>
      <w:r>
        <w:t>(PE779.660v01-00)</w:t>
      </w:r>
      <w:r>
        <w:rPr>
          <w:rStyle w:val="HideTWBExt"/>
        </w:rPr>
        <w:t>&lt;/DocRefPE&gt;</w:t>
      </w:r>
    </w:p>
    <w:p>
      <w:pPr>
        <w:pStyle w:val="CoverNormal"/>
      </w:pPr>
      <w:r>
        <w:rPr>
          <w:rStyle w:val="HideTWBExt"/>
        </w:rPr>
        <w:t>&lt;Titre&gt;</w:t>
      </w:r>
      <w:r>
        <w:t>Bankovní unie – výroční zpráva za rok 2025</w:t>
      </w:r>
      <w:r>
        <w:rPr>
          <w:rStyle w:val="HideTWBExt"/>
        </w:rPr>
        <w:t>&lt;/Titre&gt;</w:t>
      </w:r>
    </w:p>
    <w:p>
      <w:pPr>
        <w:pStyle w:val="CoverNormal24a"/>
      </w:pPr>
      <w:r>
        <w:rPr>
          <w:rStyle w:val="HideTWBExt"/>
        </w:rPr>
        <w:t>&lt;DocRef&gt;</w:t>
      </w:r>
      <w:r>
        <w:t>(2025/2136(INI))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zprávu Hospodářského a měnového výboru ze dne 23. dubna 2024 o návrhu nařízení Evropského parlamentu a Rady, kterým se mění nařízení (EU) č. 806/2014 za účelem zřízení evropského systému pojištění vkladů (EDIS),</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zprávu Hospodářského a měnového výboru ze dne 23. dubna 2024 o návrhu nařízení Evropského parlamentu a Rady, kterým se mění nařízení (EU) č. 806/2014 za účelem zřízení evropského systému pojištění vkladů (EDIS),</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zprávu pěti předsedů ze dne 22. června 2015 nazvanou „Dokončení evropské hospodářské a měnové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dokument ECB z řady Occasional Paper Series č. 328 z roku 2023 nazvaný „The Road to Paris: stress testing the transition towards a net-zero economy“ (Před pařížskou konferencí:</w:t>
            </w:r>
            <w:r>
              <w:t xml:space="preserve"> </w:t>
            </w:r>
            <w:r>
              <w:rPr>
                <w:b/>
                <w:i/>
              </w:rPr>
              <w:t>zátěžové testování přechodu k hospodářství s nulovými čistými emisemi),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s ohledem na dokument ECB z řady Occasional Paper Series č. 328 z roku 2023 nazvaný „The Road to Paris: stress testing the transition towards a net-zero economy“ (Před pařížskou konferencí:</w:t>
            </w:r>
            <w:r>
              <w:t xml:space="preserve"> </w:t>
            </w:r>
            <w:r>
              <w:rPr>
                <w:b/>
                <w:i/>
              </w:rPr>
              <w:t>zátěžové testování přechodu k hospodářství s nulovými čistými emisemi),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dokument ECB č. 376 z řady Occasional Paper nazvaný „Capital requirements: a pillar or a burden for banks competitiveness?“ (Kapitálové požadavky: pilíř nebo zátěž pro konkurenceschopnost bank?) z roku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25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Basilejského výboru pro bankovní dohled ze dne 10. července 2025 nazvanou „Propojení bank s nebankovními finančními zprostředkovateli“,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Evropského orgánu pro pojišťovnictví a zaměstnanecké penzijní pojištění o obezřetnostním zacházení s riziky týkajícími se udržitelnosti ze dne 7. listopadu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34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ECB o zjednodušení evropského obezřetnostního rámce pro regulaci, dohled a vykazování z prosince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Právní východisko 34 b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s ohledem na zprávu orgánu EBA o účinnosti regulačního rámce a rámce dohledu ze dne 1. října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cílem bankovní unie je zajistit </w:t>
            </w:r>
            <w:r>
              <w:rPr>
                <w:b/>
                <w:i/>
              </w:rPr>
              <w:t>bankovní</w:t>
            </w:r>
            <w:r>
              <w:t xml:space="preserve"> stabilitu, vyhnout se rekapitalizacím z prostředků daňových poplatníků, posílit odolnost, umožnit řádné řešení krizí, snížit roztříštěnost trhu a zvýšit konkurenceschopnost, přeshraniční činnost a přístup k financování, přičemž problém „bank, jejichž velikost nedovoluje jejich selhání,“ zůstává nevyřešen;</w:t>
            </w:r>
          </w:p>
        </w:tc>
        <w:tc>
          <w:tcPr>
            <w:tcW w:w="4876" w:type="dxa"/>
            <w:tcBorders>
              <w:top w:val="nil"/>
              <w:left w:val="nil"/>
              <w:bottom w:val="nil"/>
              <w:right w:val="nil"/>
            </w:tcBorders>
          </w:tcPr>
          <w:p>
            <w:pPr>
              <w:pStyle w:val="Normal6a"/>
            </w:pPr>
            <w:r>
              <w:t>A.</w:t>
            </w:r>
            <w:r>
              <w:tab/>
            </w:r>
            <w:r>
              <w:t xml:space="preserve">vzhledem k tomu, že cílem bankovní unie je zajistit stabilitu </w:t>
            </w:r>
            <w:r>
              <w:rPr>
                <w:b/>
                <w:i/>
              </w:rPr>
              <w:t>finančního systému a zaručit řádné řízení bankovní krize</w:t>
            </w:r>
            <w:r>
              <w:t>, vyhnout se rekapitalizacím z prostředků daňových poplatníků, posílit odolnost, umožnit řádné řešení krizí, snížit roztříštěnost trhu a zvýšit konkurenceschopnost, přeshraniční činnost a přístup k financování, přičemž problém „bank, jejichž velikost nedovoluje jejich selhání,“ zůstává nevyřešen;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w:t>
            </w:r>
            <w:r>
              <w:rPr>
                <w:b/>
                <w:i/>
              </w:rPr>
              <w:t>přičemž problém „bank, jejichž velikost nedovoluje jejich selhání,“ zůstává nevyřešen</w:t>
            </w:r>
            <w:r>
              <w:t>;</w:t>
            </w:r>
          </w:p>
        </w:tc>
        <w:tc>
          <w:tcPr>
            <w:tcW w:w="4876" w:type="dxa"/>
            <w:tcBorders>
              <w:top w:val="nil"/>
              <w:left w:val="nil"/>
              <w:bottom w:val="nil"/>
              <w:right w:val="nil"/>
            </w:tcBorders>
          </w:tcPr>
          <w:p>
            <w:pPr>
              <w:pStyle w:val="Normal6a"/>
            </w:pPr>
            <w:r>
              <w:t>A.</w:t>
            </w:r>
            <w:r>
              <w:tab/>
            </w:r>
            <w:r>
              <w:t xml:space="preserve">vzhledem k tomu, že cílem bankovní unie je zajistit bankovní stabilitu, </w:t>
            </w:r>
            <w:r>
              <w:rPr>
                <w:b/>
                <w:i/>
              </w:rPr>
              <w:t>prolomit katastrofickou smyčku mezi státem a bankami a</w:t>
            </w:r>
            <w:r>
              <w:t xml:space="preserve"> vyhnout se rekapitalizacím z prostředků daňových poplatníků, posílit odolnost, umožnit řádné řešení krizí, snížit roztříštěnost trhu a zvýšit konkurenceschopnost, přeshraniční činnost a přístup k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w:t>
            </w:r>
            <w:r>
              <w:rPr>
                <w:b/>
                <w:i/>
              </w:rPr>
              <w:t>přičemž problém „bank, jejichž velikost nedovoluje jejich selhání,“ zůstává nevyřešen</w:t>
            </w:r>
            <w:r>
              <w:t>;</w:t>
            </w:r>
          </w:p>
        </w:tc>
        <w:tc>
          <w:tcPr>
            <w:tcW w:w="4876" w:type="dxa"/>
            <w:tcBorders>
              <w:top w:val="nil"/>
              <w:left w:val="nil"/>
              <w:bottom w:val="nil"/>
              <w:right w:val="nil"/>
            </w:tcBorders>
          </w:tcPr>
          <w:p>
            <w:pPr>
              <w:pStyle w:val="Normal6a"/>
            </w:pPr>
            <w:r>
              <w:t>A.</w:t>
            </w:r>
            <w:r>
              <w:tab/>
            </w:r>
            <w:r>
              <w:t>vzhledem k tomu, že cílem bankovní unie je zajistit bankovní stabilitu,vyhnout se rekapitalizacím z prostředků daňových poplatníků, posílit odolnost, umožnit řádné řešení krizí, snížit roztříštěnost trhu a zvýšit konkurenceschopnost, přeshraniční činnost a přístup k financování,;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přičemž </w:t>
            </w:r>
            <w:r>
              <w:rPr>
                <w:b/>
                <w:i/>
              </w:rPr>
              <w:t>problém „bank, jejichž velikost nedovoluje jejich selhání,“ zůstává nevyřešen</w:t>
            </w:r>
            <w:r>
              <w:t>;</w:t>
            </w:r>
          </w:p>
        </w:tc>
        <w:tc>
          <w:tcPr>
            <w:tcW w:w="4876" w:type="dxa"/>
            <w:tcBorders>
              <w:top w:val="nil"/>
              <w:left w:val="nil"/>
              <w:bottom w:val="nil"/>
              <w:right w:val="nil"/>
            </w:tcBorders>
          </w:tcPr>
          <w:p>
            <w:pPr>
              <w:pStyle w:val="Normal6a"/>
            </w:pPr>
            <w:r>
              <w:t>A.</w:t>
            </w:r>
            <w:r>
              <w:tab/>
            </w:r>
            <w:r>
              <w:t xml:space="preserve">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přičemž </w:t>
            </w:r>
            <w:r>
              <w:rPr>
                <w:b/>
                <w:i/>
              </w:rPr>
              <w:t>bankovní prostředí Evropské unie je rozmanité a různé bankovní struktury nabízejí evropským občanům a podnikům širokou škálu služeb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přičemž </w:t>
            </w:r>
            <w:r>
              <w:rPr>
                <w:b/>
                <w:i/>
              </w:rPr>
              <w:t>problém</w:t>
            </w:r>
            <w:r>
              <w:t xml:space="preserve"> „bank, jejichž velikost nedovoluje jejich selhání,“ </w:t>
            </w:r>
            <w:r>
              <w:rPr>
                <w:b/>
                <w:i/>
              </w:rPr>
              <w:t>zůstává nevyřešen</w:t>
            </w:r>
            <w:r>
              <w:t>;</w:t>
            </w:r>
          </w:p>
        </w:tc>
        <w:tc>
          <w:tcPr>
            <w:tcW w:w="4876" w:type="dxa"/>
            <w:tcBorders>
              <w:top w:val="nil"/>
              <w:left w:val="nil"/>
              <w:bottom w:val="nil"/>
              <w:right w:val="nil"/>
            </w:tcBorders>
          </w:tcPr>
          <w:p>
            <w:pPr>
              <w:pStyle w:val="Normal6a"/>
            </w:pPr>
            <w:r>
              <w:t>A.</w:t>
            </w:r>
            <w:r>
              <w:tab/>
            </w:r>
            <w:r>
              <w:t xml:space="preserve">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přičemž </w:t>
            </w:r>
            <w:r>
              <w:rPr>
                <w:b/>
                <w:i/>
              </w:rPr>
              <w:t>přetrvávající dynamika</w:t>
            </w:r>
            <w:r>
              <w:t xml:space="preserve"> „bank, jejichž velikost nedovoluje jejich selhání,“ </w:t>
            </w:r>
            <w:r>
              <w:rPr>
                <w:b/>
                <w:i/>
              </w:rPr>
              <w:t>nadále narušuje tržní pobídky a zvyšuje implicitní státní záruky</w:t>
            </w:r>
            <w:r>
              <w:t xml:space="preserve">; </w:t>
            </w:r>
            <w:r>
              <w:rPr>
                <w:b/>
                <w:i/>
              </w:rPr>
              <w:t>vyzývá spíše k větší tržní disciplíně než k dalšímu vytváření regulačních vrstev;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přičemž problém „bank, jejichž velikost nedovoluje jejich selhání,“ zůstává nevyřešen;</w:t>
            </w:r>
          </w:p>
        </w:tc>
        <w:tc>
          <w:tcPr>
            <w:tcW w:w="4876" w:type="dxa"/>
            <w:tcBorders>
              <w:top w:val="nil"/>
              <w:left w:val="nil"/>
              <w:bottom w:val="nil"/>
              <w:right w:val="nil"/>
            </w:tcBorders>
          </w:tcPr>
          <w:p>
            <w:pPr>
              <w:pStyle w:val="Normal6a"/>
            </w:pPr>
            <w:r>
              <w:t>A.</w:t>
            </w:r>
            <w:r>
              <w:tab/>
            </w:r>
            <w:r>
              <w:t xml:space="preserve">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w:t>
            </w:r>
            <w:r>
              <w:rPr>
                <w:b/>
                <w:i/>
              </w:rPr>
              <w:t>a snížit tak náklady pro zákazníky bank,</w:t>
            </w:r>
            <w:r>
              <w:t xml:space="preserve"> přičemž problém „bank, jejichž velikost nedovoluje jejich selhání,“ zůstává nevyřešen;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vzhledem k tomu, že cílem bankovní unie je zajistit bankovní stabilitu, vyhnout se rekapitalizacím z prostředků daňových poplatníků, posílit odolnost, umožnit řádné řešení krizí, snížit roztříštěnost trhu a zvýšit konkurenceschopnost, přeshraniční činnost a přístup k financování, přičemž problém „bank, jejichž velikost nedovoluje jejich selhání,“ zůstává nevyřešen;</w:t>
            </w:r>
          </w:p>
        </w:tc>
        <w:tc>
          <w:tcPr>
            <w:tcW w:w="4876" w:type="dxa"/>
            <w:tcBorders>
              <w:top w:val="nil"/>
              <w:left w:val="nil"/>
              <w:bottom w:val="nil"/>
              <w:right w:val="nil"/>
            </w:tcBorders>
          </w:tcPr>
          <w:p>
            <w:pPr>
              <w:pStyle w:val="Normal6a"/>
            </w:pPr>
            <w:r>
              <w:t>A.</w:t>
            </w:r>
            <w:r>
              <w:tab/>
            </w:r>
            <w:r>
              <w:t>vzhledem k tomu, že cílem bankovní unie je zajistit bankovní stabilitu, vyhnout se rekapitalizacím z prostředků daňových poplatníků, posílit odolnost, umožnit řádné řešení krizí, snížit roztříštěnost trhu</w:t>
            </w:r>
            <w:r>
              <w:rPr>
                <w:b/>
                <w:i/>
              </w:rPr>
              <w:t>, zlepšit ochranu vkladatelů</w:t>
            </w:r>
            <w:r>
              <w:t xml:space="preserve"> a zvýšit konkurenceschopnost, přeshraniční činnost a přístup k financování, přičemž problém „bank, jejichž velikost nedovoluje jejich selhání,“ zůstává nevyřešen;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cílem bankovní unie je:</w:t>
            </w:r>
            <w:r>
              <w:t xml:space="preserve"> </w:t>
            </w:r>
            <w:r>
              <w:rPr>
                <w:b/>
                <w:i/>
              </w:rPr>
              <w:t>i) podpořit zdraví bank, aby odolaly budoucím finančním krizím, ii) zajistit řešení problémů neživotaschopných bank tím, že se zamezí použití peněz daňových poplatníků s minimálním dopadem na reálnou ekonomiku, a iii) snížit roztříštěnost trhu zavedením harmonizovaných pravidel pro finanční sektor;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A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vzhledem k tomu, že silný a diverzifikovaný bankovní sektor je klíčem k zajištění hospodářského růstu, financování malých a středních podniků (MSP) a začínajících inovativních podniků a přechodu na zelenou a digitální ekonomiku;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a jednotného mechanismu pro řešení krizí, </w:t>
            </w:r>
            <w:r>
              <w:rPr>
                <w:b/>
                <w:i/>
              </w:rPr>
              <w:t>slaďuje dohled s krizovým</w:t>
            </w:r>
            <w:r>
              <w:t xml:space="preserve"> řízením</w:t>
            </w:r>
            <w:r>
              <w:rPr>
                <w:b/>
                <w:i/>
              </w:rPr>
              <w:t>, ale bez plně zavedeného systému EDIS zůstává neúplná</w:t>
            </w:r>
            <w:r>
              <w:t>;</w:t>
            </w:r>
          </w:p>
        </w:tc>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a jednotného mechanismu pro řešení krizí, </w:t>
            </w:r>
            <w:r>
              <w:rPr>
                <w:b/>
                <w:i/>
              </w:rPr>
              <w:t>posílila finanční stabilitu a zlepšila soulad mezi dohledem a</w:t>
            </w:r>
            <w:r>
              <w:t xml:space="preserve"> řízením </w:t>
            </w:r>
            <w:r>
              <w:rPr>
                <w:b/>
                <w:i/>
              </w:rPr>
              <w:t>krizí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w:t>
            </w:r>
            <w:r>
              <w:rPr>
                <w:b/>
                <w:i/>
              </w:rPr>
              <w:t>a</w:t>
            </w:r>
            <w:r>
              <w:t> jednotného mechanismu pro řešení krizí, slaďuje dohled s krizovým řízením</w:t>
            </w:r>
            <w:r>
              <w:rPr>
                <w:b/>
                <w:i/>
              </w:rPr>
              <w:t>, ale bez plně zavedeného systému EDIS zůstává neúplná</w:t>
            </w:r>
            <w:r>
              <w:t>;</w:t>
            </w:r>
          </w:p>
        </w:tc>
        <w:tc>
          <w:tcPr>
            <w:tcW w:w="4876" w:type="dxa"/>
            <w:tcBorders>
              <w:top w:val="nil"/>
              <w:left w:val="nil"/>
              <w:bottom w:val="nil"/>
              <w:right w:val="nil"/>
            </w:tcBorders>
          </w:tcPr>
          <w:p>
            <w:pPr>
              <w:pStyle w:val="Normal6a"/>
            </w:pPr>
            <w:r>
              <w:t>B.</w:t>
            </w:r>
            <w:r>
              <w:tab/>
            </w:r>
            <w:r>
              <w:t>vzhledem k tomu, že bankovní unie, která se skládá z jednotného mechanismu dohledu</w:t>
            </w:r>
            <w:r>
              <w:rPr>
                <w:b/>
                <w:i/>
              </w:rPr>
              <w:t>,</w:t>
            </w:r>
            <w:r>
              <w:t xml:space="preserve"> jednotného mechanismu pro řešení krizí </w:t>
            </w:r>
            <w:r>
              <w:rPr>
                <w:b/>
                <w:i/>
              </w:rPr>
              <w:t>a harmonizovaných pravidel pro pojištění vkladů</w:t>
            </w:r>
            <w:r>
              <w:t>, slaďuje dohled s krizovým řízením;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w:t>
            </w:r>
            <w:r>
              <w:rPr>
                <w:b/>
                <w:i/>
              </w:rPr>
              <w:t>, ale bez plně zavedeného</w:t>
            </w:r>
            <w:r>
              <w:t xml:space="preserve"> systému </w:t>
            </w:r>
            <w:r>
              <w:rPr>
                <w:b/>
                <w:i/>
              </w:rPr>
              <w:t>EDIS zůstává neúplná</w:t>
            </w:r>
            <w:r>
              <w:t>;</w:t>
            </w:r>
          </w:p>
        </w:tc>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w:t>
            </w:r>
            <w:r>
              <w:rPr>
                <w:b/>
                <w:i/>
              </w:rPr>
              <w:t>;</w:t>
            </w:r>
            <w:r>
              <w:t xml:space="preserve"> </w:t>
            </w:r>
            <w:r>
              <w:rPr>
                <w:b/>
                <w:i/>
              </w:rPr>
              <w:t>konstatuje, že byly úspěšně zavedeny vnitrostátní systémy pojištění vkladů a v řadě případů prokázaly svou funkčnost;</w:t>
            </w:r>
            <w:r>
              <w:t xml:space="preserve"> </w:t>
            </w:r>
            <w:r>
              <w:rPr>
                <w:b/>
                <w:i/>
              </w:rPr>
              <w:t>nový návrh Komise na zřízení evropského</w:t>
            </w:r>
            <w:r>
              <w:t xml:space="preserve"> systému </w:t>
            </w:r>
            <w:r>
              <w:rPr>
                <w:b/>
                <w:i/>
              </w:rPr>
              <w:t>pojištění vkladů by měl lépe zohledňovat specifické vnitrostátní charakteristiky, aby byly zachovány dobře fungující systémy pro menší banky, které již v některých členských státech existují, a zároveň zajištěny rovné podmínky v celé bankovní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w:t>
            </w:r>
            <w:r>
              <w:rPr>
                <w:b/>
                <w:i/>
              </w:rPr>
              <w:t>, ale bez plně zavedeného systému EDIS zůstává neúplná</w:t>
            </w:r>
            <w:r>
              <w:t>;</w:t>
            </w:r>
          </w:p>
        </w:tc>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a jednotného mechanismu pro řešení krizí, slaďuje dohled s krizovým řízením </w:t>
            </w:r>
            <w:r>
              <w:rPr>
                <w:b/>
                <w:i/>
              </w:rPr>
              <w:t>a zajišťuje vysokou úroveň ochrany vkladů na základě společných evropských minimálních norem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w:t>
            </w:r>
            <w:r>
              <w:rPr>
                <w:b/>
                <w:i/>
              </w:rPr>
              <w:t>, ale bez plně zavedeného systému EDIS zůstává neúplná</w:t>
            </w:r>
            <w:r>
              <w:t>;</w:t>
            </w:r>
          </w:p>
        </w:tc>
        <w:tc>
          <w:tcPr>
            <w:tcW w:w="4876" w:type="dxa"/>
            <w:tcBorders>
              <w:top w:val="nil"/>
              <w:left w:val="nil"/>
              <w:bottom w:val="nil"/>
              <w:right w:val="nil"/>
            </w:tcBorders>
          </w:tcPr>
          <w:p>
            <w:pPr>
              <w:pStyle w:val="Normal6a"/>
            </w:pPr>
            <w:r>
              <w:t>B.</w:t>
            </w:r>
            <w:r>
              <w:tab/>
            </w:r>
            <w:r>
              <w:t xml:space="preserve">vzhledem k tomu, že bankovní unie, která se </w:t>
            </w:r>
            <w:r>
              <w:rPr>
                <w:b/>
                <w:i/>
              </w:rPr>
              <w:t>v současnosti</w:t>
            </w:r>
            <w:r>
              <w:t xml:space="preserve"> skládá z jednotného mechanismu dohledu a jednotného mechanismu pro řešení krizí, slaďuje dohled s krizovým řízením;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w:t>
            </w:r>
            <w:r>
              <w:rPr>
                <w:b/>
                <w:i/>
              </w:rPr>
              <w:t>, ale bez plně zavedeného systému EDIS zůstává neúplná</w:t>
            </w:r>
            <w:r>
              <w:t>;</w:t>
            </w:r>
          </w:p>
        </w:tc>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a jednotného mechanismu pro řešení krizí, slaďuje dohled s krizovým řízením, ale </w:t>
            </w:r>
            <w:r>
              <w:rPr>
                <w:b/>
                <w:i/>
              </w:rPr>
              <w:t>bez plně zavedeného systému EDIS zůstává</w:t>
            </w:r>
            <w:r>
              <w:t xml:space="preserve"> neúplná;</w:t>
            </w:r>
          </w:p>
        </w:tc>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a jednotného mechanismu pro řešení krizí, slaďuje dohled s krizovým řízením, ale </w:t>
            </w:r>
            <w:r>
              <w:rPr>
                <w:b/>
                <w:i/>
              </w:rPr>
              <w:t>je i nadále strukturálně</w:t>
            </w:r>
            <w:r>
              <w:t xml:space="preserve"> neúplná </w:t>
            </w:r>
            <w:r>
              <w:rPr>
                <w:b/>
                <w:i/>
              </w:rPr>
              <w:t>a neúčinná</w:t>
            </w:r>
            <w:r>
              <w:t xml:space="preserve">; </w:t>
            </w:r>
            <w:r>
              <w:rPr>
                <w:b/>
                <w:i/>
              </w:rPr>
              <w:t>zdůrazňuje, že sdílení rizik bez odpovědnosti trhu narušuje neutralitu hospodářské soutěže a vystavuje fiskálně odpovědné členské státy nepřiměřeným podmíněným závazkům;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a jednotného mechanismu pro řešení krizí, slaďuje dohled s krizovým řízením, ale bez </w:t>
            </w:r>
            <w:r>
              <w:rPr>
                <w:b/>
                <w:i/>
              </w:rPr>
              <w:t>plně zavedeného</w:t>
            </w:r>
            <w:r>
              <w:t xml:space="preserve"> systému EDIS zůstává neúplná;</w:t>
            </w:r>
          </w:p>
        </w:tc>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a jednotného mechanismu pro řešení krizí, slaďuje dohled s krizovým řízením, ale bez systému EDIS </w:t>
            </w:r>
            <w:r>
              <w:rPr>
                <w:b/>
                <w:i/>
              </w:rPr>
              <w:t>plně zohledňujícího národní specifika</w:t>
            </w:r>
            <w:r>
              <w:t xml:space="preserve"> zůstává neúplná;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 ale bez plně zavedeného systému EDIS zůstává neúplná;</w:t>
            </w:r>
          </w:p>
        </w:tc>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 ale bez plně zavedeného systému EDIS </w:t>
            </w:r>
            <w:r>
              <w:rPr>
                <w:b/>
                <w:i/>
              </w:rPr>
              <w:t>a společného jištění pro Jednotný fond pro řešení krizí, které je podmíněno ratifikací revidované smlouvy o ESM,</w:t>
            </w:r>
            <w:r>
              <w:t xml:space="preserve"> zůstává neúplná;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vzhledem k tomu, že bankovní unie, která se skládá z jednotného mechanismu dohledu a jednotného mechanismu pro řešení krizí, slaďuje dohled s krizovým řízením, ale bez plně zavedeného systému EDIS zůstává neúplná;</w:t>
            </w:r>
          </w:p>
        </w:tc>
        <w:tc>
          <w:tcPr>
            <w:tcW w:w="4876" w:type="dxa"/>
            <w:tcBorders>
              <w:top w:val="nil"/>
              <w:left w:val="nil"/>
              <w:bottom w:val="nil"/>
              <w:right w:val="nil"/>
            </w:tcBorders>
          </w:tcPr>
          <w:p>
            <w:pPr>
              <w:pStyle w:val="Normal6a"/>
            </w:pPr>
            <w:r>
              <w:t>B.</w:t>
            </w:r>
            <w:r>
              <w:tab/>
            </w:r>
            <w:r>
              <w:t xml:space="preserve">vzhledem k tomu, že bankovní unie, která se skládá z jednotného mechanismu dohledu a jednotného mechanismu pro řešení krizí </w:t>
            </w:r>
            <w:r>
              <w:rPr>
                <w:b/>
                <w:i/>
              </w:rPr>
              <w:t>a jejímž základem je jednotný soubor pravidel</w:t>
            </w:r>
            <w:r>
              <w:t>, slaďuje dohled s krizovým řízením, ale bez plně zavedeného systému EDIS zůstává neúplná;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dokončená bankovní unie by znamenala pozitivní vývoj pro občany a hospodářství EU, neboť by poskytla základ pro stabilnější bankovní systém, snížení systémového rizika, posílení hospodářské soutěže, lepší výběr pro spotřebitele, větší možnosti přeshraničního bankovnictví a přístupu k retailovým finančním službám, větší hospodářské investice, lepší přístup domácností a podniků k financování a snížení nákladů pro bankovní klienty;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ECB vybízí k dokončení bankovní unie s cílem podpořit přeshraniční integraci a umožnit účinnější přidělování kapitálu jako podmínky nezbytné k odstranění současné konkurenční nevýhody, jíž banky v EU čelí v důsledku nedostatečného rozsahu, a vzhledem k tomu, že rovněž doporučuje zjednodušení evropského obezřetnostního rámce pro regulaci, dohled a podávání zpráv;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vzhledem k tomu, že nebankovní finanční zprostředkovatelé (tzv. „stínové banky“) zůstávají mimo strukturu bankovní unie, což činí bankovní sektor EU zranitelným vůči rizikům vyplývajícím ze stále užších vzájemných vazeb mezi nebankovními finančními zprostředkovateli a bankovním sektorem;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stabilní, odolný, dynamický a konkurenceschopný bankovní sektor má zásadní význam pro hospodářský růst, pro podporu malých a středních podniků, pro zvýšení možnosti vlastnit bydlení, pro inovace, pro investice a pro rozšíření hospodářských příležitostí pro všechny;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B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vzhledem k tomu, že podle literatury týkající se optimálních měnových oblastí má úplná bankovní unie zásadní význam pro to, aby se zabránilo asymetrickým dopadům otřesů v celé EU, což povede k větší finanční a hospodářské stabilitě a odolnosti;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vzhledem k tomu, že EU by měla neprodleně plně provést standardy rámce Basel III;</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EU </w:t>
            </w:r>
            <w:r>
              <w:rPr>
                <w:b/>
                <w:i/>
              </w:rPr>
              <w:t>by měla neprodleně plně provést standardy</w:t>
            </w:r>
            <w:r>
              <w:t xml:space="preserve"> rámce Basel III;</w:t>
            </w:r>
          </w:p>
        </w:tc>
        <w:tc>
          <w:tcPr>
            <w:tcW w:w="4876" w:type="dxa"/>
            <w:tcBorders>
              <w:top w:val="nil"/>
              <w:left w:val="nil"/>
              <w:bottom w:val="nil"/>
              <w:right w:val="nil"/>
            </w:tcBorders>
          </w:tcPr>
          <w:p>
            <w:pPr>
              <w:pStyle w:val="Normal6a"/>
            </w:pPr>
            <w:r>
              <w:t>C.</w:t>
            </w:r>
            <w:r>
              <w:tab/>
            </w:r>
            <w:r>
              <w:rPr>
                <w:b/>
                <w:i/>
              </w:rPr>
              <w:t>vzhledem k tomu, že finanční stabilita je předpokladem účinné měnové politiky a odolného finančního systému, a</w:t>
            </w:r>
            <w:r>
              <w:t xml:space="preserve"> vzhledem k tomu, že EU </w:t>
            </w:r>
            <w:r>
              <w:rPr>
                <w:b/>
                <w:i/>
              </w:rPr>
              <w:t>se již dohodla na provádění</w:t>
            </w:r>
            <w:r>
              <w:t xml:space="preserve"> rámce Basel III; </w:t>
            </w:r>
            <w:r>
              <w:rPr>
                <w:b/>
                <w:i/>
              </w:rPr>
              <w:t>vzhledem k tomu, že je také velmi důležité zajistit správnou rovnováhu mezi finanční stabilitou, dodržováním mezinárodních rámců a rovnými podmínkami na mezinárodní úrovni, aby se zajistilo, že evropské banky budou schopny soutěžit za rovných podmínek s bankami z jiných jurisdikcí;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w:t>
            </w:r>
            <w:r>
              <w:rPr>
                <w:b/>
                <w:i/>
              </w:rPr>
              <w:t>EU by měla neprodleně plně provést standardy rámce</w:t>
            </w:r>
            <w:r>
              <w:t xml:space="preserve"> Basel III;</w:t>
            </w:r>
          </w:p>
        </w:tc>
        <w:tc>
          <w:tcPr>
            <w:tcW w:w="4876" w:type="dxa"/>
            <w:tcBorders>
              <w:top w:val="nil"/>
              <w:left w:val="nil"/>
              <w:bottom w:val="nil"/>
              <w:right w:val="nil"/>
            </w:tcBorders>
          </w:tcPr>
          <w:p>
            <w:pPr>
              <w:pStyle w:val="Normal6a"/>
            </w:pPr>
            <w:r>
              <w:t>C.</w:t>
            </w:r>
            <w:r>
              <w:tab/>
            </w:r>
            <w:r>
              <w:t xml:space="preserve">vzhledem k tomu, že </w:t>
            </w:r>
            <w:r>
              <w:rPr>
                <w:b/>
                <w:i/>
              </w:rPr>
              <w:t>pravidla</w:t>
            </w:r>
            <w:r>
              <w:t xml:space="preserve"> Basel III </w:t>
            </w:r>
            <w:r>
              <w:rPr>
                <w:b/>
                <w:i/>
              </w:rPr>
              <w:t>by měla být přizpůsobena specifikům evropského bankovního sektoru s přihlédnutím ke kritériu proporcionality a zjednodušení pro menší banky, což je v souladu s výsledky pracovní skupiny Evropské centrální banky na vysoké úrovni pro zjednodušení, kterou podporuje Rada guvernérů ECB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EU by měla </w:t>
            </w:r>
            <w:r>
              <w:rPr>
                <w:b/>
                <w:i/>
              </w:rPr>
              <w:t>neprodleně plně</w:t>
            </w:r>
            <w:r>
              <w:t xml:space="preserve"> provést </w:t>
            </w:r>
            <w:r>
              <w:rPr>
                <w:b/>
                <w:i/>
              </w:rPr>
              <w:t>standardy rámce</w:t>
            </w:r>
            <w:r>
              <w:t xml:space="preserve"> Basel III;</w:t>
            </w:r>
          </w:p>
        </w:tc>
        <w:tc>
          <w:tcPr>
            <w:tcW w:w="4876" w:type="dxa"/>
            <w:tcBorders>
              <w:top w:val="nil"/>
              <w:left w:val="nil"/>
              <w:bottom w:val="nil"/>
              <w:right w:val="nil"/>
            </w:tcBorders>
          </w:tcPr>
          <w:p>
            <w:pPr>
              <w:pStyle w:val="Normal6a"/>
            </w:pPr>
            <w:r>
              <w:t>C.</w:t>
            </w:r>
            <w:r>
              <w:tab/>
            </w:r>
            <w:r>
              <w:t xml:space="preserve">vzhledem k tomu, že EU by měla </w:t>
            </w:r>
            <w:r>
              <w:rPr>
                <w:b/>
                <w:i/>
              </w:rPr>
              <w:t>důsledně</w:t>
            </w:r>
            <w:r>
              <w:t xml:space="preserve"> provést </w:t>
            </w:r>
            <w:r>
              <w:rPr>
                <w:b/>
                <w:i/>
              </w:rPr>
              <w:t>dohodu o rámci</w:t>
            </w:r>
            <w:r>
              <w:t xml:space="preserve"> Basel III </w:t>
            </w:r>
            <w:r>
              <w:rPr>
                <w:b/>
                <w:i/>
              </w:rPr>
              <w:t>a zároveň zajistit její přiměřené, postupné a individualizované uplatňování s ohledem na specifika evropského finančního systému, aniž by byla dotčena konkurenceschopnost bankovního systému EU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EU by měla neprodleně </w:t>
            </w:r>
            <w:r>
              <w:rPr>
                <w:b/>
                <w:i/>
              </w:rPr>
              <w:t>plně</w:t>
            </w:r>
            <w:r>
              <w:t xml:space="preserve"> provést standardy rámce Basel III;</w:t>
            </w:r>
          </w:p>
        </w:tc>
        <w:tc>
          <w:tcPr>
            <w:tcW w:w="4876" w:type="dxa"/>
            <w:tcBorders>
              <w:top w:val="nil"/>
              <w:left w:val="nil"/>
              <w:bottom w:val="nil"/>
              <w:right w:val="nil"/>
            </w:tcBorders>
          </w:tcPr>
          <w:p>
            <w:pPr>
              <w:pStyle w:val="Normal6a"/>
            </w:pPr>
            <w:r>
              <w:t>C.</w:t>
            </w:r>
            <w:r>
              <w:tab/>
            </w:r>
            <w:r>
              <w:t xml:space="preserve">vzhledem k tomu, že EU by měla neprodleně provést standardy rámce Basel III </w:t>
            </w:r>
            <w:r>
              <w:rPr>
                <w:b/>
                <w:i/>
              </w:rPr>
              <w:t>způsobem, který zaručí mezinárodní konkurenceschopnost evropského bankovního sektoru a zajistí rovné podmínky na celosvětové úrovni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EU by měla </w:t>
            </w:r>
            <w:r>
              <w:rPr>
                <w:b/>
                <w:i/>
              </w:rPr>
              <w:t>neprodleně</w:t>
            </w:r>
            <w:r>
              <w:t xml:space="preserve"> plně provést standardy rámce Basel III;</w:t>
            </w:r>
          </w:p>
        </w:tc>
        <w:tc>
          <w:tcPr>
            <w:tcW w:w="4876" w:type="dxa"/>
            <w:tcBorders>
              <w:top w:val="nil"/>
              <w:left w:val="nil"/>
              <w:bottom w:val="nil"/>
              <w:right w:val="nil"/>
            </w:tcBorders>
          </w:tcPr>
          <w:p>
            <w:pPr>
              <w:pStyle w:val="Normal6a"/>
            </w:pPr>
            <w:r>
              <w:t>C.</w:t>
            </w:r>
            <w:r>
              <w:tab/>
            </w:r>
            <w:r>
              <w:t>vzhledem k tomu, že EU by měla plně provést standardy rámce Basel III</w:t>
            </w:r>
            <w:r>
              <w:rPr>
                <w:b/>
                <w:i/>
              </w:rPr>
              <w:t>, aniž by byla narušena mezinárodní konkurenceschopnost bankovního sektoru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EU by měla neprodleně plně provést standardy </w:t>
            </w:r>
            <w:r>
              <w:rPr>
                <w:b/>
                <w:i/>
              </w:rPr>
              <w:t>rámce</w:t>
            </w:r>
            <w:r>
              <w:t xml:space="preserve"> Basel III;</w:t>
            </w:r>
          </w:p>
        </w:tc>
        <w:tc>
          <w:tcPr>
            <w:tcW w:w="4876" w:type="dxa"/>
            <w:tcBorders>
              <w:top w:val="nil"/>
              <w:left w:val="nil"/>
              <w:bottom w:val="nil"/>
              <w:right w:val="nil"/>
            </w:tcBorders>
          </w:tcPr>
          <w:p>
            <w:pPr>
              <w:pStyle w:val="Normal6a"/>
            </w:pPr>
            <w:r>
              <w:t>C.</w:t>
            </w:r>
            <w:r>
              <w:tab/>
            </w:r>
            <w:r>
              <w:rPr>
                <w:b/>
                <w:i/>
              </w:rPr>
              <w:t>vzhledem k tomu, že EU uplatňuje standardy rámce Basel III na všechny banky bez ohledu na jejich velikost a oblast působnosti;</w:t>
            </w:r>
            <w:r>
              <w:t xml:space="preserve"> vzhledem k tomu, že EU by měla neprodleně plně provést standardy Basel III </w:t>
            </w:r>
            <w:r>
              <w:rPr>
                <w:b/>
                <w:i/>
              </w:rPr>
              <w:t>pouze pro evropské mezinárodně působící banky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EU by měla neprodleně plně provést standardy rámce Basel III;</w:t>
            </w:r>
          </w:p>
        </w:tc>
        <w:tc>
          <w:tcPr>
            <w:tcW w:w="4876" w:type="dxa"/>
            <w:tcBorders>
              <w:top w:val="nil"/>
              <w:left w:val="nil"/>
              <w:bottom w:val="nil"/>
              <w:right w:val="nil"/>
            </w:tcBorders>
          </w:tcPr>
          <w:p>
            <w:pPr>
              <w:pStyle w:val="Normal6a"/>
            </w:pPr>
            <w:r>
              <w:t>C.</w:t>
            </w:r>
            <w:r>
              <w:tab/>
            </w:r>
            <w:r>
              <w:t xml:space="preserve">vzhledem k tomu, že EU by měla neprodleně plně provést standardy rámce Basel III </w:t>
            </w:r>
            <w:r>
              <w:rPr>
                <w:b/>
                <w:i/>
              </w:rPr>
              <w:t>a zároveň zohlednit význam rovných podmínek na celosvětové úrovni a klíčovou úlohu bank EU při financování hospodářství, včetně domácností a malých a středních podniků, a při zajišťování konkurenceschopnosti systému</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vzhledem k tomu, že EU by měla </w:t>
            </w:r>
            <w:r>
              <w:rPr>
                <w:b/>
                <w:i/>
              </w:rPr>
              <w:t>neprodleně</w:t>
            </w:r>
            <w:r>
              <w:t xml:space="preserve"> plně provést standardy rámce Basel III;</w:t>
            </w:r>
          </w:p>
        </w:tc>
        <w:tc>
          <w:tcPr>
            <w:tcW w:w="4876" w:type="dxa"/>
            <w:tcBorders>
              <w:top w:val="nil"/>
              <w:left w:val="nil"/>
              <w:bottom w:val="nil"/>
              <w:right w:val="nil"/>
            </w:tcBorders>
          </w:tcPr>
          <w:p>
            <w:pPr>
              <w:pStyle w:val="Normal6a"/>
            </w:pPr>
            <w:r>
              <w:t>C.</w:t>
            </w:r>
            <w:r>
              <w:tab/>
            </w:r>
            <w:r>
              <w:t xml:space="preserve">vzhledem k tomu, že EU by měla </w:t>
            </w:r>
            <w:r>
              <w:rPr>
                <w:b/>
                <w:i/>
              </w:rPr>
              <w:t>bez dalšího odkladu</w:t>
            </w:r>
            <w:r>
              <w:t xml:space="preserve"> plně provést standardy rámce Basel III</w:t>
            </w:r>
            <w:r>
              <w:rPr>
                <w:b/>
                <w:i/>
              </w:rPr>
              <w:t>, včetně rámce pro tržní rizika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vzhledem k tomu, že EU by měla neprodleně plně provést standardy rámce Basel III;</w:t>
            </w:r>
          </w:p>
        </w:tc>
        <w:tc>
          <w:tcPr>
            <w:tcW w:w="4876" w:type="dxa"/>
            <w:tcBorders>
              <w:top w:val="nil"/>
              <w:left w:val="nil"/>
              <w:bottom w:val="nil"/>
              <w:right w:val="nil"/>
            </w:tcBorders>
          </w:tcPr>
          <w:p>
            <w:pPr>
              <w:pStyle w:val="Normal6a"/>
            </w:pPr>
            <w:r>
              <w:t>C.</w:t>
            </w:r>
            <w:r>
              <w:tab/>
            </w:r>
            <w:r>
              <w:t xml:space="preserve">vzhledem k tomu, že EU by měla neprodleně plně provést standardy rámce Basel III; </w:t>
            </w:r>
            <w:r>
              <w:rPr>
                <w:b/>
                <w:i/>
              </w:rPr>
              <w:t>kritizuje opakované odklady a odchylky EU od mezinárodních basilejských standardů, včetně odložení pravidel týkajících se tržního rizika na rok 2026, což vytváří regulatorní arbitráž a konkurenční nevýhody pro banky EU na světových velkoobchodních trzích;</w:t>
            </w:r>
            <w:r>
              <w:t xml:space="preserve"> </w:t>
            </w:r>
            <w:r>
              <w:rPr>
                <w:b/>
                <w:i/>
              </w:rPr>
              <w:t>toto nerovnoměrné provádění narušuje rovné podmínky a zvyšuje systémové riziko v důsledku neefektivnosti při alokaci rizikového kapitálu;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vzhledem k tomu, že ruská agrese proti Ukrajině a její hospodářské a sociální důsledky mají a budou mít přímý i nepřímý dopad na bankovní sektor EU;</w:t>
            </w:r>
            <w:r>
              <w:t xml:space="preserve"> </w:t>
            </w:r>
            <w:r>
              <w:rPr>
                <w:b/>
                <w:i/>
              </w:rPr>
              <w:t>vzhledem k tomu, že banky EU hrají klíčovou úlohu při zajišťování průběžného uplatňování a dodržování sankcí, které EU uložila Rusku v reakci na invazi;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vzhledem k tomu, že digitalizace financí nabízí bankovnímu sektoru rozsáhlé příležitosti a přinesla významný technologický pokrok v bankovním sektoru EU díky vyšší efektivitě poskytování bankovních služeb a většímu zájmu o inovace a sdílení dat, avšak nese s sebou také výzvy, a to i pokud jde o kybernetická rizika, ochranu osobních údajů, rizika poškození dobré pověsti, rizika praní peněz a obavy o ochranu spotřebitele;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C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vzhledem k tomu, že jedním z klíčových cílů bankovní unie je, aby daňoví poplatníci nenesli náklady na nápravná opatření v případě úpadku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vzhledem k tomu, že při posuzování udržitelnosti rozvah bank je třeba brát v úvahu změnu klimatu, environmentální rizika a přechod na nízkouhlíkové hospodářství;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vzhledem k tomu, že při posuzování udržitelnosti rozvah bank je třeba brát v úvahu změnu klimatu, environmentální rizika a přechod na nízkouhlíkové hospodářství;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vzhledem k tomu, že při posuzování udržitelnosti rozvah bank je třeba brát v úvahu změnu klimatu, environmentální rizika a přechod na nízkouhlíkové hospodářství;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vzhledem k tomu, že při posuzování udržitelnosti rozvah bank je třeba brát v úvahu změnu klimatu, environmentální rizika a přechod na nízkouhlíkové hospodářství;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w:t>
            </w:r>
            <w:r>
              <w:rPr>
                <w:b/>
                <w:i/>
              </w:rPr>
              <w:t>při posuzování udržitelnosti rozvah bank je třeba brát v úvahu změnu klimatu, environmentální rizika a přechod na nízkouhlíkové hospodářství</w:t>
            </w:r>
            <w:r>
              <w:t>;</w:t>
            </w:r>
          </w:p>
        </w:tc>
        <w:tc>
          <w:tcPr>
            <w:tcW w:w="4876" w:type="dxa"/>
            <w:tcBorders>
              <w:top w:val="nil"/>
              <w:left w:val="nil"/>
              <w:bottom w:val="nil"/>
              <w:right w:val="nil"/>
            </w:tcBorders>
          </w:tcPr>
          <w:p>
            <w:pPr>
              <w:pStyle w:val="Normal6a"/>
            </w:pPr>
            <w:r>
              <w:t>D.</w:t>
            </w:r>
            <w:r>
              <w:tab/>
            </w:r>
            <w:r>
              <w:t xml:space="preserve">vzhledem k tomu, že </w:t>
            </w:r>
            <w:r>
              <w:rPr>
                <w:b/>
                <w:i/>
              </w:rPr>
              <w:t>je naléhavě nutné nepodřizovat tradiční měření rizik politicky motivovaným environmentálním cílům, které mohou zvýšit kapitálové požadavky a omezit nabídku úvěrů tam, kde je nejproduktivnější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při posuzování udržitelnosti rozvah bank je </w:t>
            </w:r>
            <w:r>
              <w:rPr>
                <w:b/>
                <w:i/>
              </w:rPr>
              <w:t>třeba</w:t>
            </w:r>
            <w:r>
              <w:t xml:space="preserve"> brát v úvahu změnu klimatu, environmentální rizika a přechod na nízkouhlíkové hospodářství;</w:t>
            </w:r>
          </w:p>
        </w:tc>
        <w:tc>
          <w:tcPr>
            <w:tcW w:w="4876" w:type="dxa"/>
            <w:tcBorders>
              <w:top w:val="nil"/>
              <w:left w:val="nil"/>
              <w:bottom w:val="nil"/>
              <w:right w:val="nil"/>
            </w:tcBorders>
          </w:tcPr>
          <w:p>
            <w:pPr>
              <w:pStyle w:val="Normal6a"/>
            </w:pPr>
            <w:r>
              <w:t>D.</w:t>
            </w:r>
            <w:r>
              <w:tab/>
            </w:r>
            <w:r>
              <w:t xml:space="preserve">vzhledem k tomu, že při posuzování udržitelnosti rozvah bank je </w:t>
            </w:r>
            <w:r>
              <w:rPr>
                <w:b/>
                <w:i/>
              </w:rPr>
              <w:t>možné</w:t>
            </w:r>
            <w:r>
              <w:t xml:space="preserve"> brát v úvahu změnu klimatu, environmentální rizika a přechod na nízkouhlíkové hospodářství</w:t>
            </w:r>
            <w:r>
              <w:rPr>
                <w:b/>
                <w:i/>
              </w:rPr>
              <w:t>, a to pouze v případě, že mají dopad na finanční stabilitu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vzhledem k tomu, že při posuzování udržitelnosti rozvah bank je třeba brát v úvahu změnu klimatu, environmentální rizika a přechod na </w:t>
            </w:r>
            <w:r>
              <w:rPr>
                <w:b/>
                <w:i/>
              </w:rPr>
              <w:t>nízkouhlíkové</w:t>
            </w:r>
            <w:r>
              <w:t xml:space="preserve"> hospodářství;</w:t>
            </w:r>
          </w:p>
        </w:tc>
        <w:tc>
          <w:tcPr>
            <w:tcW w:w="4876" w:type="dxa"/>
            <w:tcBorders>
              <w:top w:val="nil"/>
              <w:left w:val="nil"/>
              <w:bottom w:val="nil"/>
              <w:right w:val="nil"/>
            </w:tcBorders>
          </w:tcPr>
          <w:p>
            <w:pPr>
              <w:pStyle w:val="Normal6a"/>
            </w:pPr>
            <w:r>
              <w:t>D.</w:t>
            </w:r>
            <w:r>
              <w:tab/>
            </w:r>
            <w:r>
              <w:t xml:space="preserve">vzhledem k tomu, že při posuzování udržitelnosti rozvah bank je třeba brát v úvahu změnu klimatu, environmentální rizika a přechod na hospodářství </w:t>
            </w:r>
            <w:r>
              <w:rPr>
                <w:b/>
                <w:i/>
              </w:rPr>
              <w:t>s nulovými čistými emisemi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digitální euro by mohlo v EU zvýšit efektivitu plateb, odolnost, finanční začlenění, inovace, důvěru veřejnosti a mezinárodní úlohu eura</w:t>
            </w:r>
            <w:r>
              <w:t>;</w:t>
            </w:r>
          </w:p>
        </w:tc>
        <w:tc>
          <w:tcPr>
            <w:tcW w:w="4876" w:type="dxa"/>
            <w:tcBorders>
              <w:top w:val="nil"/>
              <w:left w:val="nil"/>
              <w:bottom w:val="nil"/>
              <w:right w:val="nil"/>
            </w:tcBorders>
          </w:tcPr>
          <w:p>
            <w:pPr>
              <w:pStyle w:val="Normal6a"/>
            </w:pPr>
            <w:r>
              <w:t>E.</w:t>
            </w:r>
            <w:r>
              <w:tab/>
            </w:r>
            <w:r>
              <w:t xml:space="preserve">vzhledem k tomu, že </w:t>
            </w:r>
            <w:r>
              <w:rPr>
                <w:b/>
                <w:i/>
              </w:rPr>
              <w:t>projekt digitálního eura přináší výzvy a potenciální hrozby pro likviditu a stabilitu bankovního sektoru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Auke Zijlstra, Sebastian Tynkkynen,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digitální euro by mohlo v EU zvýšit </w:t>
            </w:r>
            <w:r>
              <w:rPr>
                <w:b/>
                <w:i/>
              </w:rPr>
              <w:t>efektivitu plateb,</w:t>
            </w:r>
            <w:r>
              <w:t xml:space="preserve"> odolnost, finanční </w:t>
            </w:r>
            <w:r>
              <w:rPr>
                <w:b/>
                <w:i/>
              </w:rPr>
              <w:t>začlenění, inovace, důvěru veřejnosti a mezinárodní úlohu eura</w:t>
            </w:r>
            <w:r>
              <w:t>;</w:t>
            </w:r>
          </w:p>
        </w:tc>
        <w:tc>
          <w:tcPr>
            <w:tcW w:w="4876" w:type="dxa"/>
            <w:tcBorders>
              <w:top w:val="nil"/>
              <w:left w:val="nil"/>
              <w:bottom w:val="nil"/>
              <w:right w:val="nil"/>
            </w:tcBorders>
          </w:tcPr>
          <w:p>
            <w:pPr>
              <w:pStyle w:val="Normal6a"/>
            </w:pPr>
            <w:r>
              <w:t>E.</w:t>
            </w:r>
            <w:r>
              <w:tab/>
            </w:r>
            <w:r>
              <w:t xml:space="preserve">vzhledem k tomu, že </w:t>
            </w:r>
            <w:r>
              <w:rPr>
                <w:b/>
                <w:i/>
              </w:rPr>
              <w:t>offline a velkoobchodní</w:t>
            </w:r>
            <w:r>
              <w:t xml:space="preserve"> digitální euro by mohlo v EU zvýšit </w:t>
            </w:r>
            <w:r>
              <w:rPr>
                <w:b/>
                <w:i/>
              </w:rPr>
              <w:t>účinnost a</w:t>
            </w:r>
            <w:r>
              <w:t xml:space="preserve"> odolnost </w:t>
            </w:r>
            <w:r>
              <w:rPr>
                <w:b/>
                <w:i/>
              </w:rPr>
              <w:t>plateb</w:t>
            </w:r>
            <w:r>
              <w:t xml:space="preserve">, </w:t>
            </w:r>
            <w:r>
              <w:rPr>
                <w:b/>
                <w:i/>
              </w:rPr>
              <w:t>ale mohlo by také podstatně oslabit depozitní základny komerčních bank a oslabit</w:t>
            </w:r>
            <w:r>
              <w:t xml:space="preserve"> finanční </w:t>
            </w:r>
            <w:r>
              <w:rPr>
                <w:b/>
                <w:i/>
              </w:rPr>
              <w:t>stabilitu tím, že bude motivovat k odlivu směrem ke vkladům centrální banky, zejména v zátěžových obdobích;</w:t>
            </w:r>
            <w:r>
              <w:t xml:space="preserve"> </w:t>
            </w:r>
            <w:r>
              <w:rPr>
                <w:b/>
                <w:i/>
              </w:rPr>
              <w:t>takový posun by mohl snížit schopnost bank poskytovat úvěry domácnostem a malým a středním podnikům a zvýšit závislost na centralizovaných mechanismech měnového financování namísto diverzifikovaného tržního financování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digitální euro </w:t>
            </w:r>
            <w:r>
              <w:rPr>
                <w:b/>
                <w:i/>
              </w:rPr>
              <w:t>by mohlo v EU zvýšit</w:t>
            </w:r>
            <w:r>
              <w:t xml:space="preserve"> efektivitu plateb, odolnost, finanční začlenění, inovace, důvěru veřejnosti a mezinárodní úlohu eura;</w:t>
            </w:r>
          </w:p>
        </w:tc>
        <w:tc>
          <w:tcPr>
            <w:tcW w:w="4876" w:type="dxa"/>
            <w:tcBorders>
              <w:top w:val="nil"/>
              <w:left w:val="nil"/>
              <w:bottom w:val="nil"/>
              <w:right w:val="nil"/>
            </w:tcBorders>
          </w:tcPr>
          <w:p>
            <w:pPr>
              <w:pStyle w:val="Normal6a"/>
            </w:pPr>
            <w:r>
              <w:t>E.</w:t>
            </w:r>
            <w:r>
              <w:tab/>
            </w:r>
            <w:r>
              <w:t xml:space="preserve">vzhledem k tomu, že digitální euro </w:t>
            </w:r>
            <w:r>
              <w:rPr>
                <w:b/>
                <w:i/>
              </w:rPr>
              <w:t>v EU zvýší</w:t>
            </w:r>
            <w:r>
              <w:t xml:space="preserve"> efektivitu plateb</w:t>
            </w:r>
            <w:r>
              <w:rPr>
                <w:b/>
                <w:i/>
              </w:rPr>
              <w:t>, konkurenceschopnost</w:t>
            </w:r>
            <w:r>
              <w:t>, odolnost, finanční začlenění, inovace, důvěru veřejnosti a mezinárodní úlohu eura;</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digitální euro by </w:t>
            </w:r>
            <w:r>
              <w:rPr>
                <w:b/>
                <w:i/>
              </w:rPr>
              <w:t>mohlo v EU zvýšit</w:t>
            </w:r>
            <w:r>
              <w:t xml:space="preserve"> efektivitu plateb, odolnost, finanční začlenění, inovace, důvěru veřejnosti a mezinárodní úlohu eura;</w:t>
            </w:r>
          </w:p>
        </w:tc>
        <w:tc>
          <w:tcPr>
            <w:tcW w:w="4876" w:type="dxa"/>
            <w:tcBorders>
              <w:top w:val="nil"/>
              <w:left w:val="nil"/>
              <w:bottom w:val="nil"/>
              <w:right w:val="nil"/>
            </w:tcBorders>
          </w:tcPr>
          <w:p>
            <w:pPr>
              <w:pStyle w:val="Normal6a"/>
            </w:pPr>
            <w:r>
              <w:t>E.</w:t>
            </w:r>
            <w:r>
              <w:tab/>
            </w:r>
            <w:r>
              <w:t xml:space="preserve">vzhledem k tomu, že digitální euro by </w:t>
            </w:r>
            <w:r>
              <w:rPr>
                <w:b/>
                <w:i/>
              </w:rPr>
              <w:t>v EU zvýšilo</w:t>
            </w:r>
            <w:r>
              <w:t xml:space="preserve"> efektivitu plateb, odolnost, finanční začlenění, inovace, důvěru veřejnosti a mezinárodní úlohu eura;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vzhledem k tomu, že </w:t>
            </w:r>
            <w:r>
              <w:rPr>
                <w:b/>
                <w:i/>
              </w:rPr>
              <w:t>digitální</w:t>
            </w:r>
            <w:r>
              <w:t xml:space="preserve"> euro by mohlo v EU zvýšit efektivitu plateb, odolnost, finanční začlenění, inovace, důvěru veřejnosti a mezinárodní úlohu eura;</w:t>
            </w:r>
          </w:p>
        </w:tc>
        <w:tc>
          <w:tcPr>
            <w:tcW w:w="4876" w:type="dxa"/>
            <w:tcBorders>
              <w:top w:val="nil"/>
              <w:left w:val="nil"/>
              <w:bottom w:val="nil"/>
              <w:right w:val="nil"/>
            </w:tcBorders>
          </w:tcPr>
          <w:p>
            <w:pPr>
              <w:pStyle w:val="Normal6a"/>
            </w:pPr>
            <w:r>
              <w:t>E.</w:t>
            </w:r>
            <w:r>
              <w:tab/>
            </w:r>
            <w:r>
              <w:t xml:space="preserve">vzhledem k tomu, že </w:t>
            </w:r>
            <w:r>
              <w:rPr>
                <w:b/>
                <w:i/>
              </w:rPr>
              <w:t>suverénní celoevropské řešení pro retailové platby</w:t>
            </w:r>
            <w:r>
              <w:t xml:space="preserve"> euro by mohlo v EU zvýšit efektivitu plateb</w:t>
            </w:r>
            <w:r>
              <w:rPr>
                <w:b/>
                <w:i/>
              </w:rPr>
              <w:t>, svrchovanost</w:t>
            </w:r>
            <w:r>
              <w:t xml:space="preserve">, odolnost, finanční začlenění, inovace, důvěru veřejnosti a mezinárodní úlohu eura; </w:t>
            </w:r>
            <w:r>
              <w:rPr>
                <w:b/>
                <w:i/>
              </w:rPr>
              <w:t>vzhledem k tomu, že řešení, které by plně integrovalo účastníky trhu, by podpořilo probíhající inovace, důvěru a finanční stabilitu prostřednictvím hlubších a likvidnějších trhů;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vzhledem k tomu, že digitální euro by mohlo v EU zvýšit efektivitu plateb, odolnost, finanční začlenění, inovace, důvěru veřejnosti a mezinárodní úlohu eura;</w:t>
            </w:r>
          </w:p>
        </w:tc>
        <w:tc>
          <w:tcPr>
            <w:tcW w:w="4876" w:type="dxa"/>
            <w:tcBorders>
              <w:top w:val="nil"/>
              <w:left w:val="nil"/>
              <w:bottom w:val="nil"/>
              <w:right w:val="nil"/>
            </w:tcBorders>
          </w:tcPr>
          <w:p>
            <w:pPr>
              <w:pStyle w:val="Normal6a"/>
            </w:pPr>
            <w:r>
              <w:t>E.</w:t>
            </w:r>
            <w:r>
              <w:tab/>
            </w:r>
            <w:r>
              <w:t xml:space="preserve">vzhledem k tomu, že </w:t>
            </w:r>
            <w:r>
              <w:rPr>
                <w:b/>
                <w:i/>
              </w:rPr>
              <w:t>retailové</w:t>
            </w:r>
            <w:r>
              <w:t xml:space="preserve"> digitální euro by mohlo v EU zvýšit efektivitu plateb, odolnost, finanční začlenění, inovace, </w:t>
            </w:r>
            <w:r>
              <w:rPr>
                <w:b/>
                <w:i/>
              </w:rPr>
              <w:t>konkurenceschopnost,</w:t>
            </w:r>
            <w:r>
              <w:t xml:space="preserve"> důvěru veřejnosti</w:t>
            </w:r>
            <w:r>
              <w:rPr>
                <w:b/>
                <w:i/>
              </w:rPr>
              <w:t>, soukromí zákazníků v souvislosti s digitálními platbami</w:t>
            </w:r>
            <w:r>
              <w:t xml:space="preserve"> a mezinárodní úlohu eura;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účinnost, odolnost a strategická autonomie infrastruktur finančního trhu Unie mají zásadní význam pro řádné fungování bankovní unie a pro konkurenceschopnost finančního systému EU;</w:t>
            </w:r>
            <w:r>
              <w:t xml:space="preserve"> </w:t>
            </w:r>
            <w:r>
              <w:rPr>
                <w:b/>
                <w:i/>
              </w:rPr>
              <w:t>vzhledem k tomu, že rozvoj velkoobchodní digitální měny centrální banky určené výhradně k vypořádání mezi regulovanými finančními institucemi má potenciál výrazně zlepšit přeshraniční platby, vypořádání obchodů s cennými papíry a řízení likvidity, mimo jiné prostřednictvím posílené interoperability mezi platebními systémy a tržními infrastrukturami;</w:t>
            </w:r>
            <w:r>
              <w:t xml:space="preserve"> </w:t>
            </w:r>
            <w:r>
              <w:rPr>
                <w:b/>
                <w:i/>
              </w:rPr>
              <w:t>vzhledem k tomu, že probíhající iniciativy Eurosystému představují důležité kroky ke kontrolovanému a tržně orientovanému zkoumání těchto přínosů;</w:t>
            </w:r>
            <w:r>
              <w:t xml:space="preserve"> </w:t>
            </w:r>
            <w:r>
              <w:rPr>
                <w:b/>
                <w:i/>
              </w:rPr>
              <w:t>vzhledem k tomu, že urychlený přechod na plnou provozní úroveň by mohl přispět k posílení mezinárodní úlohy eura, snížení roztříštěnosti finančních trhů EU a podpoře finanční stability při plném zachování jednotnosti peněz a úlohy zprostředkovatelů ze soukromého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E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vzhledem k tomu, že ECB rychle postupuje se svým velkoobchodním digitálním eurem, přičemž probíhají krátkodobé (Pontes) a dlouhodobé (Appia) projekty DLT pro velkoobchodní vypořádání peněz centrální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vzhledem k tomu, že banky v EU vykazují od roku 2022 rekordní zisky díky zpožděnému promítnutí dopadů politiky zpřísňování měnové politiky;</w:t>
            </w:r>
            <w:r>
              <w:t xml:space="preserve"> </w:t>
            </w:r>
            <w:r>
              <w:rPr>
                <w:b/>
                <w:i/>
              </w:rPr>
              <w:t>vzhledem k tomu, že několik členských států zavedlo dočasné odvody bank, aby zajistily spravedlivý příspěvek a zároveň zachovaly stabilitu a sociální soudržnost;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vzhledem k tomu, že banky v EU vykazují od roku 2022 rekordní zisky díky zpožděnému promítnutí dopadů politiky zpřísňování měnové politiky;</w:t>
            </w:r>
            <w:r>
              <w:t xml:space="preserve"> </w:t>
            </w:r>
            <w:r>
              <w:rPr>
                <w:b/>
                <w:i/>
              </w:rPr>
              <w:t>vzhledem k tomu, že několik členských států zavedlo dočasné odvody bank, aby zajistily spravedlivý příspěvek a zároveň zachovaly stabilitu a sociální soudržnost;</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vzhledem k tomu, že banky v EU vykazují od roku 2022 rekordní zisky díky zpožděnému promítnutí dopadů politiky zpřísňování měnové politiky; vzhledem k tomu, že několik členských států zavedlo dočasné odvody bank, </w:t>
            </w:r>
            <w:r>
              <w:rPr>
                <w:b/>
                <w:i/>
              </w:rPr>
              <w:t>aby zajistily spravedlivý příspěvek a zároveň zachovaly stabilitu a sociální soudržnost</w:t>
            </w:r>
            <w:r>
              <w:t>;</w:t>
            </w:r>
          </w:p>
        </w:tc>
        <w:tc>
          <w:tcPr>
            <w:tcW w:w="4876" w:type="dxa"/>
            <w:tcBorders>
              <w:top w:val="nil"/>
              <w:left w:val="nil"/>
              <w:bottom w:val="nil"/>
              <w:right w:val="nil"/>
            </w:tcBorders>
          </w:tcPr>
          <w:p>
            <w:pPr>
              <w:pStyle w:val="Normal6a"/>
            </w:pPr>
            <w:r>
              <w:t>F.</w:t>
            </w:r>
            <w:r>
              <w:tab/>
            </w:r>
            <w:r>
              <w:t>vzhledem k tomu, že banky v EU vykazují od roku 2022 rekordní zisky díky zpožděnému promítnutí dopadů politiky zpřísňování měnové politiky</w:t>
            </w:r>
            <w:r>
              <w:rPr>
                <w:b/>
                <w:i/>
              </w:rPr>
              <w:t>, což pomáhá překlenout rozdíl v návratnosti vlastního kapitálu mezi bankami v EU a USA po více než 15 letech</w:t>
            </w:r>
            <w:r>
              <w:t xml:space="preserve">; vzhledem k tomu, že několik členských států zavedlo dočasné odvody bank, </w:t>
            </w:r>
            <w:r>
              <w:rPr>
                <w:b/>
                <w:i/>
              </w:rPr>
              <w:t>přestože instituce, jako je ECB, ve svých stanoviscích opakovaně uvedly, že odvody finančních institucí ze všeobecných rozpočtových důvodů by byly nežádoucí a že jejich uplatňování by mohlo narušit hospodářskou soutěž na trhu a narušit rovné podmínky jak v rámci země, tak v celé bankovní 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banky v EU vykazují od roku 2022 rekordní zisky díky zpožděnému promítnutí dopadů politiky zpřísňování měnové politiky; vzhledem k tomu, že několik členských států zavedlo dočasné odvody bank</w:t>
            </w:r>
            <w:r>
              <w:rPr>
                <w:b/>
                <w:i/>
              </w:rPr>
              <w:t>, aby zajistily spravedlivý příspěvek a zároveň zachovaly stabilitu a sociální soudržnost</w:t>
            </w:r>
            <w:r>
              <w:t>;</w:t>
            </w:r>
          </w:p>
        </w:tc>
        <w:tc>
          <w:tcPr>
            <w:tcW w:w="4876" w:type="dxa"/>
            <w:tcBorders>
              <w:top w:val="nil"/>
              <w:left w:val="nil"/>
              <w:bottom w:val="nil"/>
              <w:right w:val="nil"/>
            </w:tcBorders>
          </w:tcPr>
          <w:p>
            <w:pPr>
              <w:pStyle w:val="Normal6a"/>
            </w:pPr>
            <w:r>
              <w:t>F.</w:t>
            </w:r>
            <w:r>
              <w:tab/>
            </w:r>
            <w:r>
              <w:t>vzhledem k tomu, že banky v EU vykazují od roku 2022 rekordní zisky díky zpožděnému promítnutí dopadů politiky zpřísňování měnové politiky; vzhledem k tomu, že několik členských států zavedlo dočasné odvody bank;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banky v EU vykazují od roku 2022 rekordní zisky díky zpožděnému promítnutí dopadů politiky zpřísňování měnové politiky; vzhledem k tomu, že několik členských států zavedlo dočasné odvody bank, aby zajistily spravedlivý příspěvek a zároveň zachovaly stabilitu a sociální soudržnost;</w:t>
            </w:r>
          </w:p>
        </w:tc>
        <w:tc>
          <w:tcPr>
            <w:tcW w:w="4876" w:type="dxa"/>
            <w:tcBorders>
              <w:top w:val="nil"/>
              <w:left w:val="nil"/>
              <w:bottom w:val="nil"/>
              <w:right w:val="nil"/>
            </w:tcBorders>
          </w:tcPr>
          <w:p>
            <w:pPr>
              <w:pStyle w:val="Normal6a"/>
            </w:pPr>
            <w:r>
              <w:t>F.</w:t>
            </w:r>
            <w:r>
              <w:tab/>
            </w:r>
            <w:r>
              <w:t xml:space="preserve">vzhledem k tomu, že banky v EU vykazují od roku 2022 rekordní zisky díky zpožděnému promítnutí dopadů politiky zpřísňování měnové politiky; vzhledem k tomu, že několik členských států zavedlo dočasné odvody bank, aby zajistily spravedlivý příspěvek a zároveň zachovaly stabilitu a sociální soudržnost; </w:t>
            </w:r>
            <w:r>
              <w:rPr>
                <w:b/>
                <w:i/>
              </w:rPr>
              <w:t>ziskovost bank v EU se od roku 2022 zvýšila v souvislosti se zpřísněním měnové politiky, což přispělo k tvorbě kapitálu a finanční stabilitě;</w:t>
            </w:r>
            <w:r>
              <w:t xml:space="preserve"> </w:t>
            </w:r>
            <w:r>
              <w:rPr>
                <w:b/>
                <w:i/>
              </w:rPr>
              <w:t>vzhledem k tomu, že ziskovost bank zůstává cyklická a podléhá celému cyklu úrokových sazeb;</w:t>
            </w:r>
            <w:r>
              <w:t xml:space="preserve"> </w:t>
            </w:r>
            <w:r>
              <w:rPr>
                <w:b/>
                <w:i/>
              </w:rPr>
              <w:t>vzhledem k tomu, že několik členských států zavedlo dočasné bankovní odvody, které by měly zůstat výjimečné, přiměřené a pečlivě posouzené, aby se zabránilo nepříznivým dopadům na kapitálovou pozici bank, úvěrovou kapacitu, finanční stabilitu a rovné podmínky v rámci bankovní unie;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vzhledem k tomu, že banky v EU vykazují od roku 2022 rekordní zisky díky zpožděnému promítnutí dopadů politiky zpřísňování měnové politiky; vzhledem k tomu, že několik členských států zavedlo dočasné odvody bank, aby zajistily spravedlivý příspěvek a zároveň zachovaly stabilitu a sociální soudržnost;</w:t>
            </w:r>
          </w:p>
        </w:tc>
        <w:tc>
          <w:tcPr>
            <w:tcW w:w="4876" w:type="dxa"/>
            <w:tcBorders>
              <w:top w:val="nil"/>
              <w:left w:val="nil"/>
              <w:bottom w:val="nil"/>
              <w:right w:val="nil"/>
            </w:tcBorders>
          </w:tcPr>
          <w:p>
            <w:pPr>
              <w:pStyle w:val="Normal6a"/>
            </w:pPr>
            <w:r>
              <w:t>F.</w:t>
            </w:r>
            <w:r>
              <w:tab/>
            </w:r>
            <w:r>
              <w:t xml:space="preserve">vzhledem k tomu, že banky v EU vykazují od roku 2022 rekordní zisky díky zpožděnému promítnutí dopadů politiky zpřísňování měnové politiky; vzhledem k tomu, že několik členských států zavedlo dočasné odvody bank, aby zajistily spravedlivý příspěvek a zároveň zachovaly stabilitu a sociální soudržnost; </w:t>
            </w:r>
            <w:r>
              <w:rPr>
                <w:b/>
                <w:i/>
              </w:rPr>
              <w:t>vzhledem k tomu, že vysoké nerozdělené zisky byly z velké části absorbovány rostoucími kapitálovými požadavky a zvýšenými náklady na dodržování předpisů, včetně podávání zpráv o udržitelnosti, což omezuje schopnost bank podporovat reálnou ekonomiku, a že zpřísnění měnové politiky snížilo čisté úrokové marže, což odráží širší makroobezřetnostní tlaky na ziskovost;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uložení odvětvových odvodů úvěrovým institucím, i když jsou prezentovány jako dočasná opatření, může vést k narušení vnitřního trhu, negativně ovlivnit schopnost institucí poskytovat úvěry domácnostem a podnikům a snížit předvídatelnost daňového rámce;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Komise se ve svém sdělení o unii úspor a investic z března 2025 zavazuje podnikat „rozhodné kroky k dalšímu rozvoji bankovní unie, a to i stanovením dalšího postupu v oblasti evropského systému pojištění vkladů“, ale od té doby dosud nepředložila žádný návrh týkající se dokončení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banky jsou základním pilířem našeho hospodářství a patří mezi strategicky nejdůležitější odvětví;</w:t>
            </w:r>
            <w:r>
              <w:t xml:space="preserve"> </w:t>
            </w:r>
            <w:r>
              <w:rPr>
                <w:b/>
                <w:i/>
              </w:rPr>
              <w:t>vzhledem k tomu, že stabilita, odolnost a konkurenceschopnost mají zásadní význam pro zajištění toho, aby se finanční systém dokázal přizpůsobit globálním výzvám, podporovat inovace a účinně naplňovat potřeby podniků a občanů;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přebytečná likvidita v eurozóně dosáhla v roce 2022 výše 4,7 bilionu EUR, zatímco dnes činí 2,8 bilionu EUR;</w:t>
            </w:r>
            <w:r>
              <w:t xml:space="preserve"> </w:t>
            </w:r>
            <w:r>
              <w:rPr>
                <w:b/>
                <w:i/>
              </w:rPr>
              <w:t>vzhledem k tomu, že ukazatel krytí likvidity bank v eurozóně rovněž dosáhl svého vrcholu v roce 2022 a překročil 170 %, zatímco ve třetím čtvrtletí roku 2025 činí 156 %;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vzhledem k tomu, že elektronické peněžní tokeny se stále více používají a jsou stále více propojeny s bankami v rámci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banky jsou základním kamenem naší ekonomiky a představují jedno z nejdůležitějších strategických odvětví, je nezbytné zajistit, aby fungovaly v prostředí, které podporuje stabilitu, odolnost, dynamiku a konkurenceschopnost;</w:t>
            </w:r>
            <w:r>
              <w:t xml:space="preserve"> </w:t>
            </w:r>
            <w:r>
              <w:rPr>
                <w:b/>
                <w:i/>
              </w:rPr>
              <w:t>vzhledem k tomu, že tyto zásady jsou nejen základem udržitelného hospodářského růstu, ale také zajišťují, aby se finanční systém mohl přizpůsobovat globálním výzvám, usnadňovat inovace a účinně reagovat na potřeby podniků a občanů;</w:t>
            </w:r>
            <w:r>
              <w:t xml:space="preserve"> </w:t>
            </w:r>
            <w:r>
              <w:rPr>
                <w:b/>
                <w:i/>
              </w:rPr>
              <w:t>vzhledem k tomu, že je třeba mít na paměti, že dynamická ekonomika vyžaduje bankovní sektor, který spojuje stabilitu s flexibilitou, který podporuje investice a účinně směruje kapitál, čímž posiluje naši schopnost konkurovat na neustále se měnícím globálním trhu;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nařízení (EU) 2023/1114 (MiCA) stanoví rozdílné požadavky na přístup na trh, povinnosti zpětné výměny a rámce dohledu pro vydavatele tokenů vázaných na aktiva a elektronických peněžních tokenů, které odrážejí jejich různé rizikové profily a peněžní důsledky;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odůvodnění F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vzhledem k tomu, že silný bankovní sektor je klíčem k zajištění hospodářského růstu a financování malých a středních podniků a start-upů;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vítá pokrok, kterého bylo v uplynulém desetiletí dosaženo v rámci jednotného mechanismu</w:t>
            </w:r>
            <w:r>
              <w:t xml:space="preserve"> dohledu a </w:t>
            </w:r>
            <w:r>
              <w:rPr>
                <w:b/>
                <w:i/>
              </w:rPr>
              <w:t>jednotného mechanismu</w:t>
            </w:r>
            <w:r>
              <w:t xml:space="preserve"> pro řešení krizí; vyzývá k </w:t>
            </w:r>
            <w:r>
              <w:rPr>
                <w:b/>
                <w:i/>
              </w:rPr>
              <w:t>plnému a rychlému dokončení bankovní unie, včetně plnohodnotného systému EDIS</w:t>
            </w:r>
            <w:r>
              <w:t xml:space="preserve">; zdůrazňuje, že </w:t>
            </w:r>
            <w:r>
              <w:rPr>
                <w:b/>
                <w:i/>
              </w:rPr>
              <w:t>bankovní unie musí podporovat inkluzivnější a udržitelnější finanční systém, který bude v souladu se sociální soudržností a Zelenou dohodou pro Evropu</w:t>
            </w:r>
            <w:r>
              <w:t>;</w:t>
            </w:r>
          </w:p>
        </w:tc>
        <w:tc>
          <w:tcPr>
            <w:tcW w:w="4876" w:type="dxa"/>
            <w:tcBorders>
              <w:top w:val="nil"/>
              <w:left w:val="nil"/>
              <w:bottom w:val="nil"/>
              <w:right w:val="nil"/>
            </w:tcBorders>
          </w:tcPr>
          <w:p>
            <w:pPr>
              <w:pStyle w:val="Normal6a"/>
            </w:pPr>
            <w:r>
              <w:t>1.</w:t>
            </w:r>
            <w:r>
              <w:tab/>
            </w:r>
            <w:r>
              <w:rPr>
                <w:b/>
                <w:i/>
              </w:rPr>
              <w:t>bere na vědomí vývoj situace v souvislosti s jednotným mechanismem</w:t>
            </w:r>
            <w:r>
              <w:t xml:space="preserve"> dohledu a </w:t>
            </w:r>
            <w:r>
              <w:rPr>
                <w:b/>
                <w:i/>
              </w:rPr>
              <w:t>jednotným mechanismem</w:t>
            </w:r>
            <w:r>
              <w:t xml:space="preserve"> pro řešení krizí </w:t>
            </w:r>
            <w:r>
              <w:rPr>
                <w:b/>
                <w:i/>
              </w:rPr>
              <w:t>v posledním desetiletí</w:t>
            </w:r>
            <w:r>
              <w:t xml:space="preserve">; vyzývá k </w:t>
            </w:r>
            <w:r>
              <w:rPr>
                <w:b/>
                <w:i/>
              </w:rPr>
              <w:t>reformám, které se zaměřují na větší tržní disciplínu, a nikoli byrokratickou expanzi</w:t>
            </w:r>
            <w:r>
              <w:t xml:space="preserve">; zdůrazňuje, že </w:t>
            </w:r>
            <w:r>
              <w:rPr>
                <w:b/>
                <w:i/>
              </w:rPr>
              <w:t>návrhy, které ještě více centralizují riziko, by měly být vyváženy přiměřenými kontrolními mechanismy</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w:t>
            </w:r>
            <w:r>
              <w:rPr>
                <w:b/>
                <w:i/>
              </w:rPr>
              <w:t>vyzývá k plnému a rychlému dokončení bankovní unie, včetně plnohodnotného systému EDIS;</w:t>
            </w:r>
            <w:r>
              <w:t xml:space="preserve"> </w:t>
            </w:r>
            <w:r>
              <w:rPr>
                <w:b/>
                <w:i/>
              </w:rPr>
              <w:t>zdůrazňuje, že bankovní unie musí podporovat inkluzivnější a udržitelnější finanční systém, který bude v souladu se sociální soudržností a Zelenou dohodou pro Evropu;</w:t>
            </w:r>
          </w:p>
        </w:tc>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w:t>
            </w:r>
            <w:r>
              <w:rPr>
                <w:b/>
                <w:i/>
              </w:rPr>
              <w:t>plnému a rychlému dokončení bankovní unie, včetně plnohodnotného systému EDIS;</w:t>
            </w:r>
            <w:r>
              <w:t xml:space="preserve"> </w:t>
            </w:r>
            <w:r>
              <w:rPr>
                <w:b/>
                <w:i/>
              </w:rPr>
              <w:t>zdůrazňuje, že</w:t>
            </w:r>
            <w:r>
              <w:t xml:space="preserve"> bankovní unie </w:t>
            </w:r>
            <w:r>
              <w:rPr>
                <w:b/>
                <w:i/>
              </w:rPr>
              <w:t>musí podporovat inkluzivnější a udržitelnější finanční systém, který bude v</w:t>
            </w:r>
            <w:r>
              <w:t xml:space="preserve"> souladu se </w:t>
            </w:r>
            <w:r>
              <w:rPr>
                <w:b/>
                <w:i/>
              </w:rPr>
              <w:t>sociální soudržností a Zelenou dohodou pro Evropu</w:t>
            </w:r>
            <w:r>
              <w:t>;</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w:t>
            </w:r>
            <w:r>
              <w:rPr>
                <w:b/>
                <w:i/>
              </w:rPr>
              <w:t>dalšímu rozvoji</w:t>
            </w:r>
            <w:r>
              <w:t xml:space="preserve"> bankovní unie </w:t>
            </w:r>
            <w:r>
              <w:rPr>
                <w:b/>
                <w:i/>
              </w:rPr>
              <w:t>s přihlédnutím ke specifickým rysům vnitrostátních bankovních sektorů a k zajištění autonomie a účinného fungování institucionálních systémů ochrany, a to při zachování</w:t>
            </w:r>
            <w:r>
              <w:t xml:space="preserve"> souladu se </w:t>
            </w:r>
            <w:r>
              <w:rPr>
                <w:b/>
                <w:i/>
              </w:rPr>
              <w:t>zvláštními ustanoveními o institucionálních systémech ochrany dohodnutými v přezkumu rámce pro krizové řízení a pojištění vkladů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w:t>
            </w:r>
            <w:r>
              <w:rPr>
                <w:b/>
                <w:i/>
              </w:rPr>
              <w:t>plnému a rychlému dokončení</w:t>
            </w:r>
            <w:r>
              <w:t xml:space="preserve"> bankovní unie, </w:t>
            </w:r>
            <w:r>
              <w:rPr>
                <w:b/>
                <w:i/>
              </w:rPr>
              <w:t>včetně plnohodnotného systému EDIS;</w:t>
            </w:r>
            <w:r>
              <w:t xml:space="preserve"> </w:t>
            </w:r>
            <w:r>
              <w:rPr>
                <w:b/>
                <w:i/>
              </w:rPr>
              <w:t>zdůrazňuje, že bankovní unie musí podporovat inkluzivnější a udržitelnější finanční systém, který bude v souladu se sociální soudržností a Zelenou dohodou pro Evropu</w:t>
            </w:r>
            <w:r>
              <w:t>;</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w:t>
            </w:r>
            <w:r>
              <w:rPr>
                <w:b/>
                <w:i/>
              </w:rPr>
              <w:t>postupnému dalšímu rozvoji</w:t>
            </w:r>
            <w:r>
              <w:t xml:space="preserve"> bankovní unie, </w:t>
            </w:r>
            <w:r>
              <w:rPr>
                <w:b/>
                <w:i/>
              </w:rPr>
              <w:t>přičemž je nutné náležitě zohledňovat vnitrostátní specifika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w:t>
            </w:r>
            <w:r>
              <w:rPr>
                <w:b/>
                <w:i/>
              </w:rPr>
              <w:t>plnému</w:t>
            </w:r>
            <w:r>
              <w:t xml:space="preserve"> a rychlému dokončení bankovní unie, včetně </w:t>
            </w:r>
            <w:r>
              <w:rPr>
                <w:b/>
                <w:i/>
              </w:rPr>
              <w:t>plnohodnotného</w:t>
            </w:r>
            <w:r>
              <w:t xml:space="preserve"> systému </w:t>
            </w:r>
            <w:r>
              <w:rPr>
                <w:b/>
                <w:i/>
              </w:rPr>
              <w:t>EDIS;</w:t>
            </w:r>
            <w:r>
              <w:t xml:space="preserve"> </w:t>
            </w:r>
            <w:r>
              <w:rPr>
                <w:b/>
                <w:i/>
              </w:rPr>
              <w:t>zdůrazňuje, že bankovní unie musí podporovat inkluzivnější a udržitelnější finanční systém</w:t>
            </w:r>
            <w:r>
              <w:t xml:space="preserve">, který </w:t>
            </w:r>
            <w:r>
              <w:rPr>
                <w:b/>
                <w:i/>
              </w:rPr>
              <w:t>bude v souladu se sociální soudržností a Zelenou dohodou pro Evropu</w:t>
            </w:r>
            <w:r>
              <w:t>;</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w:t>
            </w:r>
            <w:r>
              <w:rPr>
                <w:b/>
                <w:i/>
              </w:rPr>
              <w:t>úplnému</w:t>
            </w:r>
            <w:r>
              <w:t xml:space="preserve"> a rychlému dokončení bankovní unie, včetně </w:t>
            </w:r>
            <w:r>
              <w:rPr>
                <w:b/>
                <w:i/>
              </w:rPr>
              <w:t>evropského</w:t>
            </w:r>
            <w:r>
              <w:t xml:space="preserve"> systému </w:t>
            </w:r>
            <w:r>
              <w:rPr>
                <w:b/>
                <w:i/>
              </w:rPr>
              <w:t>pojištění vkladů</w:t>
            </w:r>
            <w:r>
              <w:t xml:space="preserve">, který </w:t>
            </w:r>
            <w:r>
              <w:rPr>
                <w:b/>
                <w:i/>
              </w:rPr>
              <w:t>zohlední vnitrostátní specifika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w:t>
            </w:r>
            <w:r>
              <w:rPr>
                <w:b/>
                <w:i/>
              </w:rPr>
              <w:t>vyzývá k plnému a rychlému dokončení bankovní unie, včetně plnohodnotného systému EDIS;</w:t>
            </w:r>
            <w:r>
              <w:t xml:space="preserve"> zdůrazňuje, že bankovní unie musí podporovat inkluzivnější a udržitelnější finanční systém, který bude v souladu </w:t>
            </w:r>
            <w:r>
              <w:rPr>
                <w:b/>
                <w:i/>
              </w:rPr>
              <w:t>se sociální soudržností a Zelenou dohodou pro Evropu</w:t>
            </w:r>
            <w:r>
              <w:t>;</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zdůrazňuje, že bankovní unie musí podporovat inkluzivnější a udržitelnější finanční systém, který bude v souladu </w:t>
            </w:r>
            <w:r>
              <w:rPr>
                <w:b/>
                <w:i/>
              </w:rPr>
              <w:t>s dvojí transformací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plnému a rychlému dokončení bankovní unie, včetně plnohodnotného systému EDIS; </w:t>
            </w:r>
            <w:r>
              <w:rPr>
                <w:b/>
                <w:i/>
              </w:rPr>
              <w:t>zdůrazňuje, že bankovní unie musí podporovat inkluzivnější a udržitelnější finanční systém, který bude v souladu se sociální soudržností a Zelenou dohodou pro Evropu;</w:t>
            </w:r>
          </w:p>
        </w:tc>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plnému a rychlému dokončení bankovní unie, včetně plnohodnotného systému EDIS;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plnému a rychlému dokončení bankovní unie, včetně plnohodnotného systému EDIS; </w:t>
            </w:r>
            <w:r>
              <w:rPr>
                <w:b/>
                <w:i/>
              </w:rPr>
              <w:t>zdůrazňuje, že bankovní unie musí podporovat inkluzivnější a udržitelnější finanční systém, který bude v souladu se sociální soudržností a Zelenou dohodou pro Evropu;</w:t>
            </w:r>
          </w:p>
        </w:tc>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plnému a rychlému dokončení bankovní unie, včetně plnohodnotného systému EDIS;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w:t>
            </w:r>
            <w:r>
              <w:rPr>
                <w:b/>
                <w:i/>
              </w:rPr>
              <w:t>vyzývá k plnému a rychlému</w:t>
            </w:r>
            <w:r>
              <w:t xml:space="preserve"> dokončení bankovní unie</w:t>
            </w:r>
            <w:r>
              <w:rPr>
                <w:b/>
                <w:i/>
              </w:rPr>
              <w:t>, včetně plnohodnotného systému EDIS</w:t>
            </w:r>
            <w:r>
              <w:t xml:space="preserve">; zdůrazňuje, že bankovní unie musí podporovat </w:t>
            </w:r>
            <w:r>
              <w:rPr>
                <w:b/>
                <w:i/>
              </w:rPr>
              <w:t>inkluzivnější a udržitelnější</w:t>
            </w:r>
            <w:r>
              <w:t xml:space="preserve"> finanční systém, který bude v souladu se sociální soudržností a Zelenou dohodou pro Evropu;</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w:t>
            </w:r>
            <w:r>
              <w:rPr>
                <w:b/>
                <w:i/>
              </w:rPr>
              <w:t>vybízí k</w:t>
            </w:r>
            <w:r>
              <w:t xml:space="preserve"> dokončení bankovní unie; zdůrazňuje, že bankovní unie musí podporovat </w:t>
            </w:r>
            <w:r>
              <w:rPr>
                <w:b/>
                <w:i/>
              </w:rPr>
              <w:t>inkluzivní a udržitelný</w:t>
            </w:r>
            <w:r>
              <w:t xml:space="preserve"> finanční systém, který bude v souladu se sociální soudržností a Zelenou dohodou pro Evropu;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w:t>
            </w:r>
            <w:r>
              <w:rPr>
                <w:b/>
                <w:i/>
              </w:rPr>
              <w:t>plnému</w:t>
            </w:r>
            <w:r>
              <w:t xml:space="preserve"> a rychlému dokončení bankovní unie, </w:t>
            </w:r>
            <w:r>
              <w:rPr>
                <w:b/>
                <w:i/>
              </w:rPr>
              <w:t>včetně plnohodnotného</w:t>
            </w:r>
            <w:r>
              <w:t xml:space="preserve"> systému </w:t>
            </w:r>
            <w:r>
              <w:rPr>
                <w:b/>
                <w:i/>
              </w:rPr>
              <w:t>EDIS</w:t>
            </w:r>
            <w:r>
              <w:t>; zdůrazňuje, že bankovní unie musí podporovat inkluzivnější a udržitelnější finanční systém, který bude v souladu se sociální soudržností a Zelenou dohodou pro Evropu;</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w:t>
            </w:r>
            <w:r>
              <w:rPr>
                <w:b/>
                <w:i/>
              </w:rPr>
              <w:t>úplnému</w:t>
            </w:r>
            <w:r>
              <w:t xml:space="preserve"> a rychlému dokončení bankovní unie, </w:t>
            </w:r>
            <w:r>
              <w:rPr>
                <w:b/>
                <w:i/>
              </w:rPr>
              <w:t>což obnáší i soustavnou práci na evropském</w:t>
            </w:r>
            <w:r>
              <w:t xml:space="preserve"> systému </w:t>
            </w:r>
            <w:r>
              <w:rPr>
                <w:b/>
                <w:i/>
              </w:rPr>
              <w:t>pojištění vkladů a opatření k prohloubení integrace trhu a usnadnění účinného oběhu kapitálu a likvidity v rámci bankovních skupin</w:t>
            </w:r>
            <w:r>
              <w:t>; zdůrazňuje, že bankovní unie musí podporovat inkluzivnější a udržitelnější finanční systém, který bude v souladu se sociální soudržností a Zelenou dohodou pro Evropu;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w:t>
            </w:r>
            <w:r>
              <w:rPr>
                <w:b/>
                <w:i/>
              </w:rPr>
              <w:t>plnému</w:t>
            </w:r>
            <w:r>
              <w:t xml:space="preserve"> a rychlému dokončení bankovní unie, včetně </w:t>
            </w:r>
            <w:r>
              <w:rPr>
                <w:b/>
                <w:i/>
              </w:rPr>
              <w:t>plnohodnotného</w:t>
            </w:r>
            <w:r>
              <w:t xml:space="preserve"> systému </w:t>
            </w:r>
            <w:r>
              <w:rPr>
                <w:b/>
                <w:i/>
              </w:rPr>
              <w:t>EDIS</w:t>
            </w:r>
            <w:r>
              <w:t>; zdůrazňuje, že bankovní unie musí podporovat inkluzivnější a udržitelnější finanční systém, který bude v souladu se sociální soudržností a Zelenou dohodou pro Evropu;</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w:t>
            </w:r>
            <w:r>
              <w:rPr>
                <w:b/>
                <w:i/>
              </w:rPr>
              <w:t>úplnému</w:t>
            </w:r>
            <w:r>
              <w:t xml:space="preserve"> a rychlému dokončení bankovní unie, včetně </w:t>
            </w:r>
            <w:r>
              <w:rPr>
                <w:b/>
                <w:i/>
              </w:rPr>
              <w:t>evropského</w:t>
            </w:r>
            <w:r>
              <w:t xml:space="preserve"> systému </w:t>
            </w:r>
            <w:r>
              <w:rPr>
                <w:b/>
                <w:i/>
              </w:rPr>
              <w:t>pojištění vkladů, který zohlední vnitrostátní specifika</w:t>
            </w:r>
            <w:r>
              <w:t>; zdůrazňuje, že bankovní unie musí podporovat inkluzivnější a udržitelnější finanční systém, který bude v souladu se sociální soudržností a Zelenou dohodou pro Evropu;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plnému a rychlému dokončení bankovní unie, včetně plnohodnotného systému EDIS; zdůrazňuje, že bankovní unie musí podporovat inkluzivnější a udržitelnější finanční systém</w:t>
            </w:r>
            <w:r>
              <w:rPr>
                <w:b/>
                <w:i/>
              </w:rPr>
              <w:t>, který bude v souladu se sociální soudržností a Zelenou dohodou pro Evropu</w:t>
            </w:r>
            <w:r>
              <w:t>;</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plnému a rychlému dokončení bankovní unie, včetně plnohodnotného </w:t>
            </w:r>
            <w:r>
              <w:rPr>
                <w:b/>
                <w:i/>
              </w:rPr>
              <w:t>sdíleného</w:t>
            </w:r>
            <w:r>
              <w:t xml:space="preserve"> systému EDIS; zdůrazňuje, že bankovní unie musí podporovat </w:t>
            </w:r>
            <w:r>
              <w:rPr>
                <w:b/>
                <w:i/>
              </w:rPr>
              <w:t>konkurenceschopnější,</w:t>
            </w:r>
            <w:r>
              <w:t xml:space="preserve"> inkluzivnější a udržitelnější finanční systém;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plnému a rychlému dokončení bankovní unie, včetně plnohodnotného systému EDIS; zdůrazňuje, že bankovní unie musí podporovat inkluzivnější a udržitelnější finanční systém, který bude v souladu se sociální soudržností a </w:t>
            </w:r>
            <w:r>
              <w:rPr>
                <w:b/>
                <w:i/>
              </w:rPr>
              <w:t>Zelenou dohodou pro Evropu</w:t>
            </w:r>
            <w:r>
              <w:t>;</w:t>
            </w:r>
          </w:p>
        </w:tc>
        <w:tc>
          <w:tcPr>
            <w:tcW w:w="4876" w:type="dxa"/>
            <w:tcBorders>
              <w:top w:val="nil"/>
              <w:left w:val="nil"/>
              <w:bottom w:val="nil"/>
              <w:right w:val="nil"/>
            </w:tcBorders>
          </w:tcPr>
          <w:p>
            <w:pPr>
              <w:pStyle w:val="Normal6a"/>
            </w:pPr>
            <w:r>
              <w:t>1.</w:t>
            </w:r>
            <w:r>
              <w:tab/>
            </w:r>
            <w:r>
              <w:t xml:space="preserve">vítá pokrok, kterého bylo v uplynulém desetiletí dosaženo v rámci jednotného mechanismu dohledu a jednotného mechanismu pro řešení krizí; vyzývá k plnému a rychlému dokončení bankovní unie, včetně plnohodnotného systému EDIS; zdůrazňuje, že bankovní unie musí podporovat inkluzivnější a udržitelnější finanční systém, který bude v souladu se sociální soudržností a </w:t>
            </w:r>
            <w:r>
              <w:rPr>
                <w:b/>
                <w:i/>
              </w:rPr>
              <w:t>konkurenceschopností</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plnému a rychlému dokončení bankovní unie, včetně plnohodnotného systému EDIS; zdůrazňuje, že bankovní unie musí podporovat inkluzivnější a udržitelnější finanční systém, který bude v souladu se sociální soudržností a Zelenou dohodou pro Evropu;</w:t>
            </w:r>
          </w:p>
        </w:tc>
        <w:tc>
          <w:tcPr>
            <w:tcW w:w="4876" w:type="dxa"/>
            <w:tcBorders>
              <w:top w:val="nil"/>
              <w:left w:val="nil"/>
              <w:bottom w:val="nil"/>
              <w:right w:val="nil"/>
            </w:tcBorders>
          </w:tcPr>
          <w:p>
            <w:pPr>
              <w:pStyle w:val="Normal6a"/>
            </w:pPr>
            <w:r>
              <w:t>1.</w:t>
            </w:r>
            <w:r>
              <w:tab/>
            </w:r>
            <w:r>
              <w:t>vítá pokrok, kterého bylo v uplynulém desetiletí dosaženo v rámci jednotného mechanismu dohledu a jednotného mechanismu pro řešení krizí; vyzývá k plnému a rychlému dokončení bankovní unie, včetně plnohodnotného systému EDIS</w:t>
            </w:r>
            <w:r>
              <w:rPr>
                <w:b/>
                <w:i/>
              </w:rPr>
              <w:t>, který bude zajišťovat krytí ztrát</w:t>
            </w:r>
            <w:r>
              <w:t>; zdůrazňuje, že bankovní unie musí podporovat inkluzivnější a udržitelnější finanční systém, který bude v souladu se sociální soudržností a Zelenou dohodou pro Evropu;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konstatuje, že integrovanější bankovní unie by pomohla zvýšit odolnost bankovního sektoru EU a přinést výhody zákazníkům;</w:t>
            </w:r>
            <w:r>
              <w:t xml:space="preserve"> </w:t>
            </w:r>
            <w:r>
              <w:rPr>
                <w:b/>
                <w:i/>
              </w:rPr>
              <w:t>v této souvislosti konstatuje, že je třeba řešit problémy a výzvy související s otázkou domovského a hostitelského státu, zejména pokud jde o důvěryhodné záruky pro hostitelské země, podle práva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vyzývá Komisi, aby upřednostnila dokončení bankovní unie a unie úspor a investic;</w:t>
            </w:r>
            <w:r>
              <w:t xml:space="preserve"> </w:t>
            </w:r>
            <w:r>
              <w:rPr>
                <w:b/>
                <w:i/>
              </w:rPr>
              <w:t>zdůrazňuje jejich význam pro občany, malé a střední podniky a reálnou ekonomiku, neboť podporují udržitelnou prosperitu, kvalitní pracovní místa a finanční stabilitu;</w:t>
            </w:r>
            <w:r>
              <w:t xml:space="preserve"> </w:t>
            </w:r>
            <w:r>
              <w:rPr>
                <w:b/>
                <w:i/>
              </w:rPr>
              <w:t>zdůrazňuje potřebu silného solidárního rámce, který zabrání bankovní panice;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vyzývá Komisi, aby upřednostnila dokončení bankovní unie a</w:t>
            </w:r>
            <w:r>
              <w:t xml:space="preserve"> unie úspor a investic; </w:t>
            </w:r>
            <w:r>
              <w:rPr>
                <w:b/>
                <w:i/>
              </w:rPr>
              <w:t>zdůrazňuje jejich význam pro občany, malé a střední podniky a reálnou ekonomiku, neboť podporují udržitelnou prosperitu, kvalitní pracovní místa a finanční stabilitu;</w:t>
            </w:r>
            <w:r>
              <w:t xml:space="preserve"> </w:t>
            </w:r>
            <w:r>
              <w:rPr>
                <w:b/>
                <w:i/>
              </w:rPr>
              <w:t>zdůrazňuje potřebu silného solidárního rámce, který zabrání bankovní panice</w:t>
            </w:r>
            <w:r>
              <w:t>;</w:t>
            </w:r>
          </w:p>
        </w:tc>
        <w:tc>
          <w:tcPr>
            <w:tcW w:w="4876" w:type="dxa"/>
            <w:tcBorders>
              <w:top w:val="nil"/>
              <w:left w:val="nil"/>
              <w:bottom w:val="nil"/>
              <w:right w:val="nil"/>
            </w:tcBorders>
          </w:tcPr>
          <w:p>
            <w:pPr>
              <w:pStyle w:val="Normal6a"/>
            </w:pPr>
            <w:r>
              <w:t>2.</w:t>
            </w:r>
            <w:r>
              <w:tab/>
            </w:r>
            <w:r>
              <w:rPr>
                <w:b/>
                <w:i/>
              </w:rPr>
              <w:t>Bere na vědomí návrhy Komise týkající se</w:t>
            </w:r>
            <w:r>
              <w:t xml:space="preserve"> unie úspor a investic; </w:t>
            </w:r>
            <w:r>
              <w:rPr>
                <w:b/>
                <w:i/>
              </w:rPr>
              <w:t>konstatuje, že současná koncepce unie úspor a investic s sebou nese riziko přesměrování úspor na vysoce rizikové kapitálové trhy bez odpovídající ochrany investorů nebo jasných tržních pobídek;</w:t>
            </w:r>
            <w:r>
              <w:t xml:space="preserve"> </w:t>
            </w:r>
            <w:r>
              <w:rPr>
                <w:b/>
                <w:i/>
              </w:rPr>
              <w:t>takové centrální plánování může narušit alokaci úspor a vystavit retailové investory volatilitě bez spolehlivých bezpečnostních mechanismů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Komisi, aby </w:t>
            </w:r>
            <w:r>
              <w:rPr>
                <w:b/>
                <w:i/>
              </w:rPr>
              <w:t>upřednostnila dokončení</w:t>
            </w:r>
            <w:r>
              <w:t xml:space="preserve"> bankovní unie a unie úspor a investic; zdůrazňuje jejich význam pro občany, malé a střední podniky a reálnou ekonomiku, neboť podporují udržitelnou prosperitu, kvalitní pracovní místa a finanční stabilitu; </w:t>
            </w:r>
            <w:r>
              <w:rPr>
                <w:b/>
                <w:i/>
              </w:rPr>
              <w:t>zdůrazňuje potřebu silného solidárního rámce, který zabrání bankovní panice;</w:t>
            </w:r>
          </w:p>
        </w:tc>
        <w:tc>
          <w:tcPr>
            <w:tcW w:w="4876" w:type="dxa"/>
            <w:tcBorders>
              <w:top w:val="nil"/>
              <w:left w:val="nil"/>
              <w:bottom w:val="nil"/>
              <w:right w:val="nil"/>
            </w:tcBorders>
          </w:tcPr>
          <w:p>
            <w:pPr>
              <w:pStyle w:val="Normal6a"/>
            </w:pPr>
            <w:r>
              <w:t>2.</w:t>
            </w:r>
            <w:r>
              <w:tab/>
            </w:r>
            <w:r>
              <w:t xml:space="preserve">vyzývá Komisi, aby </w:t>
            </w:r>
            <w:r>
              <w:rPr>
                <w:b/>
                <w:i/>
              </w:rPr>
              <w:t>se prioritně zabývala dalším rozvojem</w:t>
            </w:r>
            <w:r>
              <w:t xml:space="preserve"> bankovní unie a unie úspor a investic; zdůrazňuje jejich význam pro občany, malé a střední podniky a reálnou ekonomiku, neboť podporují udržitelnou prosperitu, kvalitní pracovní místa a finanční stabilitu;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vyzývá Komisi, aby upřednostnila dokončení bankovní unie a unie úspor a investic; zdůrazňuje jejich význam pro občany, malé a střední podniky a </w:t>
            </w:r>
            <w:r>
              <w:rPr>
                <w:b/>
                <w:i/>
              </w:rPr>
              <w:t>reálnou</w:t>
            </w:r>
            <w:r>
              <w:t xml:space="preserve"> ekonomiku, neboť podporují </w:t>
            </w:r>
            <w:r>
              <w:rPr>
                <w:b/>
                <w:i/>
              </w:rPr>
              <w:t>udržitelnou</w:t>
            </w:r>
            <w:r>
              <w:t xml:space="preserve"> prosperitu, kvalitní pracovní místa a finanční stabilitu; zdůrazňuje potřebu </w:t>
            </w:r>
            <w:r>
              <w:rPr>
                <w:b/>
                <w:i/>
              </w:rPr>
              <w:t>silného solidárního</w:t>
            </w:r>
            <w:r>
              <w:t xml:space="preserve"> rámce</w:t>
            </w:r>
            <w:r>
              <w:rPr>
                <w:b/>
                <w:i/>
              </w:rPr>
              <w:t>, který</w:t>
            </w:r>
            <w:r>
              <w:t xml:space="preserve"> zabrání </w:t>
            </w:r>
            <w:r>
              <w:rPr>
                <w:b/>
                <w:i/>
              </w:rPr>
              <w:t>bankovní panice</w:t>
            </w:r>
            <w:r>
              <w:t>;</w:t>
            </w:r>
          </w:p>
        </w:tc>
        <w:tc>
          <w:tcPr>
            <w:tcW w:w="4876" w:type="dxa"/>
            <w:tcBorders>
              <w:top w:val="nil"/>
              <w:left w:val="nil"/>
              <w:bottom w:val="nil"/>
              <w:right w:val="nil"/>
            </w:tcBorders>
          </w:tcPr>
          <w:p>
            <w:pPr>
              <w:pStyle w:val="Normal6a"/>
            </w:pPr>
            <w:r>
              <w:t>2.</w:t>
            </w:r>
            <w:r>
              <w:tab/>
            </w:r>
            <w:r>
              <w:t xml:space="preserve">vyzývá Komisi, aby upřednostnila dokončení bankovní unie a unie úspor a investic </w:t>
            </w:r>
            <w:r>
              <w:rPr>
                <w:b/>
                <w:i/>
              </w:rPr>
              <w:t>jako základních nástrojů pro směrování úspor do investic</w:t>
            </w:r>
            <w:r>
              <w:t xml:space="preserve">; zdůrazňuje jejich význam pro občany, malé a střední podniky a ekonomiku, neboť podporují prosperitu, kvalitní pracovní místa a finanční stabilitu; zdůrazňuje potřebu </w:t>
            </w:r>
            <w:r>
              <w:rPr>
                <w:b/>
                <w:i/>
              </w:rPr>
              <w:t>pevného</w:t>
            </w:r>
            <w:r>
              <w:t xml:space="preserve"> rámce </w:t>
            </w:r>
            <w:r>
              <w:rPr>
                <w:b/>
                <w:i/>
              </w:rPr>
              <w:t>založeného na jasných pravidlech a účinných mechanismech, které posílí důvěru vkladatelů a</w:t>
            </w:r>
            <w:r>
              <w:t xml:space="preserve"> zabrání </w:t>
            </w:r>
            <w:r>
              <w:rPr>
                <w:b/>
                <w:i/>
              </w:rPr>
              <w:t>hromadnému vybírání vkladů</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Komisi, aby upřednostnila dokončení bankovní unie a unie úspor a investic; zdůrazňuje jejich význam pro občany, malé a střední podniky a reálnou ekonomiku, neboť podporují udržitelnou prosperitu, kvalitní pracovní místa a finanční stabilitu; zdůrazňuje potřebu silného </w:t>
            </w:r>
            <w:r>
              <w:rPr>
                <w:b/>
                <w:i/>
              </w:rPr>
              <w:t>solidárního</w:t>
            </w:r>
            <w:r>
              <w:t xml:space="preserve"> rámce, který zabrání bankovní panice;</w:t>
            </w:r>
          </w:p>
        </w:tc>
        <w:tc>
          <w:tcPr>
            <w:tcW w:w="4876" w:type="dxa"/>
            <w:tcBorders>
              <w:top w:val="nil"/>
              <w:left w:val="nil"/>
              <w:bottom w:val="nil"/>
              <w:right w:val="nil"/>
            </w:tcBorders>
          </w:tcPr>
          <w:p>
            <w:pPr>
              <w:pStyle w:val="Normal6a"/>
            </w:pPr>
            <w:r>
              <w:t>2.</w:t>
            </w:r>
            <w:r>
              <w:tab/>
            </w:r>
            <w:r>
              <w:t>vyzývá Komisi, aby upřednostnila dokončení bankovní unie a unie úspor a investic; zdůrazňuje jejich význam pro občany, malé a střední podniky a reálnou ekonomiku, neboť podporují udržitelnou prosperitu, kvalitní pracovní místa a finanční stabilitu; zdůrazňuje</w:t>
            </w:r>
            <w:r>
              <w:rPr>
                <w:b/>
                <w:i/>
              </w:rPr>
              <w:t>, že integrovanější bankovní unie by podpořila růst a konkurenceschopnost evropských bank;</w:t>
            </w:r>
            <w:r>
              <w:t xml:space="preserve"> </w:t>
            </w:r>
            <w:r>
              <w:rPr>
                <w:b/>
                <w:i/>
              </w:rPr>
              <w:t>zdůrazňuje</w:t>
            </w:r>
            <w:r>
              <w:t xml:space="preserve"> potřebu silného rámce, který zabrání bankovní panice;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Komisi, aby upřednostnila dokončení bankovní unie a unie úspor a investic; zdůrazňuje jejich význam pro občany, malé a střední podniky a reálnou ekonomiku, neboť podporují udržitelnou prosperitu, kvalitní pracovní místa a finanční stabilitu; zdůrazňuje </w:t>
            </w:r>
            <w:r>
              <w:rPr>
                <w:b/>
                <w:i/>
              </w:rPr>
              <w:t>potřebu silného solidárního rámce</w:t>
            </w:r>
            <w:r>
              <w:t>, který zabrání bankovní panice;</w:t>
            </w:r>
          </w:p>
        </w:tc>
        <w:tc>
          <w:tcPr>
            <w:tcW w:w="4876" w:type="dxa"/>
            <w:tcBorders>
              <w:top w:val="nil"/>
              <w:left w:val="nil"/>
              <w:bottom w:val="nil"/>
              <w:right w:val="nil"/>
            </w:tcBorders>
          </w:tcPr>
          <w:p>
            <w:pPr>
              <w:pStyle w:val="Normal6a"/>
            </w:pPr>
            <w:r>
              <w:t>2.</w:t>
            </w:r>
            <w:r>
              <w:tab/>
            </w:r>
            <w:r>
              <w:t>vyzývá Komisi, aby upřednostnila dokončení bankovní unie a unie úspor a investic; zdůrazňuje jejich význam pro občany, malé a střední podniky a reálnou ekonomiku, neboť podporují udržitelnou prosperitu, kvalitní pracovní místa a finanční stabilitu; zdůrazňuje</w:t>
            </w:r>
            <w:r>
              <w:rPr>
                <w:b/>
                <w:i/>
              </w:rPr>
              <w:t>, že je zapotřebí silný a spolehlivý rámec</w:t>
            </w:r>
            <w:r>
              <w:t xml:space="preserve">, který </w:t>
            </w:r>
            <w:r>
              <w:rPr>
                <w:b/>
                <w:i/>
              </w:rPr>
              <w:t>bude založen na jasných pravidlech a povinnostech a</w:t>
            </w:r>
            <w:r>
              <w:t xml:space="preserve"> zabrání bankovní panice</w:t>
            </w:r>
            <w:r>
              <w:rPr>
                <w:b/>
                <w:i/>
              </w:rPr>
              <w:t>, prohloubí finanční stabilitu a konkurenceschopnost a posílí bankovní sektor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vyzývá Komisi, aby upřednostnila dokončení bankovní unie </w:t>
            </w:r>
            <w:r>
              <w:rPr>
                <w:b/>
                <w:i/>
              </w:rPr>
              <w:t>a</w:t>
            </w:r>
            <w:r>
              <w:t> unie úspor a investic; zdůrazňuje jejich význam pro občany, malé a střední podniky a reálnou ekonomiku, neboť podporují udržitelnou prosperitu, kvalitní pracovní místa a finanční stabilitu; zdůrazňuje potřebu silného solidárního rámce, který zabrání bankovní panice;</w:t>
            </w:r>
          </w:p>
        </w:tc>
        <w:tc>
          <w:tcPr>
            <w:tcW w:w="4876" w:type="dxa"/>
            <w:tcBorders>
              <w:top w:val="nil"/>
              <w:left w:val="nil"/>
              <w:bottom w:val="nil"/>
              <w:right w:val="nil"/>
            </w:tcBorders>
          </w:tcPr>
          <w:p>
            <w:pPr>
              <w:pStyle w:val="Normal6a"/>
            </w:pPr>
            <w:r>
              <w:t>2.</w:t>
            </w:r>
            <w:r>
              <w:tab/>
            </w:r>
            <w:r>
              <w:t xml:space="preserve">vyzývá Komisi, aby upřednostnila dokončení bankovní unie </w:t>
            </w:r>
            <w:r>
              <w:rPr>
                <w:b/>
                <w:i/>
              </w:rPr>
              <w:t>jakožto součásti</w:t>
            </w:r>
            <w:r>
              <w:t xml:space="preserve"> unie úspor a investic; zdůrazňuje jejich význam pro občany, malé a střední podniky a reálnou ekonomiku, neboť podporují udržitelnou prosperitu, kvalitní pracovní místa a finanční stabilitu; zdůrazňuje potřebu silného solidárního rámce, který zabrání bankovní panice;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vyzývá Komisi, aby upřednostnila dokončení bankovní unie a unie úspor a investic; zdůrazňuje jejich význam pro občany, malé a střední podniky a reálnou ekonomiku, neboť podporují udržitelnou prosperitu, kvalitní pracovní místa a finanční stabilitu; zdůrazňuje potřebu silného solidárního rámce, který zabrání bankovní panice;</w:t>
            </w:r>
          </w:p>
        </w:tc>
        <w:tc>
          <w:tcPr>
            <w:tcW w:w="4876" w:type="dxa"/>
            <w:tcBorders>
              <w:top w:val="nil"/>
              <w:left w:val="nil"/>
              <w:bottom w:val="nil"/>
              <w:right w:val="nil"/>
            </w:tcBorders>
          </w:tcPr>
          <w:p>
            <w:pPr>
              <w:pStyle w:val="Normal6a"/>
            </w:pPr>
            <w:r>
              <w:t>2.</w:t>
            </w:r>
            <w:r>
              <w:tab/>
            </w:r>
            <w:r>
              <w:t xml:space="preserve">vyzývá Komisi, aby upřednostnila dokončení bankovní unie a unie úspor a investic; zdůrazňuje jejich význam pro občany, malé a střední podniky a reálnou ekonomiku, neboť podporují </w:t>
            </w:r>
            <w:r>
              <w:rPr>
                <w:b/>
                <w:i/>
              </w:rPr>
              <w:t>odolnost, konkurenceschopnost,</w:t>
            </w:r>
            <w:r>
              <w:t xml:space="preserve"> udržitelnou prosperitu, kvalitní pracovní místa a finanční stabilitu; zdůrazňuje potřebu silného solidárního rámce, který zabrání bankovní panice;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vyzývá Komisi, aby upřednostnila dokončení bankovní unie a unie úspor a investic; zdůrazňuje jejich význam pro občany, malé a střední podniky a reálnou ekonomiku, neboť podporují udržitelnou prosperitu, kvalitní pracovní místa a finanční stabilitu; zdůrazňuje potřebu silného solidárního rámce, který zabrání bankovní panice;</w:t>
            </w:r>
          </w:p>
        </w:tc>
        <w:tc>
          <w:tcPr>
            <w:tcW w:w="4876" w:type="dxa"/>
            <w:tcBorders>
              <w:top w:val="nil"/>
              <w:left w:val="nil"/>
              <w:bottom w:val="nil"/>
              <w:right w:val="nil"/>
            </w:tcBorders>
          </w:tcPr>
          <w:p>
            <w:pPr>
              <w:pStyle w:val="Normal6a"/>
            </w:pPr>
            <w:r>
              <w:t>2.</w:t>
            </w:r>
            <w:r>
              <w:tab/>
            </w:r>
            <w:r>
              <w:t xml:space="preserve">vyzývá Komisi, aby upřednostnila dokončení bankovní unie a unie úspor a investic; zdůrazňuje jejich význam pro občany, malé a střední podniky a reálnou ekonomiku, neboť podporují udržitelnou prosperitu, kvalitní pracovní místa a finanční stabilitu; zdůrazňuje potřebu silného solidárního rámce, který zabrání bankovní panice; </w:t>
            </w:r>
            <w:r>
              <w:rPr>
                <w:b/>
                <w:i/>
              </w:rPr>
              <w:t>zdůrazňuje, že dokončení unie kapitálových trhů spolu s rozvojem bankovní unie pomůže vytvořit lepší podmínky pro financování evropského hospodářství, a to jak pro domácnosti, tak pro podniky, které jsou stále do značné míry závislé na bankovních úvěrech, pokud jde o investice a tvorbu pracovních míst, a zároveň se tak přispěje k odolnosti evropského hospodářství;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zdůrazňuje, že úrokové sazby nabízené domácnostem a malým a středním podnikům v členských státech jsou velmi rozdílné;</w:t>
            </w:r>
            <w:r>
              <w:t xml:space="preserve"> </w:t>
            </w:r>
            <w:r>
              <w:rPr>
                <w:b/>
                <w:i/>
              </w:rPr>
              <w:t>naléhavě vyzývá Komisi a orgány bankovního dohledu, aby zvážily, zda není třeba přijmout opatření k zajištění toho, aby všichni občané a podniky měli přístup k tolik potřebnému kapitálu za spravedlivé a konkurenceschopné sazby;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zdůrazňuje úlohu bankovního sektoru při financování přechodu na uhlíkově neutrální hospodářství;</w:t>
            </w:r>
            <w:r>
              <w:t xml:space="preserve"> </w:t>
            </w:r>
            <w:r>
              <w:rPr>
                <w:b/>
                <w:i/>
              </w:rPr>
              <w:t>vyzývá k přísnějším pokynům v oblasti dohledu, aby finanční instituce byly v souladu s cíli EU v oblasti klimatu;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zdůrazňuje úlohu bankovního sektoru při financování přechodu na uhlíkově neutrální hospodářství;</w:t>
            </w:r>
            <w:r>
              <w:t xml:space="preserve"> </w:t>
            </w:r>
            <w:r>
              <w:rPr>
                <w:b/>
                <w:i/>
              </w:rPr>
              <w:t>vyzývá k přísnějším pokynům v oblasti dohledu, aby finanční instituce byly v souladu s cíli EU v oblasti klimatu;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zdůrazňuje úlohu bankovního sektoru při financování přechodu na uhlíkově neutrální hospodářství;</w:t>
            </w:r>
            <w:r>
              <w:t xml:space="preserve"> </w:t>
            </w:r>
            <w:r>
              <w:rPr>
                <w:b/>
                <w:i/>
              </w:rPr>
              <w:t>vyzývá k přísnějším pokynům v oblasti dohledu, aby finanční instituce byly v souladu s cíli EU v oblasti klimatu;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zdůrazňuje úlohu bankovního sektoru při financování přechodu na uhlíkově neutrální hospodářství;</w:t>
            </w:r>
            <w:r>
              <w:t xml:space="preserve"> </w:t>
            </w:r>
            <w:r>
              <w:rPr>
                <w:b/>
                <w:i/>
              </w:rPr>
              <w:t>vyzývá k přísnějším pokynům v oblasti dohledu, aby finanční instituce byly v souladu s cíli EU v oblasti klimatu;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zdůrazňuje úlohu bankovního sektoru při financování </w:t>
            </w:r>
            <w:r>
              <w:rPr>
                <w:b/>
                <w:i/>
              </w:rPr>
              <w:t>přechodu na uhlíkově neutrální hospodářství</w:t>
            </w:r>
            <w:r>
              <w:t xml:space="preserve">; </w:t>
            </w:r>
            <w:r>
              <w:rPr>
                <w:b/>
                <w:i/>
              </w:rPr>
              <w:t>vyzývá k přísnějším pokynům v oblasti dohledu, aby finanční instituce byly v souladu s cíli EU v oblasti klimatu;</w:t>
            </w:r>
          </w:p>
        </w:tc>
        <w:tc>
          <w:tcPr>
            <w:tcW w:w="4876" w:type="dxa"/>
            <w:tcBorders>
              <w:top w:val="nil"/>
              <w:left w:val="nil"/>
              <w:bottom w:val="nil"/>
              <w:right w:val="nil"/>
            </w:tcBorders>
          </w:tcPr>
          <w:p>
            <w:pPr>
              <w:pStyle w:val="Normal6a"/>
            </w:pPr>
            <w:r>
              <w:t>3.</w:t>
            </w:r>
            <w:r>
              <w:tab/>
            </w:r>
            <w:r>
              <w:t xml:space="preserve">zdůrazňuje úlohu bankovního sektoru při financování </w:t>
            </w:r>
            <w:r>
              <w:rPr>
                <w:b/>
                <w:i/>
              </w:rPr>
              <w:t>digitální transformace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zdůrazňuje </w:t>
            </w:r>
            <w:r>
              <w:rPr>
                <w:b/>
                <w:i/>
              </w:rPr>
              <w:t>úlohu bankovního sektoru při</w:t>
            </w:r>
            <w:r>
              <w:t xml:space="preserve"> financování </w:t>
            </w:r>
            <w:r>
              <w:rPr>
                <w:b/>
                <w:i/>
              </w:rPr>
              <w:t>přechodu na uhlíkově neutrální hospodářství;</w:t>
            </w:r>
            <w:r>
              <w:t xml:space="preserve"> </w:t>
            </w:r>
            <w:r>
              <w:rPr>
                <w:b/>
                <w:i/>
              </w:rPr>
              <w:t>vyzývá k přísnějším pokynům v oblasti dohledu, aby finanční instituce byly v souladu s cíli EU v oblasti klimatu</w:t>
            </w:r>
            <w:r>
              <w:t>;</w:t>
            </w:r>
          </w:p>
        </w:tc>
        <w:tc>
          <w:tcPr>
            <w:tcW w:w="4876" w:type="dxa"/>
            <w:tcBorders>
              <w:top w:val="nil"/>
              <w:left w:val="nil"/>
              <w:bottom w:val="nil"/>
              <w:right w:val="nil"/>
            </w:tcBorders>
          </w:tcPr>
          <w:p>
            <w:pPr>
              <w:pStyle w:val="Normal6a"/>
            </w:pPr>
            <w:r>
              <w:t>3.</w:t>
            </w:r>
            <w:r>
              <w:tab/>
            </w:r>
            <w:r>
              <w:t>zdůrazňuje</w:t>
            </w:r>
            <w:r>
              <w:rPr>
                <w:b/>
                <w:i/>
              </w:rPr>
              <w:t>, že právní předpisy v oblasti</w:t>
            </w:r>
            <w:r>
              <w:t xml:space="preserve"> financování </w:t>
            </w:r>
            <w:r>
              <w:rPr>
                <w:b/>
                <w:i/>
              </w:rPr>
              <w:t>ekologických opatření by neměly nahrazovat mechanismy pro ověřování úvěruschopnosti, tradiční posuzování rizik nebo určování cen, které tvoří základ řádných postupů pro přijímání rozhodnutí o poskytování úvěrů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zdůrazňuje úlohu bankovního sektoru při financování </w:t>
            </w:r>
            <w:r>
              <w:rPr>
                <w:b/>
                <w:i/>
              </w:rPr>
              <w:t>přechodu na uhlíkově neutrální hospodářství;</w:t>
            </w:r>
            <w:r>
              <w:t xml:space="preserve"> </w:t>
            </w:r>
            <w:r>
              <w:rPr>
                <w:b/>
                <w:i/>
              </w:rPr>
              <w:t>vyzývá k přísnějším pokynům v oblasti dohledu, aby finanční instituce byly v souladu s cíli EU</w:t>
            </w:r>
            <w:r>
              <w:t xml:space="preserve"> v oblasti </w:t>
            </w:r>
            <w:r>
              <w:rPr>
                <w:b/>
                <w:i/>
              </w:rPr>
              <w:t>klimatu</w:t>
            </w:r>
            <w:r>
              <w:t>;</w:t>
            </w:r>
          </w:p>
        </w:tc>
        <w:tc>
          <w:tcPr>
            <w:tcW w:w="4876" w:type="dxa"/>
            <w:tcBorders>
              <w:top w:val="nil"/>
              <w:left w:val="nil"/>
              <w:bottom w:val="nil"/>
              <w:right w:val="nil"/>
            </w:tcBorders>
          </w:tcPr>
          <w:p>
            <w:pPr>
              <w:pStyle w:val="Normal6a"/>
            </w:pPr>
            <w:r>
              <w:t>3.</w:t>
            </w:r>
            <w:r>
              <w:tab/>
            </w:r>
            <w:r>
              <w:t xml:space="preserve">zdůrazňuje úlohu bankovního sektoru při financování </w:t>
            </w:r>
            <w:r>
              <w:rPr>
                <w:b/>
                <w:i/>
              </w:rPr>
              <w:t>souběžné transformace;</w:t>
            </w:r>
            <w:r>
              <w:t xml:space="preserve"> </w:t>
            </w:r>
            <w:r>
              <w:rPr>
                <w:b/>
                <w:i/>
              </w:rPr>
              <w:t>zdůrazňuje, že je třeba zjednodušit rámec EU pro udržitelné financování s cílem zajistit soudržnost, omezit zdvojování činností a sladit povinnosti</w:t>
            </w:r>
            <w:r>
              <w:t xml:space="preserve"> v oblasti </w:t>
            </w:r>
            <w:r>
              <w:rPr>
                <w:b/>
                <w:i/>
              </w:rPr>
              <w:t>bankovnictví, zveřejňování informací a řízení rizik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zdůrazňuje úlohu bankovního sektoru při financování </w:t>
            </w:r>
            <w:r>
              <w:rPr>
                <w:b/>
                <w:i/>
              </w:rPr>
              <w:t>přechodu na uhlíkově neutrální hospodářství</w:t>
            </w:r>
            <w:r>
              <w:t xml:space="preserve">; </w:t>
            </w:r>
            <w:r>
              <w:rPr>
                <w:b/>
                <w:i/>
              </w:rPr>
              <w:t>vyzývá k přísnějším pokynům v oblasti dohledu, aby finanční instituce byly v souladu s cíli EU v oblasti klimatu;</w:t>
            </w:r>
          </w:p>
        </w:tc>
        <w:tc>
          <w:tcPr>
            <w:tcW w:w="4876" w:type="dxa"/>
            <w:tcBorders>
              <w:top w:val="nil"/>
              <w:left w:val="nil"/>
              <w:bottom w:val="nil"/>
              <w:right w:val="nil"/>
            </w:tcBorders>
          </w:tcPr>
          <w:p>
            <w:pPr>
              <w:pStyle w:val="Normal6a"/>
            </w:pPr>
            <w:r>
              <w:t>3.</w:t>
            </w:r>
            <w:r>
              <w:tab/>
            </w:r>
            <w:r>
              <w:t xml:space="preserve">zdůrazňuje úlohu bankovního sektoru při financování </w:t>
            </w:r>
            <w:r>
              <w:rPr>
                <w:b/>
                <w:i/>
              </w:rPr>
              <w:t>souběžné transformace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zdůrazňuje</w:t>
            </w:r>
            <w:r>
              <w:t xml:space="preserve"> úlohu bankovního sektoru při </w:t>
            </w:r>
            <w:r>
              <w:rPr>
                <w:b/>
                <w:i/>
              </w:rPr>
              <w:t>financování přechodu na uhlíkově neutrální hospodářství</w:t>
            </w:r>
            <w:r>
              <w:t>; vyzývá k přísnějším pokynům v oblasti dohledu, aby finanční instituce byly v souladu s </w:t>
            </w:r>
            <w:r>
              <w:rPr>
                <w:b/>
                <w:i/>
              </w:rPr>
              <w:t>cíli EU</w:t>
            </w:r>
            <w:r>
              <w:t xml:space="preserve"> v oblasti </w:t>
            </w:r>
            <w:r>
              <w:rPr>
                <w:b/>
                <w:i/>
              </w:rPr>
              <w:t>klimatu</w:t>
            </w:r>
            <w:r>
              <w:t>;</w:t>
            </w:r>
          </w:p>
        </w:tc>
        <w:tc>
          <w:tcPr>
            <w:tcW w:w="4876" w:type="dxa"/>
            <w:tcBorders>
              <w:top w:val="nil"/>
              <w:left w:val="nil"/>
              <w:bottom w:val="nil"/>
              <w:right w:val="nil"/>
            </w:tcBorders>
          </w:tcPr>
          <w:p>
            <w:pPr>
              <w:pStyle w:val="Normal6a"/>
            </w:pPr>
            <w:r>
              <w:t>3.</w:t>
            </w:r>
            <w:r>
              <w:tab/>
            </w:r>
            <w:r>
              <w:rPr>
                <w:b/>
                <w:i/>
              </w:rPr>
              <w:t>uznává</w:t>
            </w:r>
            <w:r>
              <w:t xml:space="preserve"> úlohu bankovního sektoru při </w:t>
            </w:r>
            <w:r>
              <w:rPr>
                <w:b/>
                <w:i/>
              </w:rPr>
              <w:t>podpoře finančních potřeb reálné ekonomiky, včetně investic souvisejících s přechodem na konkurenceschopnější ekonomiku</w:t>
            </w:r>
            <w:r>
              <w:t xml:space="preserve">; vyzývá k přísnějším pokynům v oblasti dohledu, aby finanční instituce byly v souladu s </w:t>
            </w:r>
            <w:r>
              <w:rPr>
                <w:b/>
                <w:i/>
              </w:rPr>
              <w:t>agendou pro hospodářskou konkurenceschopnost;</w:t>
            </w:r>
            <w:r>
              <w:t xml:space="preserve"> </w:t>
            </w:r>
            <w:r>
              <w:rPr>
                <w:b/>
                <w:i/>
              </w:rPr>
              <w:t>zdůrazňuje, že opatření dohledu</w:t>
            </w:r>
            <w:r>
              <w:t xml:space="preserve"> v oblasti </w:t>
            </w:r>
            <w:r>
              <w:rPr>
                <w:b/>
                <w:i/>
              </w:rPr>
              <w:t>udržitelnosti by měla zůstat pevně založena na posuzování rizik a provádění zásad obezřetnosti, přičemž by se měla zaměřovat na identifikaci, posuzování a řízení významných finančních rizik souvisejících s klimatem, aniž by byla narušena neutralita trhu nebo primární cíle finanční stability a řádného řízení rizik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zdůrazňuje úlohu bankovního sektoru při financování přechodu na uhlíkově neutrální hospodářství; vyzývá k přísnějším pokynům v oblasti dohledu, aby finanční instituce byly v souladu s cíli EU v oblasti klimatu;</w:t>
            </w:r>
          </w:p>
        </w:tc>
        <w:tc>
          <w:tcPr>
            <w:tcW w:w="4876" w:type="dxa"/>
            <w:tcBorders>
              <w:top w:val="nil"/>
              <w:left w:val="nil"/>
              <w:bottom w:val="nil"/>
              <w:right w:val="nil"/>
            </w:tcBorders>
          </w:tcPr>
          <w:p>
            <w:pPr>
              <w:pStyle w:val="Normal6a"/>
            </w:pPr>
            <w:r>
              <w:t>3.</w:t>
            </w:r>
            <w:r>
              <w:tab/>
            </w:r>
            <w:r>
              <w:t>zdůrazňuje úlohu bankovního sektoru při financování přechodu na uhlíkově neutrální hospodářství</w:t>
            </w:r>
            <w:r>
              <w:rPr>
                <w:b/>
                <w:i/>
              </w:rPr>
              <w:t>;</w:t>
            </w:r>
            <w:r>
              <w:t xml:space="preserve"> </w:t>
            </w:r>
            <w:r>
              <w:rPr>
                <w:b/>
                <w:i/>
              </w:rPr>
              <w:t>vyzývá Komisi, aby předložila návrh na plné začlenění rizik týkajících se udržitelnosti do obezřetnostního rámce, mimo jiné stanovením vyšších kapitálových požadavků na expozice vůči fosilním palivům, jak doporučuje Evropský orgán pro pojišťovnictví a zaměstnanecké penzijní pojištění</w:t>
            </w:r>
            <w:r>
              <w:t>; vyzývá k přísnějším pokynům v oblasti dohledu, aby finanční instituce byly v souladu s cíli EU v oblasti klimatu</w:t>
            </w:r>
            <w:r>
              <w:rPr>
                <w:b/>
                <w:i/>
              </w:rPr>
              <w:t>, a to i s využitím požadavků stanovených v druhém pilíři</w:t>
            </w:r>
            <w:r>
              <w:t xml:space="preserve">; </w:t>
            </w:r>
            <w:r>
              <w:rPr>
                <w:b/>
                <w:i/>
              </w:rPr>
              <w:t>zdůrazňuje, že k dosažení těchto cílů je nezbytný důvěryhodný taxonomický rámec;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domnívá se, že integrovaná bankovní unie musí být podmíněna dobře fungujícím jednotným trhem retailových finančních služeb;</w:t>
            </w:r>
            <w:r>
              <w:t xml:space="preserve"> </w:t>
            </w:r>
            <w:r>
              <w:rPr>
                <w:b/>
                <w:i/>
              </w:rPr>
              <w:t>vyzývá Komisi, aby posoudila překážky, které spotřebitelům vznikají při přeshraničním využívání retailových bankovních produktů, jako jsou hypoteční úvěry, a aby navrhla řešení, která zajistí, že spotřebitelé budou moci využívat retailové finanční služby na přeshraničním základě;</w:t>
            </w:r>
            <w:r>
              <w:t xml:space="preserve"> </w:t>
            </w:r>
            <w:r>
              <w:rPr>
                <w:b/>
                <w:i/>
              </w:rPr>
              <w:t>konstatuje velké rozdíly v úrokových sazbách hypoték napříč Unií;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podtrhuje klíčovou úlohu bankovního sektoru jako hlavního věřitele v EU při odstraňování prohlubujících se rozdílů v konkurenceschopnosti ve srovnání s ostatními regiony;</w:t>
            </w:r>
            <w:r>
              <w:t xml:space="preserve"> </w:t>
            </w:r>
            <w:r>
              <w:rPr>
                <w:b/>
                <w:i/>
              </w:rPr>
              <w:t>připomíná význam bankovního sektoru při financování evropských malých a středních podniků s ohledem na měnící se situaci na kapitálových trzích;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s politováním konstatuje, že stále existují překážky pro poskytování přeshraničních služeb retailového bankovnictví;</w:t>
            </w:r>
            <w:r>
              <w:t xml:space="preserve"> </w:t>
            </w:r>
            <w:r>
              <w:rPr>
                <w:b/>
                <w:i/>
              </w:rPr>
              <w:t>zdůrazňuje, že integrovaná bankovní unie může zlepšit hospodářskou soutěž a možnost volby pro spotřebitele v oblasti retailového bankovnictví, a to i díky lepším možnostem poskytování přeshraničních retailových bankovních služeb;</w:t>
            </w:r>
            <w:r>
              <w:t xml:space="preserve"> </w:t>
            </w:r>
            <w:r>
              <w:rPr>
                <w:b/>
                <w:i/>
              </w:rPr>
              <w:t>vyzdvihuje výhody diverzifikovaného a konkurenceschopného bankovního sektoru v Evropě;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vítá pokrok v oblasti</w:t>
            </w:r>
            <w:r>
              <w:t xml:space="preserve"> digitálního eura </w:t>
            </w:r>
            <w:r>
              <w:rPr>
                <w:b/>
                <w:i/>
              </w:rPr>
              <w:t>a jeho potenciál být doplňkem hotovosti a zároveň posílit</w:t>
            </w:r>
            <w:r>
              <w:t xml:space="preserve"> finanční </w:t>
            </w:r>
            <w:r>
              <w:rPr>
                <w:b/>
                <w:i/>
              </w:rPr>
              <w:t>suverenitu a autonomii EU</w:t>
            </w:r>
            <w:r>
              <w:t>;</w:t>
            </w:r>
          </w:p>
        </w:tc>
        <w:tc>
          <w:tcPr>
            <w:tcW w:w="4876" w:type="dxa"/>
            <w:tcBorders>
              <w:top w:val="nil"/>
              <w:left w:val="nil"/>
              <w:bottom w:val="nil"/>
              <w:right w:val="nil"/>
            </w:tcBorders>
          </w:tcPr>
          <w:p>
            <w:pPr>
              <w:pStyle w:val="Normal6a"/>
            </w:pPr>
            <w:r>
              <w:t>4.</w:t>
            </w:r>
            <w:r>
              <w:tab/>
            </w:r>
            <w:r>
              <w:rPr>
                <w:b/>
                <w:i/>
              </w:rPr>
              <w:t>vyjadřuje hlubokou skepsi, pokud jde o dopad</w:t>
            </w:r>
            <w:r>
              <w:t xml:space="preserve"> digitálního eura </w:t>
            </w:r>
            <w:r>
              <w:rPr>
                <w:b/>
                <w:i/>
              </w:rPr>
              <w:t>na bankovní vklady a</w:t>
            </w:r>
            <w:r>
              <w:t xml:space="preserve"> finanční </w:t>
            </w:r>
            <w:r>
              <w:rPr>
                <w:b/>
                <w:i/>
              </w:rPr>
              <w:t>zprostředkování;</w:t>
            </w:r>
            <w:r>
              <w:t xml:space="preserve"> </w:t>
            </w:r>
            <w:r>
              <w:rPr>
                <w:b/>
                <w:i/>
              </w:rPr>
              <w:t>vyzývá k přijetí přísných limitů a záruk, které zabrání přesunu soukromých bankovních vkladů a zachovají kapacitu bank pro zprostředkování úvěrů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vítá</w:t>
            </w:r>
            <w:r>
              <w:t xml:space="preserve"> pokrok v oblasti digitálního eura a </w:t>
            </w:r>
            <w:r>
              <w:rPr>
                <w:b/>
                <w:i/>
              </w:rPr>
              <w:t>jeho potenciál být doplňkem hotovosti a zároveň posílit finanční suverenitu a autonomii</w:t>
            </w:r>
            <w:r>
              <w:t xml:space="preserve"> EU;</w:t>
            </w:r>
          </w:p>
        </w:tc>
        <w:tc>
          <w:tcPr>
            <w:tcW w:w="4876" w:type="dxa"/>
            <w:tcBorders>
              <w:top w:val="nil"/>
              <w:left w:val="nil"/>
              <w:bottom w:val="nil"/>
              <w:right w:val="nil"/>
            </w:tcBorders>
          </w:tcPr>
          <w:p>
            <w:pPr>
              <w:pStyle w:val="Normal6a"/>
            </w:pPr>
            <w:r>
              <w:t>4.</w:t>
            </w:r>
            <w:r>
              <w:tab/>
            </w:r>
            <w:r>
              <w:rPr>
                <w:b/>
                <w:i/>
              </w:rPr>
              <w:t>bere na vědomí</w:t>
            </w:r>
            <w:r>
              <w:t xml:space="preserve"> pokrok v oblasti digitálního eura a </w:t>
            </w:r>
            <w:r>
              <w:rPr>
                <w:b/>
                <w:i/>
              </w:rPr>
              <w:t>je si vědom výzev a potenciálních hrozeb, které tento projekt může představovat pro likviditu a stabilitu bankovního sektoru</w:t>
            </w:r>
            <w:r>
              <w:t xml:space="preserv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vítá</w:t>
            </w:r>
            <w:r>
              <w:t xml:space="preserve"> pokrok v oblasti digitálního eura a jeho potenciál být doplňkem hotovosti a zároveň posílit finanční suverenitu a autonomii EU;</w:t>
            </w:r>
          </w:p>
        </w:tc>
        <w:tc>
          <w:tcPr>
            <w:tcW w:w="4876" w:type="dxa"/>
            <w:tcBorders>
              <w:top w:val="nil"/>
              <w:left w:val="nil"/>
              <w:bottom w:val="nil"/>
              <w:right w:val="nil"/>
            </w:tcBorders>
          </w:tcPr>
          <w:p>
            <w:pPr>
              <w:pStyle w:val="Normal6a"/>
            </w:pPr>
            <w:r>
              <w:t>4.</w:t>
            </w:r>
            <w:r>
              <w:tab/>
            </w:r>
            <w:r>
              <w:rPr>
                <w:b/>
                <w:i/>
              </w:rPr>
              <w:t>vnímá</w:t>
            </w:r>
            <w:r>
              <w:t xml:space="preserve"> pokrok v oblasti digitálního eura a jeho potenciál být doplňkem hotovosti a zároveň posílit finanční suverenitu a autonomii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vítá pokrok v oblasti digitálního eura </w:t>
            </w:r>
            <w:r>
              <w:rPr>
                <w:b/>
                <w:i/>
              </w:rPr>
              <w:t>a</w:t>
            </w:r>
            <w:r>
              <w:t xml:space="preserve"> jeho </w:t>
            </w:r>
            <w:r>
              <w:rPr>
                <w:b/>
                <w:i/>
              </w:rPr>
              <w:t>potenciál být doplňkem hotovosti</w:t>
            </w:r>
            <w:r>
              <w:t xml:space="preserve"> a zároveň </w:t>
            </w:r>
            <w:r>
              <w:rPr>
                <w:b/>
                <w:i/>
              </w:rPr>
              <w:t>posílit</w:t>
            </w:r>
            <w:r>
              <w:t xml:space="preserve"> finanční suverenitu a autonomii EU;</w:t>
            </w:r>
          </w:p>
        </w:tc>
        <w:tc>
          <w:tcPr>
            <w:tcW w:w="4876" w:type="dxa"/>
            <w:tcBorders>
              <w:top w:val="nil"/>
              <w:left w:val="nil"/>
              <w:bottom w:val="nil"/>
              <w:right w:val="nil"/>
            </w:tcBorders>
          </w:tcPr>
          <w:p>
            <w:pPr>
              <w:pStyle w:val="Normal6a"/>
            </w:pPr>
            <w:r>
              <w:t>4.</w:t>
            </w:r>
            <w:r>
              <w:tab/>
            </w:r>
            <w:r>
              <w:t xml:space="preserve">vítá pokrok v oblasti </w:t>
            </w:r>
            <w:r>
              <w:rPr>
                <w:b/>
                <w:i/>
              </w:rPr>
              <w:t>velkoobchodního</w:t>
            </w:r>
            <w:r>
              <w:t xml:space="preserve"> digitálního eura </w:t>
            </w:r>
            <w:r>
              <w:rPr>
                <w:b/>
                <w:i/>
              </w:rPr>
              <w:t>díky</w:t>
            </w:r>
            <w:r>
              <w:t xml:space="preserve"> jeho </w:t>
            </w:r>
            <w:r>
              <w:rPr>
                <w:b/>
                <w:i/>
              </w:rPr>
              <w:t>přínosům z hlediska účinnosti, přeshraničního vypořádávání a integrace finančního trhu;</w:t>
            </w:r>
            <w:r>
              <w:t xml:space="preserve"> </w:t>
            </w:r>
            <w:r>
              <w:rPr>
                <w:b/>
                <w:i/>
              </w:rPr>
              <w:t>zdůrazňuje, že maloobchodní digitální euro by mělo výhradně doplňovat hotovost, respektovat stávající strukturu trhu a zabránit vytěsňování soukromých platebních řešení, která již přinášejí inovace a účinnost v celé Unii,</w:t>
            </w:r>
            <w:r>
              <w:t xml:space="preserve"> a zároveň </w:t>
            </w:r>
            <w:r>
              <w:rPr>
                <w:b/>
                <w:i/>
              </w:rPr>
              <w:t>posilovat</w:t>
            </w:r>
            <w:r>
              <w:t xml:space="preserve"> finanční suverenitu a autonomii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vítá pokrok v oblasti digitálního eura </w:t>
            </w:r>
            <w:r>
              <w:rPr>
                <w:b/>
                <w:i/>
              </w:rPr>
              <w:t>a jeho</w:t>
            </w:r>
            <w:r>
              <w:t xml:space="preserve"> potenciál být doplňkem hotovosti a zároveň posílit finanční suverenitu a autonomii EU;</w:t>
            </w:r>
          </w:p>
        </w:tc>
        <w:tc>
          <w:tcPr>
            <w:tcW w:w="4876" w:type="dxa"/>
            <w:tcBorders>
              <w:top w:val="nil"/>
              <w:left w:val="nil"/>
              <w:bottom w:val="nil"/>
              <w:right w:val="nil"/>
            </w:tcBorders>
          </w:tcPr>
          <w:p>
            <w:pPr>
              <w:pStyle w:val="Normal6a"/>
            </w:pPr>
            <w:r>
              <w:t>4.</w:t>
            </w:r>
            <w:r>
              <w:tab/>
            </w:r>
            <w:r>
              <w:t xml:space="preserve">vítá pokrok v oblasti </w:t>
            </w:r>
            <w:r>
              <w:rPr>
                <w:b/>
                <w:i/>
              </w:rPr>
              <w:t>velkoobchodního i maloobchodního</w:t>
            </w:r>
            <w:r>
              <w:t xml:space="preserve"> digitálního eura</w:t>
            </w:r>
            <w:r>
              <w:rPr>
                <w:b/>
                <w:i/>
              </w:rPr>
              <w:t>;</w:t>
            </w:r>
            <w:r>
              <w:t xml:space="preserve"> </w:t>
            </w:r>
            <w:r>
              <w:rPr>
                <w:b/>
                <w:i/>
              </w:rPr>
              <w:t>vítá</w:t>
            </w:r>
            <w:r>
              <w:t xml:space="preserve"> potenciál </w:t>
            </w:r>
            <w:r>
              <w:rPr>
                <w:b/>
                <w:i/>
              </w:rPr>
              <w:t>digitálního eura</w:t>
            </w:r>
            <w:r>
              <w:t xml:space="preserve"> být doplňkem hotovosti a zároveň posílit finanční suverenitu a autonomii EU; </w:t>
            </w:r>
            <w:r>
              <w:rPr>
                <w:b/>
                <w:i/>
              </w:rPr>
              <w:t>oceňuje, že Rada v prosinci 2025 formulovala svůj postoj ve věci maloobchodního digitálního eura, a vyzývá Parlament, aby co nejdříve finalizoval svůj ambiciózní postoj;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vítá pokrok v oblasti digitálního eura a jeho potenciál být doplňkem hotovosti a zároveň posílit finanční suverenitu a autonomii EU;</w:t>
            </w:r>
          </w:p>
        </w:tc>
        <w:tc>
          <w:tcPr>
            <w:tcW w:w="4876" w:type="dxa"/>
            <w:tcBorders>
              <w:top w:val="nil"/>
              <w:left w:val="nil"/>
              <w:bottom w:val="nil"/>
              <w:right w:val="nil"/>
            </w:tcBorders>
          </w:tcPr>
          <w:p>
            <w:pPr>
              <w:pStyle w:val="Normal6a"/>
            </w:pPr>
            <w:r>
              <w:t>4.</w:t>
            </w:r>
            <w:r>
              <w:tab/>
            </w:r>
            <w:r>
              <w:t xml:space="preserve">vítá pokrok v oblasti digitálního eura a jeho potenciál být doplňkem hotovosti a zároveň posílit finanční suverenitu a autonomii EU </w:t>
            </w:r>
            <w:r>
              <w:rPr>
                <w:b/>
                <w:i/>
              </w:rPr>
              <w:t>a přispět k finanční inkluzivitě</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vítá skutečnost, že se bankovní sektor přizpůsobuje výzvám a příležitostem digitalizace, což bankám umožní lépe sloužit svým zákazníkům;</w:t>
            </w:r>
            <w:r>
              <w:t xml:space="preserve"> </w:t>
            </w:r>
            <w:r>
              <w:rPr>
                <w:b/>
                <w:i/>
              </w:rPr>
              <w:t>vybízí banky, aby dále využívaly příležitostí, které skýtá digitalizace, a zároveň zachovávaly vysokou úroveň ochrany spotřebitelů a investorů prostřednictvím investic do IT systémů, výzkumu a vývoje, plného provádění požadavků podle nařízení DORA a rozvoje regulačního rámce, který bude vhodně reagovat na trendy digitalizace a bude založen na technologické neutralitě;</w:t>
            </w:r>
            <w:r>
              <w:t xml:space="preserve"> </w:t>
            </w:r>
            <w:r>
              <w:rPr>
                <w:b/>
                <w:i/>
              </w:rPr>
              <w:t>vítá, že bylo pokročeno v práci na balíčku týkajícím se digitálních financí;</w:t>
            </w:r>
            <w:r>
              <w:t xml:space="preserve"> </w:t>
            </w:r>
            <w:r>
              <w:rPr>
                <w:b/>
                <w:i/>
              </w:rPr>
              <w:t>domnívá se, že ochrana spotřebitelů musí být posílena v digitálním kontextu a že finanční začlenění by mělo být prioritou, zejména prostřednictvím lepší digitální a finanční gramotnosti;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Fernand Kartheiser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lituje přetrvávající genderové nevyváženosti ve finančních institucích, zejména v jejich vedení;</w:t>
            </w:r>
            <w:r>
              <w:t xml:space="preserve"> </w:t>
            </w:r>
            <w:r>
              <w:rPr>
                <w:b/>
                <w:i/>
              </w:rPr>
              <w:t>zdůrazňuje, že rozmanitost ve vedení a lepší přístup k financování pro podniky vedené ženami</w:t>
            </w:r>
            <w:r>
              <w:rPr>
                <w:b/>
                <w:i/>
                <w:vertAlign w:val="superscript"/>
              </w:rPr>
              <w:t>13</w:t>
            </w:r>
            <w:r>
              <w:rPr>
                <w:b/>
                <w:i/>
              </w:rPr>
              <w:t>zlepšují správu, inovace a hospodářskou výkonnost;</w:t>
            </w:r>
            <w:r>
              <w:t xml:space="preserve"> </w:t>
            </w:r>
            <w:r>
              <w:rPr>
                <w:b/>
                <w:i/>
              </w:rPr>
              <w:t>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Evropský institut pro rovnost žen a mužů, Gender in entrepreneurship(Gender v podnikání), 2017, s.</w:t>
            </w:r>
            <w:r>
              <w:t xml:space="preserve"> </w:t>
            </w:r>
            <w:r>
              <w:rPr>
                <w:b/>
                <w:i/>
              </w:rPr>
              <w:t>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lituje přetrvávající genderové nevyváženosti ve finančních institucích, zejména v jejich vedení;</w:t>
            </w:r>
            <w:r>
              <w:t xml:space="preserve"> </w:t>
            </w:r>
            <w:r>
              <w:rPr>
                <w:b/>
                <w:i/>
              </w:rPr>
              <w:t>zdůrazňuje, že rozmanitost ve vedení a lepší přístup k financování pro podniky vedené ženami</w:t>
            </w:r>
            <w:r>
              <w:rPr>
                <w:b/>
                <w:i/>
                <w:vertAlign w:val="superscript"/>
              </w:rPr>
              <w:t>13</w:t>
            </w:r>
            <w:r>
              <w:rPr>
                <w:b/>
                <w:i/>
              </w:rPr>
              <w:t>zlepšují správu, inovace a hospodářskou výkonnost;</w:t>
            </w:r>
            <w:r>
              <w:t xml:space="preserve"> </w:t>
            </w:r>
            <w:r>
              <w:rPr>
                <w:b/>
                <w:i/>
              </w:rPr>
              <w:t>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Evropský institut pro rovnost žen a mužů, Gender in entrepreneurship(Gender v podnikání), 2017, s.</w:t>
            </w:r>
            <w:r>
              <w:t xml:space="preserve"> </w:t>
            </w:r>
            <w:r>
              <w:rPr>
                <w:b/>
                <w:i/>
              </w:rPr>
              <w:t>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lituje přetrvávající genderové nevyváženosti ve finančních institucích, zejména v jejich vedení;</w:t>
            </w:r>
            <w:r>
              <w:t xml:space="preserve"> </w:t>
            </w:r>
            <w:r>
              <w:rPr>
                <w:b/>
                <w:i/>
              </w:rPr>
              <w:t>zdůrazňuje, že rozmanitost ve vedení a lepší přístup k financování pro podniky vedené ženami</w:t>
            </w:r>
            <w:r>
              <w:rPr>
                <w:b/>
                <w:i/>
                <w:vertAlign w:val="superscript"/>
              </w:rPr>
              <w:t>13</w:t>
            </w:r>
            <w:r>
              <w:rPr>
                <w:b/>
                <w:i/>
              </w:rPr>
              <w:t>zlepšují správu, inovace a hospodářskou výkonnost;</w:t>
            </w:r>
            <w:r>
              <w:t xml:space="preserve"> </w:t>
            </w:r>
            <w:r>
              <w:rPr>
                <w:b/>
                <w:i/>
              </w:rPr>
              <w:t>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Evropský institut pro rovnost žen a mužů, Gender in entrepreneurship(Gender v podnikání), 2017, s.</w:t>
            </w:r>
            <w:r>
              <w:t xml:space="preserve"> </w:t>
            </w:r>
            <w:r>
              <w:rPr>
                <w:b/>
                <w:i/>
              </w:rPr>
              <w:t>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lituje přetrvávající genderové nevyváženosti ve finančních institucích, zejména v jejich vedení;</w:t>
            </w:r>
            <w:r>
              <w:t xml:space="preserve"> </w:t>
            </w:r>
            <w:r>
              <w:rPr>
                <w:b/>
                <w:i/>
              </w:rPr>
              <w:t>zdůrazňuje, že rozmanitost ve vedení a lepší přístup k financování pro podniky vedené ženami</w:t>
            </w:r>
            <w:r>
              <w:rPr>
                <w:b/>
                <w:i/>
                <w:vertAlign w:val="superscript"/>
              </w:rPr>
              <w:t>13</w:t>
            </w:r>
            <w:r>
              <w:rPr>
                <w:b/>
                <w:i/>
              </w:rPr>
              <w:t>zlepšují správu, inovace a hospodářskou výkonnost;</w:t>
            </w:r>
            <w:r>
              <w:t xml:space="preserve"> </w:t>
            </w:r>
            <w:r>
              <w:rPr>
                <w:b/>
                <w:i/>
              </w:rPr>
              <w:t>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Evropský institut pro rovnost žen a mužů, Gender in entrepreneurship(Gender v podnikání), 2017, s.</w:t>
            </w:r>
            <w:r>
              <w:t xml:space="preserve"> </w:t>
            </w:r>
            <w:r>
              <w:rPr>
                <w:b/>
                <w:i/>
              </w:rPr>
              <w:t>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Markus Ferber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lituje přetrvávající genderové nevyváženosti ve finančních institucích, zejména v jejich vedení;</w:t>
            </w:r>
            <w:r>
              <w:t xml:space="preserve"> </w:t>
            </w:r>
            <w:r>
              <w:rPr>
                <w:b/>
                <w:i/>
              </w:rPr>
              <w:t>zdůrazňuje, že rozmanitost ve vedení a lepší přístup k financování pro podniky vedené ženami</w:t>
            </w:r>
            <w:r>
              <w:rPr>
                <w:b/>
                <w:i/>
                <w:vertAlign w:val="superscript"/>
              </w:rPr>
              <w:t>13</w:t>
            </w:r>
            <w:r>
              <w:rPr>
                <w:b/>
                <w:i/>
              </w:rPr>
              <w:t>zlepšují správu, inovace a hospodářskou výkonnost;</w:t>
            </w:r>
            <w:r>
              <w:t xml:space="preserve"> </w:t>
            </w:r>
            <w:r>
              <w:rPr>
                <w:b/>
                <w:i/>
              </w:rPr>
              <w:t>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Evropský institut pro rovnost žen a mužů, Gender in entrepreneurship(Gender v podnikání), 2017, s.</w:t>
            </w:r>
            <w:r>
              <w:t xml:space="preserve"> </w:t>
            </w:r>
            <w:r>
              <w:rPr>
                <w:b/>
                <w:i/>
              </w:rPr>
              <w:t>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lituje přetrvávající genderové nevyváženosti ve finančních institucích, zejména v jejich vedení;</w:t>
            </w:r>
            <w:r>
              <w:t xml:space="preserve"> zdůrazňuje, že rozmanitost ve vedení </w:t>
            </w:r>
            <w:r>
              <w:rPr>
                <w:b/>
                <w:i/>
              </w:rPr>
              <w:t>a lepší přístup k financování pro podniky vedené ženami</w:t>
            </w:r>
            <w:r>
              <w:rPr>
                <w:b/>
                <w:i/>
                <w:vertAlign w:val="superscript"/>
              </w:rPr>
              <w:t>13</w:t>
            </w:r>
            <w:r>
              <w:rPr>
                <w:b/>
                <w:i/>
              </w:rPr>
              <w:t>zlepšují</w:t>
            </w:r>
            <w:r>
              <w:t xml:space="preserve"> správu, inovace a hospodářskou výkonnost; 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c>
          <w:tcPr>
            <w:tcW w:w="4876" w:type="dxa"/>
            <w:tcBorders>
              <w:top w:val="nil"/>
              <w:left w:val="nil"/>
              <w:bottom w:val="nil"/>
              <w:right w:val="nil"/>
            </w:tcBorders>
          </w:tcPr>
          <w:p>
            <w:pPr>
              <w:pStyle w:val="Normal6a"/>
            </w:pPr>
            <w:r>
              <w:t>5.</w:t>
            </w:r>
            <w:r>
              <w:tab/>
            </w:r>
            <w:r>
              <w:t xml:space="preserve">zdůrazňuje, že rozmanitost ve vedení </w:t>
            </w:r>
            <w:r>
              <w:rPr>
                <w:b/>
                <w:i/>
              </w:rPr>
              <w:t>zlepšuje</w:t>
            </w:r>
            <w:r>
              <w:t xml:space="preserve"> správu, inovace a hospodářskou výkonnost; 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Evropský institut pro rovnost žen a mužů, Gender in entrepreneurship(Gender v podnikání), 2017, s.</w:t>
            </w:r>
            <w:r>
              <w:t xml:space="preserve"> </w:t>
            </w:r>
            <w:r>
              <w:rPr>
                <w:b/>
                <w:i/>
              </w:rPr>
              <w:t>5-6.</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rPr>
                <w:b/>
                <w:i/>
              </w:rPr>
              <w:t>lituje přetrvávající</w:t>
            </w:r>
            <w:r>
              <w:t xml:space="preserve"> genderové </w:t>
            </w:r>
            <w:r>
              <w:rPr>
                <w:b/>
                <w:i/>
              </w:rPr>
              <w:t>nevyváženosti</w:t>
            </w:r>
            <w:r>
              <w:t xml:space="preserve"> ve finančních institucích, zejména v jejich vedení; zdůrazňuje, že rozmanitost ve vedení a lepší přístup k financování pro podniky vedené ženami</w:t>
            </w:r>
            <w:r>
              <w:rPr>
                <w:vertAlign w:val="superscript"/>
              </w:rPr>
              <w:t>13</w:t>
            </w:r>
            <w:r>
              <w:t>zlepšují správu, inovace a hospodářskou výkonnost; 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c>
          <w:tcPr>
            <w:tcW w:w="4876" w:type="dxa"/>
            <w:tcBorders>
              <w:top w:val="nil"/>
              <w:left w:val="nil"/>
              <w:bottom w:val="nil"/>
              <w:right w:val="nil"/>
            </w:tcBorders>
          </w:tcPr>
          <w:p>
            <w:pPr>
              <w:pStyle w:val="Normal6a"/>
            </w:pPr>
            <w:r>
              <w:t>5.</w:t>
            </w:r>
            <w:r>
              <w:tab/>
            </w:r>
            <w:r>
              <w:rPr>
                <w:b/>
                <w:i/>
              </w:rPr>
              <w:t>konstatuje, že posun směrem k</w:t>
            </w:r>
            <w:r>
              <w:t xml:space="preserve"> genderové </w:t>
            </w:r>
            <w:r>
              <w:rPr>
                <w:b/>
                <w:i/>
              </w:rPr>
              <w:t>vyváženosti</w:t>
            </w:r>
            <w:r>
              <w:t xml:space="preserve"> ve finančních institucích, zejména v jejich vedení</w:t>
            </w:r>
            <w:r>
              <w:rPr>
                <w:b/>
                <w:i/>
              </w:rPr>
              <w:t>, je jen omezený</w:t>
            </w:r>
            <w:r>
              <w:t>; zdůrazňuje, že rozmanitost ve vedení a lepší přístup k financování pro podniky vedené ženami</w:t>
            </w:r>
            <w:r>
              <w:rPr>
                <w:vertAlign w:val="superscript"/>
              </w:rPr>
              <w:t>13</w:t>
            </w:r>
            <w:r>
              <w:t xml:space="preserve"> zlepšují správu, inovace a hospodářskou výkonnost; 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Evropský institut pro rovnost žen a mužů, Gender in entrepreneurship(Gender v podnikání), 2017, s. 5-6.</w:t>
            </w:r>
          </w:p>
        </w:tc>
        <w:tc>
          <w:tcPr>
            <w:tcW w:w="4876" w:type="dxa"/>
            <w:tcBorders>
              <w:top w:val="nil"/>
              <w:left w:val="nil"/>
              <w:bottom w:val="nil"/>
              <w:right w:val="nil"/>
            </w:tcBorders>
          </w:tcPr>
          <w:p>
            <w:pPr>
              <w:pStyle w:val="Normal6a"/>
            </w:pPr>
            <w:r>
              <w:rPr>
                <w:vertAlign w:val="superscript"/>
              </w:rPr>
              <w:t>13</w:t>
            </w:r>
            <w:r>
              <w:t xml:space="preserve"> </w:t>
            </w:r>
            <w:r>
              <w:t>Evropský institut pro rovnost žen a mužů, Gender in entrepreneurship(Gender v podnikání), 2017, s.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lituje přetrvávající genderové nevyváženosti ve finančních institucích, zejména v jejich vedení; zdůrazňuje, že rozmanitost ve vedení a lepší přístup k financování pro podniky vedené ženami</w:t>
            </w:r>
            <w:r>
              <w:rPr>
                <w:vertAlign w:val="superscript"/>
              </w:rPr>
              <w:t>13</w:t>
            </w:r>
            <w:r>
              <w:t>zlepšují správu, inovace a hospodářskou výkonnost; vyzývá finanční instituce, zúčastněné strany, Komisi a členské státy, aby přijaly účinné strategie rozmanitosti, monitorovaly genderové rozdíly a </w:t>
            </w:r>
            <w:r>
              <w:rPr>
                <w:b/>
                <w:i/>
              </w:rPr>
              <w:t>začlenily</w:t>
            </w:r>
            <w:r>
              <w:t xml:space="preserve"> genderovou rovnost </w:t>
            </w:r>
            <w:r>
              <w:rPr>
                <w:b/>
                <w:i/>
              </w:rPr>
              <w:t>do rámců dohledu a investic, a zajistily tak přístup ke kapitálu pro všechny v celé EU</w:t>
            </w:r>
            <w:r>
              <w:t>;</w:t>
            </w:r>
          </w:p>
        </w:tc>
        <w:tc>
          <w:tcPr>
            <w:tcW w:w="4876" w:type="dxa"/>
            <w:tcBorders>
              <w:top w:val="nil"/>
              <w:left w:val="nil"/>
              <w:bottom w:val="nil"/>
              <w:right w:val="nil"/>
            </w:tcBorders>
          </w:tcPr>
          <w:p>
            <w:pPr>
              <w:pStyle w:val="Normal6a"/>
            </w:pPr>
            <w:r>
              <w:t>5.</w:t>
            </w:r>
            <w:r>
              <w:tab/>
            </w:r>
            <w:r>
              <w:t>lituje přetrvávající genderové nevyváženosti ve finančních institucích, zejména v jejich vedení; zdůrazňuje, že rozmanitost ve vedení a lepší přístup k financování pro podniky vedené ženami</w:t>
            </w:r>
            <w:r>
              <w:rPr>
                <w:vertAlign w:val="superscript"/>
              </w:rPr>
              <w:t>13</w:t>
            </w:r>
            <w:r>
              <w:t xml:space="preserve"> zlepšují správu, inovace a hospodářskou výkonnost; vyzývá finanční instituce, zúčastněné strany, Komisi a členské státy, aby přijaly účinné strategie rozmanitosti, monitorovaly genderové rozdíly a </w:t>
            </w:r>
            <w:r>
              <w:rPr>
                <w:b/>
                <w:i/>
              </w:rPr>
              <w:t>aby</w:t>
            </w:r>
            <w:r>
              <w:t xml:space="preserve"> genderovou rovnost </w:t>
            </w:r>
            <w:r>
              <w:rPr>
                <w:b/>
                <w:i/>
              </w:rPr>
              <w:t>začlenily do všech svých opatření</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Evropský institut pro rovnost žen a mužů, Gender in entrepreneurship(Gender v podnikání), 2017, s. 5-6.</w:t>
            </w:r>
          </w:p>
        </w:tc>
        <w:tc>
          <w:tcPr>
            <w:tcW w:w="4876" w:type="dxa"/>
            <w:tcBorders>
              <w:top w:val="nil"/>
              <w:left w:val="nil"/>
              <w:bottom w:val="nil"/>
              <w:right w:val="nil"/>
            </w:tcBorders>
          </w:tcPr>
          <w:p>
            <w:pPr>
              <w:pStyle w:val="Normal6a"/>
            </w:pPr>
            <w:r>
              <w:rPr>
                <w:vertAlign w:val="superscript"/>
              </w:rPr>
              <w:t>13</w:t>
            </w:r>
            <w:r>
              <w:t xml:space="preserve"> </w:t>
            </w:r>
            <w:r>
              <w:t>Evropský institut pro rovnost žen a mužů, Gender in entrepreneurship(Gender v podnikání), 2017, s.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lituje přetrvávající genderové nevyváženosti ve finančních institucích, zejména v jejich vedení; zdůrazňuje, že rozmanitost ve vedení a lepší přístup k financování pro podniky vedené ženami</w:t>
            </w:r>
            <w:r>
              <w:rPr>
                <w:vertAlign w:val="superscript"/>
              </w:rPr>
              <w:t>13</w:t>
            </w:r>
            <w:r>
              <w:t>zlepšují správu, inovace a hospodářskou výkonnost; 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w:t>
            </w:r>
          </w:p>
        </w:tc>
        <w:tc>
          <w:tcPr>
            <w:tcW w:w="4876" w:type="dxa"/>
            <w:tcBorders>
              <w:top w:val="nil"/>
              <w:left w:val="nil"/>
              <w:bottom w:val="nil"/>
              <w:right w:val="nil"/>
            </w:tcBorders>
          </w:tcPr>
          <w:p>
            <w:pPr>
              <w:pStyle w:val="Normal6a"/>
            </w:pPr>
            <w:r>
              <w:t>5.</w:t>
            </w:r>
            <w:r>
              <w:tab/>
            </w:r>
            <w:r>
              <w:t>lituje přetrvávající genderové nevyváženosti ve finančních institucích, zejména v jejich vedení; zdůrazňuje, že rozmanitost ve vedení a lepší přístup k financování pro podniky vedené ženami</w:t>
            </w:r>
            <w:r>
              <w:rPr>
                <w:vertAlign w:val="superscript"/>
              </w:rPr>
              <w:t>13</w:t>
            </w:r>
            <w:r>
              <w:t xml:space="preserve"> zlepšují správu, inovace a hospodářskou výkonnost; 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 </w:t>
            </w:r>
            <w:r>
              <w:rPr>
                <w:b/>
                <w:i/>
              </w:rPr>
              <w:t>vyjadřuje hluboké politování nad nedostatečnou genderovou vyvážeností užšího seznamu kandidátů na předsednickou funkci orgánu EBA;</w:t>
            </w:r>
            <w:r>
              <w:t xml:space="preserve"> </w:t>
            </w:r>
            <w:r>
              <w:rPr>
                <w:b/>
                <w:i/>
              </w:rPr>
              <w:t>znovu opakuje závazek Parlamentu, že nebude brát v potaz seznamy kandidátů, pokud v nich nebude dodržena zásada genderové vyváženosti;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Evropský institut pro rovnost žen a mužů, Gender in entrepreneurship(Gender v podnikání), 2017, s. 5-6.</w:t>
            </w:r>
          </w:p>
        </w:tc>
        <w:tc>
          <w:tcPr>
            <w:tcW w:w="4876" w:type="dxa"/>
            <w:tcBorders>
              <w:top w:val="nil"/>
              <w:left w:val="nil"/>
              <w:bottom w:val="nil"/>
              <w:right w:val="nil"/>
            </w:tcBorders>
          </w:tcPr>
          <w:p>
            <w:pPr>
              <w:pStyle w:val="Normal6a"/>
            </w:pPr>
            <w:r>
              <w:rPr>
                <w:vertAlign w:val="superscript"/>
              </w:rPr>
              <w:t>13</w:t>
            </w:r>
            <w:r>
              <w:t xml:space="preserve"> </w:t>
            </w:r>
            <w:r>
              <w:t>Evropský institut pro rovnost žen a mužů, Gender in entrepreneurship(Gender v podnikání), 2017, s. 5-6.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připomíná, že finanční instituce by měly být řízeny na základě zásluh, zkušeností a odborné způsobilosti, přičemž je třeba zajistit, aby pracovní místa byla obsazována a rozhodnutí vedení byla přijímána podle objektivních kritérií založených na rizicích a aby nebyla zaváděna další kritéria, která s řádnou správou a řízením společností a finanční stabilitou nesouvisejí;</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vyjadřuje politování nad tím, že schopnost bank v EU financovat rozsáhlé investice je omezena vyššími náklady, menším rozsahem a nižší ziskovostí, která není dostatečná k zajištění jejich konkurenceschopnosti;</w:t>
            </w:r>
            <w:r>
              <w:t xml:space="preserve"> </w:t>
            </w:r>
            <w:r>
              <w:rPr>
                <w:b/>
                <w:i/>
              </w:rPr>
              <w:t>konstatuje, že zvláštní povaha bankovního systému EU s velkým počtem menších bank vyžaduje konkrétní řešení přizpůsobená jeho specifikům;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konstatuje, že po zvýšení sazeb ECB se v EU výrazně zlepšila ziskovost a odolnost bank</w:t>
            </w:r>
            <w:r>
              <w:rPr>
                <w:b/>
                <w:i/>
                <w:vertAlign w:val="superscript"/>
              </w:rPr>
              <w:t>14</w:t>
            </w:r>
            <w:r>
              <w:rPr>
                <w:b/>
                <w:i/>
              </w:rPr>
              <w:t>;</w:t>
            </w:r>
            <w:r>
              <w:t xml:space="preserve"> </w:t>
            </w:r>
            <w:r>
              <w:rPr>
                <w:b/>
                <w:i/>
              </w:rPr>
              <w:t>zdůrazňuje, že to může podpořit nezbytné investice a že instituce, které dostávají státní podporu, musí čelit přísným omezením v oblasti dividend, zpětného odkupu a pohyblivé složky odměny;</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(Zisky a zdanění bank v EU), MMF, červenec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konstatuje, že po zvýšení sazeb ECB se v EU výrazně zlepšila ziskovost a odolnost bank</w:t>
            </w:r>
            <w:r>
              <w:rPr>
                <w:b/>
                <w:i/>
                <w:vertAlign w:val="superscript"/>
              </w:rPr>
              <w:t>14</w:t>
            </w:r>
            <w:r>
              <w:rPr>
                <w:b/>
                <w:i/>
              </w:rPr>
              <w:t>;</w:t>
            </w:r>
            <w:r>
              <w:t xml:space="preserve"> </w:t>
            </w:r>
            <w:r>
              <w:rPr>
                <w:b/>
                <w:i/>
              </w:rPr>
              <w:t>zdůrazňuje, že to může podpořit nezbytné investice a že instituce, které dostávají státní podporu, musí čelit přísným omezením v oblasti dividend, zpětného odkupu a pohyblivé složky odměny</w:t>
            </w:r>
            <w:r>
              <w:t>;</w:t>
            </w:r>
          </w:p>
        </w:tc>
        <w:tc>
          <w:tcPr>
            <w:tcW w:w="4876" w:type="dxa"/>
            <w:tcBorders>
              <w:top w:val="nil"/>
              <w:left w:val="nil"/>
              <w:bottom w:val="nil"/>
              <w:right w:val="nil"/>
            </w:tcBorders>
          </w:tcPr>
          <w:p>
            <w:pPr>
              <w:pStyle w:val="Normal6a"/>
            </w:pPr>
            <w:r>
              <w:t>6.</w:t>
            </w:r>
            <w:r>
              <w:tab/>
            </w:r>
            <w:r>
              <w:rPr>
                <w:b/>
                <w:i/>
              </w:rPr>
              <w:t>je si vědom toho, že dlouhodobé restriktivní měnové politiky snížily čisté úrokové marže a zvýšily náklady na financování, což snížilo schopnost bank úvěrově podporovat udržitelné projekty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(Zisky a zdanění bank v EU), MMF, červenec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konstatuje, že po zvýšení sazeb ECB</w:t>
            </w:r>
            <w:r>
              <w:t xml:space="preserve"> se v EU výrazně zlepšila ziskovost a odolnost bank</w:t>
            </w:r>
            <w:r>
              <w:rPr>
                <w:vertAlign w:val="superscript"/>
              </w:rPr>
              <w:t>14</w:t>
            </w:r>
            <w:r>
              <w:t xml:space="preserve">; </w:t>
            </w:r>
            <w:r>
              <w:rPr>
                <w:b/>
                <w:i/>
              </w:rPr>
              <w:t>zdůrazňuje, že to může podpořit nezbytné investice a že instituce, které dostávají státní podporu, musí čelit přísným omezením v oblasti dividend, zpětného odkupu a pohyblivé složky odměny</w:t>
            </w:r>
            <w:r>
              <w:t>;</w:t>
            </w:r>
          </w:p>
        </w:tc>
        <w:tc>
          <w:tcPr>
            <w:tcW w:w="4876" w:type="dxa"/>
            <w:tcBorders>
              <w:top w:val="nil"/>
              <w:left w:val="nil"/>
              <w:bottom w:val="nil"/>
              <w:right w:val="nil"/>
            </w:tcBorders>
          </w:tcPr>
          <w:p>
            <w:pPr>
              <w:pStyle w:val="Normal6a"/>
            </w:pPr>
            <w:r>
              <w:t>6.</w:t>
            </w:r>
            <w:r>
              <w:tab/>
            </w:r>
            <w:r>
              <w:rPr>
                <w:b/>
                <w:i/>
              </w:rPr>
              <w:t>oceňuje, že</w:t>
            </w:r>
            <w:r>
              <w:t xml:space="preserve"> se v EU výrazně zlepšila ziskovost a odolnost bank</w:t>
            </w:r>
            <w:r>
              <w:rPr>
                <w:vertAlign w:val="superscript"/>
              </w:rPr>
              <w:t>14</w:t>
            </w:r>
            <w:r>
              <w:t xml:space="preserve">; </w:t>
            </w:r>
            <w:r>
              <w:rPr>
                <w:b/>
                <w:i/>
              </w:rPr>
              <w:t>konstatuje však, že stále existuje rozdíl v ziskovosti ve srovnání s jinými jurisdikcemi, zejména s USA;</w:t>
            </w:r>
            <w:r>
              <w:t xml:space="preserve"> </w:t>
            </w:r>
            <w:r>
              <w:rPr>
                <w:b/>
                <w:i/>
              </w:rPr>
              <w:t>domnívá se, že rozdíl v ziskovosti ve srovnání s jinými jurisdikcemi je způsoben jak strukturálními, tak regulačními důvody</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rPr>
                <w:b/>
                <w:i/>
              </w:rPr>
              <w:t>M.</w:t>
            </w:r>
            <w:r>
              <w:t xml:space="preserve"> Maneely/L. Ratnovski, Bank Profits and Bank Taxes in the EU (Zisky a zdanění bank v EU), MMF, červenec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(Zisky a zdanění bank v EU), MMF, červenec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konstatuje, že </w:t>
            </w:r>
            <w:r>
              <w:rPr>
                <w:b/>
                <w:i/>
              </w:rPr>
              <w:t>po zvýšení sazeb ECB se v EU výrazně zlepšila</w:t>
            </w:r>
            <w:r>
              <w:t xml:space="preserve"> ziskovost a odolnost </w:t>
            </w:r>
            <w:r>
              <w:rPr>
                <w:b/>
                <w:i/>
              </w:rPr>
              <w:t>bank</w:t>
            </w:r>
            <w:r>
              <w:rPr>
                <w:b/>
                <w:i/>
                <w:vertAlign w:val="superscript"/>
              </w:rPr>
              <w:t>14</w:t>
            </w:r>
            <w:r>
              <w:t xml:space="preserve">; zdůrazňuje, že </w:t>
            </w:r>
            <w:r>
              <w:rPr>
                <w:b/>
                <w:i/>
              </w:rPr>
              <w:t>to</w:t>
            </w:r>
            <w:r>
              <w:t xml:space="preserve"> může podpořit </w:t>
            </w:r>
            <w:r>
              <w:rPr>
                <w:b/>
                <w:i/>
              </w:rPr>
              <w:t>nezbytné investice a že instituce, které dostávají státní podporu, musí čelit přísným omezením v oblasti dividend, zpětného odkupu a pohyblivé složky odměny</w:t>
            </w:r>
            <w:r>
              <w:t>;</w:t>
            </w:r>
          </w:p>
        </w:tc>
        <w:tc>
          <w:tcPr>
            <w:tcW w:w="4876" w:type="dxa"/>
            <w:tcBorders>
              <w:top w:val="nil"/>
              <w:left w:val="nil"/>
              <w:bottom w:val="nil"/>
              <w:right w:val="nil"/>
            </w:tcBorders>
          </w:tcPr>
          <w:p>
            <w:pPr>
              <w:pStyle w:val="Normal6a"/>
            </w:pPr>
            <w:r>
              <w:t>6.</w:t>
            </w:r>
            <w:r>
              <w:tab/>
            </w:r>
            <w:r>
              <w:t xml:space="preserve">konstatuje, že ziskovost a odolnost </w:t>
            </w:r>
            <w:r>
              <w:rPr>
                <w:b/>
                <w:i/>
              </w:rPr>
              <w:t>zůstaly v roce 2025 vysoké</w:t>
            </w:r>
            <w:r>
              <w:t xml:space="preserve">; zdůrazňuje, že </w:t>
            </w:r>
            <w:r>
              <w:rPr>
                <w:b/>
                <w:i/>
              </w:rPr>
              <w:t>tato ziskovost</w:t>
            </w:r>
            <w:r>
              <w:t xml:space="preserve"> může podpořit </w:t>
            </w:r>
            <w:r>
              <w:rPr>
                <w:b/>
                <w:i/>
              </w:rPr>
              <w:t>financování domácností a podniků, zejména malých a středních podniků a start-upů, jakož i mladých odborníků</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M. Maneely/L.</w:t>
            </w:r>
            <w:r>
              <w:t xml:space="preserve"> </w:t>
            </w:r>
            <w:r>
              <w:rPr>
                <w:b/>
                <w:i/>
              </w:rPr>
              <w:t>Ratnovski, Bank Profits and Bank Taxes in the EU (Zisky a zdanění bank v EU), MMF, červenec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xml:space="preserve">; zdůrazňuje, že to může podpořit nezbytné investice </w:t>
            </w:r>
            <w:r>
              <w:rPr>
                <w:b/>
                <w:i/>
              </w:rPr>
              <w:t>a že instituce, které dostávají státní podporu, musí čelit přísným omezením</w:t>
            </w:r>
            <w:r>
              <w:t xml:space="preserve"> v oblasti </w:t>
            </w:r>
            <w:r>
              <w:rPr>
                <w:b/>
                <w:i/>
              </w:rPr>
              <w:t>dividend, zpětného odkupu a pohyblivé složky odměny</w:t>
            </w:r>
            <w:r>
              <w:t>;</w:t>
            </w:r>
          </w:p>
        </w:tc>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zdůrazňuje, že to může podpořit nezbytné investice</w:t>
            </w:r>
            <w:r>
              <w:rPr>
                <w:b/>
                <w:i/>
              </w:rPr>
              <w:t>;</w:t>
            </w:r>
            <w:r>
              <w:t xml:space="preserve"> </w:t>
            </w:r>
            <w:r>
              <w:rPr>
                <w:b/>
                <w:i/>
              </w:rPr>
              <w:t>připomíná, že toto zvýšení ziskovosti má převážně cyklický chrakter a že konkurenceschopnost bank stále závisí na pokroku</w:t>
            </w:r>
            <w:r>
              <w:t xml:space="preserve"> v oblasti </w:t>
            </w:r>
            <w:r>
              <w:rPr>
                <w:b/>
                <w:i/>
              </w:rPr>
              <w:t>strukturálních reforem bankovní unie, unie úspor a investic a jednotného trhu</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rPr>
                <w:b/>
                <w:i/>
              </w:rPr>
              <w:t>M.</w:t>
            </w:r>
            <w:r>
              <w:t xml:space="preserve"> Maneely/L. Ratnovski, Bank Profits and Bank Taxes in the EU (Zisky a zdanění bank v EU), MMF, červenec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(Zisky a zdanění bank v EU), MMF, červenec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xml:space="preserve">; zdůrazňuje, že to může podpořit nezbytné investice </w:t>
            </w:r>
            <w:r>
              <w:rPr>
                <w:b/>
                <w:i/>
              </w:rPr>
              <w:t>a že instituce, které dostávají státní podporu, musí čelit přísným omezením v oblasti dividend, zpětného odkupu a pohyblivé složky odměny</w:t>
            </w:r>
            <w:r>
              <w:t>;</w:t>
            </w:r>
          </w:p>
        </w:tc>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zdůrazňuje, že to může podpořit nezbytné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 Maneely/L. </w:t>
            </w:r>
            <w:r>
              <w:rPr>
                <w:b/>
                <w:i/>
              </w:rPr>
              <w:t>Ratnovski</w:t>
            </w:r>
            <w:r>
              <w:t>, Bank Profits and Bank Taxes in the EU (Zisky a zdanění bank v EU), MMF, červenec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w:t>
            </w:r>
            <w:r>
              <w:rPr>
                <w:b/>
                <w:i/>
              </w:rPr>
              <w:t>L.Ratnovski</w:t>
            </w:r>
            <w:r>
              <w:t>, Bank Profits and Bank Taxes in the EU (Zisky a zdanění bank v EU), MMF, červenec 2024.</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xml:space="preserve">; zdůrazňuje, že to může podpořit nezbytné investice </w:t>
            </w:r>
            <w:r>
              <w:rPr>
                <w:b/>
                <w:i/>
              </w:rPr>
              <w:t>a že instituce, které dostávají státní podporu, musí čelit přísným omezením v oblasti dividend, zpětného odkupu a pohyblivé složky odměny</w:t>
            </w:r>
            <w:r>
              <w:t>;</w:t>
            </w:r>
          </w:p>
        </w:tc>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zdůrazňuje, že to může podpořit nezbytné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rPr>
                <w:b/>
                <w:i/>
              </w:rPr>
              <w:t>M.</w:t>
            </w:r>
            <w:r>
              <w:t xml:space="preserve"> Maneely/L. Ratnovski, Bank Profits and Bank Taxes in the EU (Zisky a zdanění bank v EU), MMF, červenec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(Zisky a zdanění bank v EU), MMF, červenec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xml:space="preserve">; zdůrazňuje, že to může podpořit nezbytné investice </w:t>
            </w:r>
            <w:r>
              <w:rPr>
                <w:b/>
                <w:i/>
              </w:rPr>
              <w:t>a že instituce, které dostávají státní podporu, musí čelit přísným omezením v oblasti dividend, zpětného odkupu a pohyblivé složky odměny</w:t>
            </w:r>
            <w:r>
              <w:t>;</w:t>
            </w:r>
          </w:p>
        </w:tc>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zdůrazňuje, že to může podpořit nezbytné investice;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rPr>
                <w:b/>
                <w:i/>
              </w:rPr>
              <w:t>M.</w:t>
            </w:r>
            <w:r>
              <w:t xml:space="preserve"> Maneely/L. Ratnovski, Bank Profits and Bank Taxes in the EU (Zisky a zdanění bank v EU), MMF, červenec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(Zisky a zdanění bank v EU), MMF, červenec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konstatuje</w:t>
            </w:r>
            <w:r>
              <w:t>, že po zvýšení sazeb ECB se v EU výrazně zlepšila ziskovost a odolnost bank</w:t>
            </w:r>
            <w:r>
              <w:rPr>
                <w:vertAlign w:val="superscript"/>
              </w:rPr>
              <w:t>14</w:t>
            </w:r>
            <w:r>
              <w:t xml:space="preserve">; zdůrazňuje, že to může podpořit nezbytné investice a že instituce, které dostávají státní podporu, musí čelit přísným omezením </w:t>
            </w:r>
            <w:r>
              <w:rPr>
                <w:b/>
                <w:i/>
              </w:rPr>
              <w:t>v oblasti dividend, zpětného odkupu a pohyblivé složky</w:t>
            </w:r>
            <w:r>
              <w:t xml:space="preserve"> odměny;</w:t>
            </w:r>
          </w:p>
        </w:tc>
        <w:tc>
          <w:tcPr>
            <w:tcW w:w="4876" w:type="dxa"/>
            <w:tcBorders>
              <w:top w:val="nil"/>
              <w:left w:val="nil"/>
              <w:bottom w:val="nil"/>
              <w:right w:val="nil"/>
            </w:tcBorders>
          </w:tcPr>
          <w:p>
            <w:pPr>
              <w:pStyle w:val="Normal6a"/>
            </w:pPr>
            <w:r>
              <w:t>6.</w:t>
            </w:r>
            <w:r>
              <w:tab/>
            </w:r>
            <w:r>
              <w:rPr>
                <w:b/>
                <w:i/>
              </w:rPr>
              <w:t>zdůrazňuje</w:t>
            </w:r>
            <w:r>
              <w:t>, že po zvýšení sazeb ECB se v EU výrazně zlepšila ziskovost a odolnost bank</w:t>
            </w:r>
            <w:r>
              <w:rPr>
                <w:vertAlign w:val="superscript"/>
              </w:rPr>
              <w:t>14</w:t>
            </w:r>
            <w:r>
              <w:t>; zdůrazňuje, že to může podpořit nezbytné investice a že instituce, které dostávají státní podporu, musí čelit přísným omezením</w:t>
            </w:r>
            <w:r>
              <w:rPr>
                <w:b/>
                <w:i/>
              </w:rPr>
              <w:t>, pokud jde o dividendy, zpětný odkup a pohyblivou složku</w:t>
            </w:r>
            <w:r>
              <w:t xml:space="preserve"> odměny; </w:t>
            </w:r>
            <w:r>
              <w:rPr>
                <w:b/>
                <w:i/>
              </w:rPr>
              <w:t>zdůrazňuje, že udržitelná ziskovost podporuje akumulaci kapitálu, schopnost absorbovat otřesy a financování reálné ekonomiky;</w:t>
            </w:r>
            <w:r>
              <w:t xml:space="preserve"> </w:t>
            </w:r>
            <w:r>
              <w:rPr>
                <w:b/>
                <w:i/>
              </w:rPr>
              <w:t>připomíná, že jak bylo zdůrazněno v nedávných stanoviscích ECB k vnitrostátním bankovním odvodům, daně založené na bankovních příjmech mohou snížit nerozdělený zisk a omezit schopnost úvěrových institucí vytvářet nebo doplňovat kapitálové rezervy;</w:t>
            </w:r>
            <w:r>
              <w:t xml:space="preserve"> </w:t>
            </w:r>
            <w:r>
              <w:rPr>
                <w:b/>
                <w:i/>
              </w:rPr>
              <w:t>zdůrazňuje, že veškerá daňová opatření týkající se bank by měla mít povahu mimořádných opatření a měla by být přiměřená a dočasná;</w:t>
            </w:r>
            <w:r>
              <w:t xml:space="preserve"> </w:t>
            </w:r>
            <w:r>
              <w:rPr>
                <w:b/>
                <w:i/>
              </w:rPr>
              <w:t>kromě toho by neměla být přijímána na úkor finanční stability a schopnosti bank financovat reálnou ekonomiku;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 xml:space="preserve">M. Maneely/L. </w:t>
            </w:r>
            <w:r>
              <w:rPr>
                <w:b/>
                <w:i/>
              </w:rPr>
              <w:t>Ratnovski</w:t>
            </w:r>
            <w:r>
              <w:t>, Bank Profits and Bank Taxes in the EU (Zisky a zdanění bank v EU), MMF, červenec 2024.</w:t>
            </w:r>
          </w:p>
        </w:tc>
        <w:tc>
          <w:tcPr>
            <w:tcW w:w="4876" w:type="dxa"/>
            <w:tcBorders>
              <w:top w:val="nil"/>
              <w:left w:val="nil"/>
              <w:bottom w:val="nil"/>
              <w:right w:val="nil"/>
            </w:tcBorders>
          </w:tcPr>
          <w:p>
            <w:pPr>
              <w:pStyle w:val="Normal6a"/>
            </w:pPr>
            <w:r>
              <w:rPr>
                <w:vertAlign w:val="superscript"/>
              </w:rPr>
              <w:t>14</w:t>
            </w:r>
            <w:r>
              <w:t xml:space="preserve"> </w:t>
            </w:r>
            <w:r>
              <w:t xml:space="preserve">M. Maneely/L. </w:t>
            </w:r>
            <w:r>
              <w:rPr>
                <w:b/>
                <w:i/>
              </w:rPr>
              <w:t>L.Ratnovski</w:t>
            </w:r>
            <w:r>
              <w:t>, Bank Profits and Bank Taxes in the EU (Zisky a zdanění bank v EU), MMF, červenec 2024.</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zdůrazňuje, že to může podpořit nezbytné investice a že instituce, které dostávají státní podporu, musí čelit přísným omezením v oblasti dividend, zpětného odkupu a pohyblivé složky odměny;</w:t>
            </w:r>
          </w:p>
        </w:tc>
        <w:tc>
          <w:tcPr>
            <w:tcW w:w="4876" w:type="dxa"/>
            <w:tcBorders>
              <w:top w:val="nil"/>
              <w:left w:val="nil"/>
              <w:bottom w:val="nil"/>
              <w:right w:val="nil"/>
            </w:tcBorders>
          </w:tcPr>
          <w:p>
            <w:pPr>
              <w:pStyle w:val="Normal6a"/>
            </w:pPr>
            <w:r>
              <w:t>6.</w:t>
            </w:r>
            <w:r>
              <w:tab/>
            </w:r>
            <w:r>
              <w:t>konstatuje, že po zvýšení sazeb ECB se v EU výrazně zlepšila ziskovost a odolnost bank</w:t>
            </w:r>
            <w:r>
              <w:rPr>
                <w:vertAlign w:val="superscript"/>
              </w:rPr>
              <w:t>14</w:t>
            </w:r>
            <w:r>
              <w:t xml:space="preserve">; zdůrazňuje, že to může podpořit nezbytné investice a </w:t>
            </w:r>
            <w:r>
              <w:rPr>
                <w:b/>
                <w:i/>
              </w:rPr>
              <w:t>financování evropské ekonomiky a</w:t>
            </w:r>
            <w:r>
              <w:t xml:space="preserve"> že instituce, které dostávají státní podporu, musí čelit přísným omezením v oblasti dividend, zpětného odkupu a pohyblivé složky odměny;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rPr>
                <w:b/>
                <w:i/>
              </w:rPr>
              <w:t>M.</w:t>
            </w:r>
            <w:r>
              <w:t xml:space="preserve"> Maneely/L. Ratnovski, Bank Profits and Bank Taxes in the EU (Zisky a zdanění bank v EU), MMF, červenec 2024.</w:t>
            </w:r>
          </w:p>
        </w:tc>
        <w:tc>
          <w:tcPr>
            <w:tcW w:w="4876" w:type="dxa"/>
            <w:tcBorders>
              <w:top w:val="nil"/>
              <w:left w:val="nil"/>
              <w:bottom w:val="nil"/>
              <w:right w:val="nil"/>
            </w:tcBorders>
          </w:tcPr>
          <w:p>
            <w:pPr>
              <w:pStyle w:val="Normal6a"/>
            </w:pPr>
            <w:r>
              <w:rPr>
                <w:vertAlign w:val="superscript"/>
              </w:rPr>
              <w:t>14</w:t>
            </w:r>
            <w:r>
              <w:t xml:space="preserve"> </w:t>
            </w:r>
            <w:r>
              <w:t>Maneely/L. Ratnovski, Bank Profits and Bank Taxes in the EU (Zisky a zdanění bank v EU), MMF, červenec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poukazuje na problém významné expozice bank v EU vůči dlouhodobému státnímu dluhu, zejména pokud jde o domácí expozice;</w:t>
            </w:r>
            <w:r>
              <w:t xml:space="preserve"> </w:t>
            </w:r>
            <w:r>
              <w:rPr>
                <w:b/>
                <w:i/>
              </w:rPr>
              <w:t>připomíná důležitost větší diverzifikace těchto expozic pro zvýšení odolnosti evropského odvětví vůči asymetrickým fiskálním otřesům;</w:t>
            </w:r>
            <w:r>
              <w:t xml:space="preserve"> </w:t>
            </w:r>
            <w:r>
              <w:rPr>
                <w:b/>
                <w:i/>
              </w:rPr>
              <w:t>zdůrazňuje, že je důležité prosazovat fiskální pravidla EU, jejichž cílem je zaručit důvěru ve vztahu ke státnímu dluhu členských států, diverzifikaci, a tím i snížení systémového rizika v eurozóně;</w:t>
            </w:r>
            <w:r>
              <w:t xml:space="preserve"> </w:t>
            </w:r>
            <w:r>
              <w:rPr>
                <w:b/>
                <w:i/>
              </w:rPr>
              <w:t>připomíná, že neexistence společného bezpečného aktiva jako referenční hodnoty snižuje účinnost na kapitálových trzích a v bankovním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Auke Zijlstra, Mireia Borrás Pabón,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vyzývá Komisi, aby vypracovala pokyny pro cílený solidární příspěvek bank, který by odrážel nedávné zisky, zajistil spravedlivý příspěvek do veřejných financí a zároveň podpořil odolnost a finanční stabilitu;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řádné fungování a důvěryhodnost bankovní unie závisí rovněž na důsledném dodržování a účinném prosazování právních předpisů Unie na ochranu spotřebitele v bankovním sektoru;</w:t>
            </w:r>
            <w:r>
              <w:t xml:space="preserve"> </w:t>
            </w:r>
            <w:r>
              <w:rPr>
                <w:b/>
                <w:i/>
              </w:rPr>
              <w:t>zdůrazňuje, že úvěrové instituce nesmí používat nespravedlivé smluvní podmínky a obchodní praktiky, zejména v oblasti hypoték a retailových úvěrů;</w:t>
            </w:r>
            <w:r>
              <w:t xml:space="preserve"> </w:t>
            </w:r>
            <w:r>
              <w:rPr>
                <w:b/>
                <w:i/>
              </w:rPr>
              <w:t>zdůrazňuje, že spotřebitelům, včetně vypůjčovatelů, musí být poskytnuta účinná ochrana, právní jistota a přístup k účinným opravným prostředkům;</w:t>
            </w:r>
            <w:r>
              <w:t xml:space="preserve"> </w:t>
            </w:r>
            <w:r>
              <w:rPr>
                <w:b/>
                <w:i/>
              </w:rPr>
              <w:t>vyzývá členské státy a příslušné orgány, aby pro případ porušení pravidel zajistily důsledná opatření dohledu a vymáhání;</w:t>
            </w:r>
            <w:r>
              <w:t xml:space="preserve"> </w:t>
            </w:r>
            <w:r>
              <w:rPr>
                <w:b/>
                <w:i/>
              </w:rPr>
              <w:t>dále vyzdvihuje nutnost zajistit odpovídající ochranu hlavního bydliště do 250 m², zejména v případech, kdy vypůjčovatelé již splatili podstatnou část svého úvěru, např. 50 % původního úvěru;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zdůrazňuje, že veškerá vnitrostátní opatření ovlivňující bankovní sektor, včetně solidárních příspěvků, by měla mít povahu mimořádných opatření, měla by být přiměřená a neměla by oslabovat schopnost bank financovat reálnou ekonomiku, podporovat investice nebo udržovat finanční stabilitu;</w:t>
            </w:r>
            <w:r>
              <w:t xml:space="preserve"> </w:t>
            </w:r>
            <w:r>
              <w:rPr>
                <w:b/>
                <w:i/>
              </w:rPr>
              <w:t>vyzývá Komisi, aby sledovala jejich dopad na konkurenceschopnost a přeshraniční integraci v rámci vnitřního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vítá úlohu orgánu AMLA při posilování boje EU proti praní peněz a financování terorismu;</w:t>
            </w:r>
            <w:r>
              <w:t xml:space="preserve"> </w:t>
            </w:r>
            <w:r>
              <w:rPr>
                <w:b/>
                <w:i/>
              </w:rPr>
              <w:t>vyzývá k důslednému provádění, posílené spolupráci, sdílení informací a koordinovanému prosazování v celé EU;</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 Enikő Győri,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vítá úlohu orgánu AMLA při posilování boje</w:t>
            </w:r>
            <w:r>
              <w:t xml:space="preserve"> EU proti praní peněz a financování terorismu; vyzývá k důslednému provádění, posílené spolupráci, sdílení informací a koordinovanému prosazování v celé EU;</w:t>
            </w:r>
          </w:p>
        </w:tc>
        <w:tc>
          <w:tcPr>
            <w:tcW w:w="4876" w:type="dxa"/>
            <w:tcBorders>
              <w:top w:val="nil"/>
              <w:left w:val="nil"/>
              <w:bottom w:val="nil"/>
              <w:right w:val="nil"/>
            </w:tcBorders>
          </w:tcPr>
          <w:p>
            <w:pPr>
              <w:pStyle w:val="Normal6a"/>
            </w:pPr>
            <w:r>
              <w:t>8.</w:t>
            </w:r>
            <w:r>
              <w:tab/>
            </w:r>
            <w:r>
              <w:rPr>
                <w:b/>
                <w:i/>
              </w:rPr>
              <w:t>očekává, že orgán AMLA přispěje k boji</w:t>
            </w:r>
            <w:r>
              <w:t xml:space="preserve"> EU proti praní peněz a financování terorismu; vyzývá k důslednému provádění, posílené spolupráci, sdílení informací a koordinovanému prosazování v celé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vítá úlohu orgánu AMLA při posilování boje EU proti praní peněz a financování terorismu; vyzývá k důslednému provádění, posílené spolupráci, sdílení informací a koordinovanému prosazování v celé EU;</w:t>
            </w:r>
          </w:p>
        </w:tc>
        <w:tc>
          <w:tcPr>
            <w:tcW w:w="4876" w:type="dxa"/>
            <w:tcBorders>
              <w:top w:val="nil"/>
              <w:left w:val="nil"/>
              <w:bottom w:val="nil"/>
              <w:right w:val="nil"/>
            </w:tcBorders>
          </w:tcPr>
          <w:p>
            <w:pPr>
              <w:pStyle w:val="Normal6a"/>
            </w:pPr>
            <w:r>
              <w:t>8.</w:t>
            </w:r>
            <w:r>
              <w:tab/>
            </w:r>
            <w:r>
              <w:t xml:space="preserve">vítá úlohu orgánu AMLA při posilování boje EU proti praní peněz a financování terorismu; vyzývá k důslednému provádění, posílené spolupráci, sdílení informací a koordinovanému prosazování v celé EU; </w:t>
            </w:r>
            <w:r>
              <w:rPr>
                <w:b/>
                <w:i/>
              </w:rPr>
              <w:t>zdůrazňuje, že je třeba, aby orgán AMLA při své činnosti v oblasti dohledu a regulace dodržoval zásadu proporcionality;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vítá úlohu orgánu AMLA při posilování boje EU proti praní peněz a financování terorismu; vyzývá k důslednému provádění, posílené spolupráci, sdílení informací a koordinovanému prosazování v celé EU;</w:t>
            </w:r>
          </w:p>
        </w:tc>
        <w:tc>
          <w:tcPr>
            <w:tcW w:w="4876" w:type="dxa"/>
            <w:tcBorders>
              <w:top w:val="nil"/>
              <w:left w:val="nil"/>
              <w:bottom w:val="nil"/>
              <w:right w:val="nil"/>
            </w:tcBorders>
          </w:tcPr>
          <w:p>
            <w:pPr>
              <w:pStyle w:val="Normal6a"/>
            </w:pPr>
            <w:r>
              <w:t>8.</w:t>
            </w:r>
            <w:r>
              <w:tab/>
            </w:r>
            <w:r>
              <w:t xml:space="preserve">vítá úlohu orgánu AMLA při posilování boje EU proti praní peněz a financování terorismu; vyzývá k důslednému provádění, posílené spolupráci, sdílení informací a koordinovanému prosazování v celé EU; </w:t>
            </w:r>
            <w:r>
              <w:rPr>
                <w:b/>
                <w:i/>
              </w:rPr>
              <w:t>připomíná, že hlavní zásadou činnosti orgánu AMLA na úrovni 2 by měl zůstat koordinovaný, zjednodušený a přiměřený přístup;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vítá úlohu orgánu AMLA při posilování boje EU proti praní peněz a financování terorismu; vyzývá k důslednému provádění, posílené spolupráci, sdílení informací a koordinovanému prosazování v celé EU;</w:t>
            </w:r>
          </w:p>
        </w:tc>
        <w:tc>
          <w:tcPr>
            <w:tcW w:w="4876" w:type="dxa"/>
            <w:tcBorders>
              <w:top w:val="nil"/>
              <w:left w:val="nil"/>
              <w:bottom w:val="nil"/>
              <w:right w:val="nil"/>
            </w:tcBorders>
          </w:tcPr>
          <w:p>
            <w:pPr>
              <w:pStyle w:val="Normal6a"/>
            </w:pPr>
            <w:r>
              <w:t>8.</w:t>
            </w:r>
            <w:r>
              <w:tab/>
            </w:r>
            <w:r>
              <w:t>vítá úlohu orgánu AMLA při posilování boje EU proti praní peněz a financování terorismu; vyzývá k důslednému provádění, posílené spolupráci, sdílení informací a koordinovanému prosazování v celé EU</w:t>
            </w:r>
            <w:r>
              <w:rPr>
                <w:b/>
                <w:i/>
              </w:rPr>
              <w:t>, aby se zabránilo zbytečnému překrývání právních předpisů a nadměrné administrativní zátěži pro finanční instituce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vítá úlohu orgánu AMLA při posilování boje EU proti praní peněz a financování terorismu; vyzývá k důslednému provádění, posílené spolupráci, sdílení informací a koordinovanému prosazování v celé EU;</w:t>
            </w:r>
          </w:p>
        </w:tc>
        <w:tc>
          <w:tcPr>
            <w:tcW w:w="4876" w:type="dxa"/>
            <w:tcBorders>
              <w:top w:val="nil"/>
              <w:left w:val="nil"/>
              <w:bottom w:val="nil"/>
              <w:right w:val="nil"/>
            </w:tcBorders>
          </w:tcPr>
          <w:p>
            <w:pPr>
              <w:pStyle w:val="Normal6a"/>
            </w:pPr>
            <w:r>
              <w:t>8.</w:t>
            </w:r>
            <w:r>
              <w:tab/>
            </w:r>
            <w:r>
              <w:t xml:space="preserve">vítá úlohu orgánu AMLA při posilování boje EU proti praní peněz a financování terorismu; vyzývá k důslednému provádění, posílené spolupráci, sdílení informací a koordinovanému prosazování v celé EU; </w:t>
            </w:r>
            <w:r>
              <w:rPr>
                <w:b/>
                <w:i/>
              </w:rPr>
              <w:t>zdůrazňuje potřebu účinné spolupráce mezi orgánem AMLA a evropskými dozorovými orgány a orgány obezřetnostního dohledu;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8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zdůrazňuje, že je třeba zjednodušit evropský rámec pro činnost bank, bankovní dohled a výkaznictví, neboť přílišná složitost zbytečně snižuje konkurenceschopnost evropských bank a jejich schopnost účinně poskytovat služby reálné ekonomice;</w:t>
            </w:r>
            <w:r>
              <w:t xml:space="preserve"> </w:t>
            </w:r>
            <w:r>
              <w:rPr>
                <w:b/>
                <w:i/>
              </w:rPr>
              <w:t>zdůrazňuje, že úsilí o zjednodušení by nemělo mít vliv na odolnost bank, finanční stabilitu ani účinnost rámce pro řešení krizí;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zdůrazňuje, že důkladné, konzistentní a včasné účetní výkaznictví má zásadní význam pro dohled a stabilitu;</w:t>
            </w:r>
            <w:r>
              <w:t xml:space="preserve"> zdůrazňuje, že zjednodušení nesmí oslabit </w:t>
            </w:r>
            <w:r>
              <w:rPr>
                <w:b/>
                <w:i/>
              </w:rPr>
              <w:t>obezřetnostní normy,</w:t>
            </w:r>
            <w:r>
              <w:t xml:space="preserve"> normy v oblasti ochrany spotřebitele nebo stability; vyzývá k </w:t>
            </w:r>
            <w:r>
              <w:rPr>
                <w:b/>
                <w:i/>
              </w:rPr>
              <w:t>vyváženému a integrovanějšímu</w:t>
            </w:r>
            <w:r>
              <w:t xml:space="preserve"> přístupu </w:t>
            </w:r>
            <w:r>
              <w:rPr>
                <w:b/>
                <w:i/>
              </w:rPr>
              <w:t>se společným datovým slovníkem a úložištěm žádostí, aby se snížila zbytečná složitost a zároveň se zachovala pevnost rámce bankovní unie</w:t>
            </w:r>
            <w:r>
              <w:t>;</w:t>
            </w:r>
          </w:p>
        </w:tc>
        <w:tc>
          <w:tcPr>
            <w:tcW w:w="4876" w:type="dxa"/>
            <w:tcBorders>
              <w:top w:val="nil"/>
              <w:left w:val="nil"/>
              <w:bottom w:val="nil"/>
              <w:right w:val="nil"/>
            </w:tcBorders>
          </w:tcPr>
          <w:p>
            <w:pPr>
              <w:pStyle w:val="Normal6a"/>
            </w:pPr>
            <w:r>
              <w:t>9.</w:t>
            </w:r>
            <w:r>
              <w:tab/>
            </w:r>
            <w:r>
              <w:t xml:space="preserve">zdůrazňuje, že zjednodušení </w:t>
            </w:r>
            <w:r>
              <w:rPr>
                <w:b/>
                <w:i/>
              </w:rPr>
              <w:t>právních předpisů</w:t>
            </w:r>
            <w:r>
              <w:t xml:space="preserve"> nesmí oslabit normy v oblasti </w:t>
            </w:r>
            <w:r>
              <w:rPr>
                <w:b/>
                <w:i/>
              </w:rPr>
              <w:t>obezřetnosti,</w:t>
            </w:r>
            <w:r>
              <w:t xml:space="preserve"> ochrany spotřebitele nebo stability</w:t>
            </w:r>
            <w:r>
              <w:rPr>
                <w:b/>
                <w:i/>
              </w:rPr>
              <w:t>, ale musí je učinit účinnějšími a přiměřenějšími pro konečný účel</w:t>
            </w:r>
            <w:r>
              <w:t xml:space="preserve">; vyzývá k </w:t>
            </w:r>
            <w:r>
              <w:rPr>
                <w:b/>
                <w:i/>
              </w:rPr>
              <w:t>urychlení digitálního vývoje, zejména umělé inteligence, pro účely povinností v oblasti dohledu;</w:t>
            </w:r>
            <w:r>
              <w:t xml:space="preserve"> </w:t>
            </w:r>
            <w:r>
              <w:rPr>
                <w:b/>
                <w:i/>
              </w:rPr>
              <w:t>vybízí orgány dohledu a regulační orgány, aby snížily náklady regulovaných subjektů na dodržování předpisů a podávání zpráv na základě účinnějšího sdílení údajů mezi orgány a aby prozkoumaly možnost využití umělé inteligence v rámci přechodu z modelu „push“ (regulace probíhající pouze na úrovni údajů poskytnutých subjektem podléhajícím dohledu), na model „pull“ (regulace na základě</w:t>
            </w:r>
            <w:r>
              <w:t xml:space="preserve"> přístupu </w:t>
            </w:r>
            <w:r>
              <w:rPr>
                <w:b/>
                <w:i/>
              </w:rPr>
              <w:t>orgánů dohledu k podrobným údajům tohoto subjektu)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zdůrazňuje, že důkladné, konzistentní a včasné účetní výkaznictví má zásadní význam pro dohled a stabilitu; zdůrazňuje</w:t>
            </w:r>
            <w:r>
              <w:rPr>
                <w:b/>
                <w:i/>
              </w:rPr>
              <w:t>, že</w:t>
            </w:r>
            <w:r>
              <w:t xml:space="preserve"> zjednodušení </w:t>
            </w:r>
            <w:r>
              <w:rPr>
                <w:b/>
                <w:i/>
              </w:rPr>
              <w:t>nesmí oslabit</w:t>
            </w:r>
            <w:r>
              <w:t xml:space="preserve"> obezřetnostní normy, normy v oblasti ochrany spotřebitele nebo stability; vyzývá k vyváženému a integrovanějšímu přístupu </w:t>
            </w:r>
            <w:r>
              <w:rPr>
                <w:b/>
                <w:i/>
              </w:rPr>
              <w:t>se společným datovým slovníkem a úložištěm žádostí, aby se snížila zbytečná složitost a zároveň se zachovala pevnost rámce bankovní unie</w:t>
            </w:r>
            <w:r>
              <w:t>;</w:t>
            </w:r>
          </w:p>
        </w:tc>
        <w:tc>
          <w:tcPr>
            <w:tcW w:w="4876" w:type="dxa"/>
            <w:tcBorders>
              <w:top w:val="nil"/>
              <w:left w:val="nil"/>
              <w:bottom w:val="nil"/>
              <w:right w:val="nil"/>
            </w:tcBorders>
          </w:tcPr>
          <w:p>
            <w:pPr>
              <w:pStyle w:val="Normal6a"/>
            </w:pPr>
            <w:r>
              <w:t>9.</w:t>
            </w:r>
            <w:r>
              <w:tab/>
            </w:r>
            <w:r>
              <w:t xml:space="preserve">zdůrazňuje, že důkladné, konzistentní a včasné účetní výkaznictví má zásadní význam pro dohled a stabilitu; zdůrazňuje </w:t>
            </w:r>
            <w:r>
              <w:rPr>
                <w:b/>
                <w:i/>
              </w:rPr>
              <w:t>význam právní jistoty, předvídatelnosti a stability pro bankovní sektor;</w:t>
            </w:r>
            <w:r>
              <w:t xml:space="preserve"> </w:t>
            </w:r>
            <w:r>
              <w:rPr>
                <w:b/>
                <w:i/>
              </w:rPr>
              <w:t>v této souvislosti zdůrazňuje, že jsou zapotřebí další opatření, která podpoří digitalizaci a</w:t>
            </w:r>
            <w:r>
              <w:t xml:space="preserve"> zjednodušení </w:t>
            </w:r>
            <w:r>
              <w:rPr>
                <w:b/>
                <w:i/>
              </w:rPr>
              <w:t>a zároveň zachovají</w:t>
            </w:r>
            <w:r>
              <w:t> obezřetnostní normy, normy v oblasti ochrany spotřebitele nebo stability; vyzývá k vyváženému a integrovanějšímu přístupu</w:t>
            </w:r>
            <w:r>
              <w:rPr>
                <w:b/>
                <w:i/>
              </w:rPr>
              <w:t>, který by zahrnoval například centralizované datové centrum a byl by založen na standardizovaných definicích a sdílen všemi orgány s cílem omezit zdvojování, zlepšit kvalitu údajů a snížit administrativní zátěž bank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zdůrazňuje, že důkladné, konzistentní a včasné účetní výkaznictví má zásadní význam pro dohled a stabilitu; </w:t>
            </w:r>
            <w:r>
              <w:rPr>
                <w:b/>
                <w:i/>
              </w:rPr>
              <w:t>zdůrazňuje, že zjednodušení nesmí oslabit obezřetnostní normy, normy v</w:t>
            </w:r>
            <w:r>
              <w:t xml:space="preserve"> oblasti </w:t>
            </w:r>
            <w:r>
              <w:rPr>
                <w:b/>
                <w:i/>
              </w:rPr>
              <w:t>ochrany spotřebitele nebo stability;</w:t>
            </w:r>
            <w:r>
              <w:t xml:space="preserve"> </w:t>
            </w:r>
            <w:r>
              <w:rPr>
                <w:b/>
                <w:i/>
              </w:rPr>
              <w:t>vyzývá k vyváženému a integrovanějšímu přístupu se společným datovým slovníkem a úložištěm žádostí, aby se snížila zbytečná složitost a zároveň se zachovala pevnost rámce bankovní unie</w:t>
            </w:r>
            <w:r>
              <w:t>;</w:t>
            </w:r>
          </w:p>
        </w:tc>
        <w:tc>
          <w:tcPr>
            <w:tcW w:w="4876" w:type="dxa"/>
            <w:tcBorders>
              <w:top w:val="nil"/>
              <w:left w:val="nil"/>
              <w:bottom w:val="nil"/>
              <w:right w:val="nil"/>
            </w:tcBorders>
          </w:tcPr>
          <w:p>
            <w:pPr>
              <w:pStyle w:val="Normal6a"/>
            </w:pPr>
            <w:r>
              <w:t>9.</w:t>
            </w:r>
            <w:r>
              <w:tab/>
            </w:r>
            <w:r>
              <w:t xml:space="preserve">zdůrazňuje, že důkladné, konzistentní a včasné účetní výkaznictví má zásadní význam pro dohled a stabilitu; </w:t>
            </w:r>
            <w:r>
              <w:rPr>
                <w:b/>
                <w:i/>
              </w:rPr>
              <w:t>konstatuje však, že je třeba systém zjednodušit, zejména pro menší subjekty;</w:t>
            </w:r>
            <w:r>
              <w:t xml:space="preserve"> </w:t>
            </w:r>
            <w:r>
              <w:rPr>
                <w:b/>
                <w:i/>
              </w:rPr>
              <w:t>je toho názoru, že požadavky v této</w:t>
            </w:r>
            <w:r>
              <w:t xml:space="preserve"> oblasti </w:t>
            </w:r>
            <w:r>
              <w:rPr>
                <w:b/>
                <w:i/>
              </w:rPr>
              <w:t>by měly být přiměřené a přizpůsobené zvláštnostem evropského bankovního sektoru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zdůrazňuje, že důkladné, konzistentní a včasné účetní výkaznictví má zásadní význam pro dohled a stabilitu; zdůrazňuje, že zjednodušení </w:t>
            </w:r>
            <w:r>
              <w:rPr>
                <w:b/>
                <w:i/>
              </w:rPr>
              <w:t>nesmí oslabit obezřetnostní normy, normy v oblasti</w:t>
            </w:r>
            <w:r>
              <w:t xml:space="preserve"> ochrany spotřebitele nebo stability; </w:t>
            </w:r>
            <w:r>
              <w:rPr>
                <w:b/>
                <w:i/>
              </w:rPr>
              <w:t>vyzývá k vyváženému a integrovanějšímu přístupu se společným datovým slovníkem a úložištěm žádostí, aby se snížila zbytečná složitost a zároveň se zachovala pevnost rámce bankovní unie;</w:t>
            </w:r>
          </w:p>
        </w:tc>
        <w:tc>
          <w:tcPr>
            <w:tcW w:w="4876" w:type="dxa"/>
            <w:tcBorders>
              <w:top w:val="nil"/>
              <w:left w:val="nil"/>
              <w:bottom w:val="nil"/>
              <w:right w:val="nil"/>
            </w:tcBorders>
          </w:tcPr>
          <w:p>
            <w:pPr>
              <w:pStyle w:val="Normal6a"/>
            </w:pPr>
            <w:r>
              <w:t>9.</w:t>
            </w:r>
            <w:r>
              <w:tab/>
            </w:r>
            <w:r>
              <w:t xml:space="preserve">zdůrazňuje, že důkladné, konzistentní a včasné účetní výkaznictví má zásadní význam pro dohled a stabilitu; zdůrazňuje, že zjednodušení </w:t>
            </w:r>
            <w:r>
              <w:rPr>
                <w:b/>
                <w:i/>
              </w:rPr>
              <w:t>by se mělo zaměřit na odstranění zdvojování a zbytečné složitosti, aniž by byla oslabena pravidla obezřetnosti,</w:t>
            </w:r>
            <w:r>
              <w:t xml:space="preserve"> ochrany spotřebitele nebo stability;</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zdůrazňuje, že důkladné, konzistentní a včasné účetní výkaznictví má zásadní význam pro dohled a stabilitu; </w:t>
            </w:r>
            <w:r>
              <w:rPr>
                <w:b/>
                <w:i/>
              </w:rPr>
              <w:t>zdůrazňuje, že zjednodušení nesmí oslabit obezřetnostní normy, normy v oblasti ochrany spotřebitele nebo stability;</w:t>
            </w:r>
            <w:r>
              <w:t xml:space="preserve"> vyzývá k vyváženému a integrovanějšímu </w:t>
            </w:r>
            <w:r>
              <w:rPr>
                <w:b/>
                <w:i/>
              </w:rPr>
              <w:t>přístupu</w:t>
            </w:r>
            <w:r>
              <w:t xml:space="preserve"> se společným datovým slovníkem a úložištěm žádostí, aby se snížila zbytečná složitost a zároveň se zachovala pevnost rámce bankovní unie;</w:t>
            </w:r>
          </w:p>
        </w:tc>
        <w:tc>
          <w:tcPr>
            <w:tcW w:w="4876" w:type="dxa"/>
            <w:tcBorders>
              <w:top w:val="nil"/>
              <w:left w:val="nil"/>
              <w:bottom w:val="nil"/>
              <w:right w:val="nil"/>
            </w:tcBorders>
          </w:tcPr>
          <w:p>
            <w:pPr>
              <w:pStyle w:val="Normal6a"/>
            </w:pPr>
            <w:r>
              <w:t>9.</w:t>
            </w:r>
            <w:r>
              <w:tab/>
            </w:r>
            <w:r>
              <w:t>zdůrazňuje, že důkladné, konzistentní a včasné účetní výkaznictví má zásadní význam pro dohled a stabilitu; vyzývá k vyváženému</w:t>
            </w:r>
            <w:r>
              <w:rPr>
                <w:b/>
                <w:i/>
              </w:rPr>
              <w:t>, méně zatěžujícímu</w:t>
            </w:r>
            <w:r>
              <w:t xml:space="preserve"> a integrovanějšímu </w:t>
            </w:r>
            <w:r>
              <w:rPr>
                <w:b/>
                <w:i/>
              </w:rPr>
              <w:t>pojetí podávání zpráv orgánům dohledu,</w:t>
            </w:r>
            <w:r>
              <w:t xml:space="preserve"> se společným datovým slovníkem a úložištěm žádostí, aby se snížila zbytečná složitost a zároveň se zachovala pevnost rámce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zdůrazňuje, že důkladné, konzistentní a včasné účetní výkaznictví má zásadní význam pro dohled a stabilitu; zdůrazňuje, že zjednodušení nesmí oslabit </w:t>
            </w:r>
            <w:r>
              <w:rPr>
                <w:b/>
                <w:i/>
              </w:rPr>
              <w:t>obezřetnostní normy,</w:t>
            </w:r>
            <w:r>
              <w:t xml:space="preserve"> normy v oblasti ochrany spotřebitele nebo stability; vyzývá k vyváženému a integrovanějšímu přístupu se společným datovým slovníkem a úložištěm žádostí, aby se snížila zbytečná složitost a zároveň se zachovala pevnost rámce bankovní unie;</w:t>
            </w:r>
          </w:p>
        </w:tc>
        <w:tc>
          <w:tcPr>
            <w:tcW w:w="4876" w:type="dxa"/>
            <w:tcBorders>
              <w:top w:val="nil"/>
              <w:left w:val="nil"/>
              <w:bottom w:val="nil"/>
              <w:right w:val="nil"/>
            </w:tcBorders>
          </w:tcPr>
          <w:p>
            <w:pPr>
              <w:pStyle w:val="Normal6a"/>
            </w:pPr>
            <w:r>
              <w:t>9.</w:t>
            </w:r>
            <w:r>
              <w:tab/>
            </w:r>
            <w:r>
              <w:t>zdůrazňuje, že důkladné, konzistentní a včasné účetní výkaznictví má zásadní význam pro dohled a stabilitu; zdůrazňuje, že zjednodušení nesmí oslabit normy v oblasti</w:t>
            </w:r>
            <w:r>
              <w:rPr>
                <w:b/>
                <w:i/>
              </w:rPr>
              <w:t> obezřetnostní odolnosti,</w:t>
            </w:r>
            <w:r>
              <w:t xml:space="preserve"> ochrany spotřebitele nebo stability; vyzývá k vyváženému a integrovanějšímu přístupu se společným datovým slovníkem a úložištěm žádostí, aby se snížila zbytečná složitost a zároveň se zachovala pevnost rámce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konstatuje, že bankovní sektor čelí četným překrývajícím se, nejednotným a někdy protichůdným pravidlům;</w:t>
            </w:r>
            <w:r>
              <w:t xml:space="preserve"> </w:t>
            </w:r>
            <w:r>
              <w:rPr>
                <w:b/>
                <w:i/>
              </w:rPr>
              <w:t>vítá nadcházející komplexní přezkum konkurenceschopnosti bankovního sektoru EU, který Komise provede v roce 2026;</w:t>
            </w:r>
            <w:r>
              <w:t xml:space="preserve"> </w:t>
            </w:r>
            <w:r>
              <w:rPr>
                <w:b/>
                <w:i/>
              </w:rPr>
              <w:t>vyzývá Komisi, aby snížila zbytečnou regulační zátěž bankovního sektoru, tak aby neomezovala jeho konkurenceschopnost;</w:t>
            </w:r>
            <w:r>
              <w:t xml:space="preserve"> </w:t>
            </w:r>
            <w:r>
              <w:rPr>
                <w:b/>
                <w:i/>
              </w:rPr>
              <w:t>vyzývá v této souvislosti Komisi, aby u všech nových právních předpisů zavedla testy konkurenceschopnosti, zefektivnila legislativní procesy, například snížením počtu ustanovení o automatickém přezkumu a zavedením moratoria na nepodstatná nová pravidla, ale i systematickým odstraňováním nadbytečných povinností týkajících se podávání zpráv nebo zveřejňování informací;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vyzývá k usnadnění práce orgánů dohledu, aby se zabránilo nepřiměřeným omezením při uplatňování digitálních inovativních nástrojů, které mohou zvýšit celkovou produktivitu a konkurenceschopnost;</w:t>
            </w:r>
            <w:r>
              <w:t xml:space="preserve"> </w:t>
            </w:r>
            <w:r>
              <w:rPr>
                <w:b/>
                <w:i/>
              </w:rPr>
              <w:t>vybízí k přijetí přiměřeného přístupu založeného na zásadách, který by zabránil vzniku překážek bránících inovacím;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vítá vznik pracovní skupiny Evropské centrální banky na vysoké úrovni pro zjednodušení;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9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zdůrazňuje, že je důležité zajistit proporcionalitu bankovního regulačního rámce EU s přihlédnutím k velikosti a složitosti různých institucí;</w:t>
            </w:r>
            <w:r>
              <w:t xml:space="preserve"> </w:t>
            </w:r>
            <w:r>
              <w:rPr>
                <w:b/>
                <w:i/>
              </w:rPr>
              <w:t>poukazuje na význam malých bank při podpoře malých a středních podniků a místních ekonomik a vyzývá Komisi, aby zajistila, aby byla jakákoli regulace i nadále citlivá vůči rizikům, aby byla vyvážená a aby podporovala rozmanitý a konkurenceschopný bankovní sektor v celé 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uznává institucionální </w:t>
            </w:r>
            <w:r>
              <w:rPr>
                <w:b/>
                <w:i/>
              </w:rPr>
              <w:t>a regulační pokrok, který posílil odolnost bank v eurozóně</w:t>
            </w:r>
            <w:r>
              <w:t xml:space="preserve">; konstatuje, že </w:t>
            </w:r>
            <w:r>
              <w:rPr>
                <w:b/>
                <w:i/>
              </w:rPr>
              <w:t>stále přetrvávají překážky, které brání využití plného potenciálu jednotného trhu EU v oblasti finančních služeb</w:t>
            </w:r>
            <w:r>
              <w:t xml:space="preserve">; </w:t>
            </w:r>
            <w:r>
              <w:rPr>
                <w:b/>
                <w:i/>
              </w:rPr>
              <w:t>vyzývá Komisi, členské státy a orgány EU, aby sladily své ambice s konkrétními kroky k dokončení unie úspor a investic a jednotného trhu a podpořily zjednodušení a konkurenceschopnost;</w:t>
            </w:r>
          </w:p>
        </w:tc>
        <w:tc>
          <w:tcPr>
            <w:tcW w:w="4876" w:type="dxa"/>
            <w:tcBorders>
              <w:top w:val="nil"/>
              <w:left w:val="nil"/>
              <w:bottom w:val="nil"/>
              <w:right w:val="nil"/>
            </w:tcBorders>
          </w:tcPr>
          <w:p>
            <w:pPr>
              <w:pStyle w:val="Normal6a"/>
            </w:pPr>
            <w:r>
              <w:t>10.</w:t>
            </w:r>
            <w:r>
              <w:tab/>
            </w:r>
            <w:r>
              <w:t xml:space="preserve">uznává institucionální </w:t>
            </w:r>
            <w:r>
              <w:rPr>
                <w:b/>
                <w:i/>
              </w:rPr>
              <w:t>vývoj v oblasti odolnosti</w:t>
            </w:r>
            <w:r>
              <w:t xml:space="preserve">; konstatuje, že </w:t>
            </w:r>
            <w:r>
              <w:rPr>
                <w:b/>
                <w:i/>
              </w:rPr>
              <w:t>neustálé přijímání množství nových právních předpisů nadále podkopává skutečný potenciál evropského bankovního sektoru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uznává institucionální a regulační pokrok, který posílil odolnost bank v </w:t>
            </w:r>
            <w:r>
              <w:rPr>
                <w:b/>
                <w:i/>
              </w:rPr>
              <w:t>eurozóně</w:t>
            </w:r>
            <w:r>
              <w:t xml:space="preserve">; konstatuje, že stále přetrvávají překážky, které brání využití plného potenciálu jednotného trhu EU v oblasti finančních služeb; vyzývá Komisi, členské státy a orgány EU, aby sladily své ambice s konkrétními kroky k dokončení unie úspor a investic a jednotného trhu </w:t>
            </w:r>
            <w:r>
              <w:rPr>
                <w:b/>
                <w:i/>
              </w:rPr>
              <w:t>a podpořily zjednodušení a konkurenceschopnost</w:t>
            </w:r>
            <w:r>
              <w:t>;</w:t>
            </w:r>
          </w:p>
        </w:tc>
        <w:tc>
          <w:tcPr>
            <w:tcW w:w="4876" w:type="dxa"/>
            <w:tcBorders>
              <w:top w:val="nil"/>
              <w:left w:val="nil"/>
              <w:bottom w:val="nil"/>
              <w:right w:val="nil"/>
            </w:tcBorders>
          </w:tcPr>
          <w:p>
            <w:pPr>
              <w:pStyle w:val="Normal6a"/>
            </w:pPr>
            <w:r>
              <w:t>10.</w:t>
            </w:r>
            <w:r>
              <w:tab/>
            </w:r>
            <w:r>
              <w:t xml:space="preserve">uznává institucionální a regulační pokrok, který posílil odolnost bank v </w:t>
            </w:r>
            <w:r>
              <w:rPr>
                <w:b/>
                <w:i/>
              </w:rPr>
              <w:t>EU</w:t>
            </w:r>
            <w:r>
              <w:t xml:space="preserve">; konstatuje, že stále přetrvávají překážky, které brání využití plného potenciálu jednotného trhu EU v oblasti finančních služeb; vyzývá Komisi, členské státy a orgány EU, aby </w:t>
            </w:r>
            <w:r>
              <w:rPr>
                <w:b/>
                <w:i/>
              </w:rPr>
              <w:t>s cílem zajistit nezbytné investice do spravedlivé ekologické transformace</w:t>
            </w:r>
            <w:r>
              <w:t xml:space="preserve"> sladily své ambice s konkrétními kroky k dokončení unie úspor a investic a jednotného trhu</w:t>
            </w:r>
            <w:r>
              <w:rPr>
                <w:b/>
                <w:i/>
              </w:rPr>
              <w:t>;</w:t>
            </w:r>
            <w:r>
              <w:t xml:space="preserve"> </w:t>
            </w:r>
            <w:r>
              <w:rPr>
                <w:b/>
                <w:i/>
              </w:rPr>
              <w:t>poukazuje na to, že v rámci těchto snah má význam nařízení o taxonomii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uznává institucionální a regulační pokrok, který posílil odolnost bank v eurozóně; konstatuje, že stále přetrvávají překážky, které brání využití plného potenciálu jednotného trhu EU v oblasti finančních služeb; vyzývá Komisi, členské státy a orgány EU, aby sladily své ambice s konkrétními kroky k dokončení unie úspor a investic a jednotného trhu a podpořily zjednodušení a konkurenceschopnost;</w:t>
            </w:r>
          </w:p>
        </w:tc>
        <w:tc>
          <w:tcPr>
            <w:tcW w:w="4876" w:type="dxa"/>
            <w:tcBorders>
              <w:top w:val="nil"/>
              <w:left w:val="nil"/>
              <w:bottom w:val="nil"/>
              <w:right w:val="nil"/>
            </w:tcBorders>
          </w:tcPr>
          <w:p>
            <w:pPr>
              <w:pStyle w:val="Normal6a"/>
            </w:pPr>
            <w:r>
              <w:t>10.</w:t>
            </w:r>
            <w:r>
              <w:tab/>
            </w:r>
            <w:r>
              <w:t xml:space="preserve">uznává institucionální a regulační pokrok, který posílil odolnost bank v eurozóně; konstatuje, že stále přetrvávají </w:t>
            </w:r>
            <w:r>
              <w:rPr>
                <w:b/>
                <w:i/>
              </w:rPr>
              <w:t>závažné</w:t>
            </w:r>
            <w:r>
              <w:t xml:space="preserve"> překážky, které brání využití plného potenciálu jednotného trhu EU v oblasti finančních služeb; vyzývá Komisi, členské státy a orgány EU, aby sladily své ambice s konkrétními kroky k dokončení unie úspor a investic a jednotného trhu a podpořily zjednodušení a konkurenceschopnost; </w:t>
            </w:r>
            <w:r>
              <w:rPr>
                <w:b/>
                <w:i/>
              </w:rPr>
              <w:t>vyzývá Komisi, aby byla ve své zprávě o konkurenceschopnosti bankovního sektoru EU za rok 2026 ambiciózní a odvážná, aby šla nad rámec pouhého zjednodušení a předložila konkrétní proveditelné návrhy na zajištění větší integrace trhu, rovných podmínek na mezinárodní úrovni a konkurenceschopnosti evropských bank;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zdůrazňuje, že vzhledem k přetrvávající geopolitické nejistotě, potenciálně nadhodnoceným akciovým trhům a nedávným případům otřesů v USA, k nimž došlo po netransparentním poskytování úvěrů v nebankovním sektoru (soukromých úvěrů), by se orgány dohledu měly zaměřovat na výhled do budoucna a dostatečně sledovat rizika a banky by měly udržovat odpovídající kapitálové rezervy a zajistit svou operativní odolnost;</w:t>
            </w:r>
            <w:r>
              <w:t xml:space="preserve"> </w:t>
            </w:r>
            <w:r>
              <w:rPr>
                <w:b/>
                <w:i/>
              </w:rPr>
              <w:t>poukazuje v této souvislosti na to, že je třeba zlepšit dohled nad nebankovními finančními zprostředkovateli a zvýšit jejich odolnost;</w:t>
            </w:r>
            <w:r>
              <w:t xml:space="preserve"> </w:t>
            </w:r>
            <w:r>
              <w:rPr>
                <w:b/>
                <w:i/>
              </w:rPr>
              <w:t>zdůrazňuje, že obezřetný dohled dnes může chránit daňové poplatníky, vkladatele a reálnou ekonomiku před budoucími ztrátami;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Arba Kokalari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vybízí k většímu využívání umělé inteligence v bankovním sektoru vzhledem k jejímu potenciálu, pokud jde o zajištění vyšší účinnosti, dalších inovací a lepších spotřebitelských služeb a o účinnější předcházení podvodům;</w:t>
            </w:r>
            <w:r>
              <w:t xml:space="preserve"> </w:t>
            </w:r>
            <w:r>
              <w:rPr>
                <w:b/>
                <w:i/>
              </w:rPr>
              <w:t>zdůrazňuje, že regulace na úrovni EU se nesmí stát překážkou, která by bránila technickým inovacím a jejich začlenění do bankovního sektoru tím, že vyvolá nejistotu a nejasnosti mezi účastníky trhu, pokud jde o používání umělé inteligence v souladu s právními předpisy;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vítá zprávu ECB o zjednodušení evropského obezřetnostního rámce pro regulaci, dohled a vykazování z prosince 2025 a zprávu orgánu EBA o účinnosti regulačního rámce a rámce dohledu;</w:t>
            </w:r>
            <w:r>
              <w:t xml:space="preserve"> </w:t>
            </w:r>
            <w:r>
              <w:rPr>
                <w:b/>
                <w:i/>
              </w:rPr>
              <w:t>vyzývá Komisi, aby v rámci svého nadcházejícího přezkumu konkurenceschopnosti bankovní unie navázala na návrhy obsažené v těchto zprávách a dále je rozpracovala;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vyzývá ECB, aby přijala vhodná opatření k odstranění veškerých překážek bránících oživení krátkodobých nezajištěných mezibankovních trhů, které se od velké finanční krize výrazně zmenšily;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domnívá se, že nedošlo k vyřešení základní otázky týkající se bank, které jsou příliš velké na to, aby mohly padnout, a že to vyžaduje provedení strukturální reformy;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vítá snahu Komise provést hodnocení konkurenceschopnosti evropského bankovního sektoru v roce 2026;</w:t>
            </w:r>
            <w:r>
              <w:t xml:space="preserve"> </w:t>
            </w:r>
            <w:r>
              <w:rPr>
                <w:b/>
                <w:i/>
              </w:rPr>
              <w:t>vyzývá ji, aby předložila ambiciózní zprávu, k níž by byly přiloženy legislativní návrhy na podstatné zvýšení konkurenceschopnosti evropského bankovního sektoru;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vybízí ECB, aby odstranila všechny zbývající překážky, které brání přeshraničním bankovním fúzím, a aby zajistila finanční stabilitu a zároveň pomohla dosáhnout integrace evropského bankovního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zdůrazňuje, že evropská bankovní pravidla musejí více odpovídat velikosti, obchodnímu modelu, složitosti a rizikovému profilu institucí;</w:t>
            </w:r>
            <w:r>
              <w:t xml:space="preserve"> </w:t>
            </w:r>
            <w:r>
              <w:rPr>
                <w:b/>
                <w:i/>
              </w:rPr>
              <w:t>poukazuje na to, že jiné významné jurisdikce se rozhodly pro zvláštní, přiměřenější režim pro malé banky;</w:t>
            </w:r>
            <w:r>
              <w:t xml:space="preserve"> </w:t>
            </w:r>
            <w:r>
              <w:rPr>
                <w:b/>
                <w:i/>
              </w:rPr>
              <w:t>vyzývá Komisi, aby využila nadcházejícího přezkumu konkurenceschopnosti bankovnictví jako příležitosti k vytvoření zvláštního bankovního režimu pro malé banky, které nepůsobí na mezinárodní úrovni, jenž by byl podstatně mírnější než velmi složité obezřetnostní a dohledové požadavky, které se v současné době uplatňují na všechny evropské banky a které byly primárně navrženy pro velké, mezinárodně aktivní a systémově významné bankovní skupiny;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konstatuje, že regulace ovlivňující bankovní sektor by mohla být přiměřenější, a vyjadřuje politování nad nadměrnou zátěží, kterou malé banky nesou a která jim brání v růstu a dosažení větší konkurenceschopnosti; vybízí k navržení zcela samostatného souboru pravidel pro malé banky, které by se rozhodly se jej účastnit;</w:t>
            </w:r>
            <w:r>
              <w:t xml:space="preserve"> </w:t>
            </w:r>
            <w:r>
              <w:rPr>
                <w:b/>
                <w:i/>
              </w:rPr>
              <w:t>je toho názoru, že tento navrhovaný „režim pro malé bankovnictví“ musí reagovat na potřeby těchto bank prostřednictvím přiměřenější regulace, kterou už zavedly jiné jurisdikce a globální finanční centra;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se znepokojením konstatuje, že expozice bank vůči domácímu státnímu dluhu je i nadále velmi vysoká;</w:t>
            </w:r>
            <w:r>
              <w:t xml:space="preserve"> </w:t>
            </w:r>
            <w:r>
              <w:rPr>
                <w:b/>
                <w:i/>
              </w:rPr>
              <w:t>připomíná, že přerušení vazby mezi bankovním a státním rizikem zůstává pro bankovní unii výzvou;</w:t>
            </w:r>
            <w:r>
              <w:t xml:space="preserve"> </w:t>
            </w:r>
            <w:r>
              <w:rPr>
                <w:b/>
                <w:i/>
              </w:rPr>
              <w:t>zdůrazňuje, že riziko v rozvahách bank lze dále snížit prostřednictvím vhodnějšího režimu regulace státních expozic;</w:t>
            </w:r>
            <w:r>
              <w:t xml:space="preserve"> </w:t>
            </w:r>
            <w:r>
              <w:rPr>
                <w:b/>
                <w:i/>
              </w:rPr>
              <w:t>vyzývá Komisi, aby předložila legislativní návrh, který by zavedl vhodné vážení rizik týkajících se státních expozic;</w:t>
            </w:r>
            <w:r>
              <w:t xml:space="preserve"> </w:t>
            </w:r>
            <w:r>
              <w:rPr>
                <w:b/>
                <w:i/>
              </w:rPr>
              <w:t>zdůrazňuje, že vzhledem k rostoucímu objemu veřejného dluhu je stále naléhavěji nutné zavést vhodný režim pro státní expozice;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d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10d.</w:t>
            </w:r>
            <w:r>
              <w:tab/>
            </w:r>
            <w:r>
              <w:rPr>
                <w:b/>
                <w:i/>
              </w:rPr>
              <w:t>vybízí k dosažení dalšího pokroku, pokud jde o komplexní zefektivnění souboru finančních pravidel EU, a k odstranění nadbytečných povinností týkajících se podávání zpráv nebo zveřejňování informací;</w:t>
            </w:r>
            <w:r>
              <w:t xml:space="preserve"> </w:t>
            </w:r>
            <w:r>
              <w:rPr>
                <w:b/>
                <w:i/>
              </w:rPr>
              <w:t>požaduje zjednodušení struktury kapitálu, tak aby došlo ke snížení počtu překrývajících se rezerv a dalších povinností v oblasti dohledu, s cílem vytvořit jasnější a transparentnější hierarchii kapitálových požadavků;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e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10e.</w:t>
            </w:r>
            <w:r>
              <w:tab/>
            </w:r>
            <w:r>
              <w:rPr>
                <w:b/>
                <w:i/>
              </w:rPr>
              <w:t>poukazuje na roztříštěnost evropského bankovního trhu, která brání zvyšování účinnosti a vytváří překrývající se předpisy a duplicitní požadavky, a to i v oblasti ochrany spotřebitele;</w:t>
            </w:r>
            <w:r>
              <w:t xml:space="preserve"> </w:t>
            </w:r>
            <w:r>
              <w:rPr>
                <w:b/>
                <w:i/>
              </w:rPr>
              <w:t>zdůrazňuje, že je třeba dokončit budování jednotného bankovního trhu a omezit stávající strukturální účelové vázání, které nutí dceřiné společnosti držet kapitál a likviditu v daném místě;</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10 f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10f.</w:t>
            </w:r>
            <w:r>
              <w:tab/>
            </w:r>
            <w:r>
              <w:rPr>
                <w:b/>
                <w:i/>
              </w:rPr>
              <w:t>vyzývá Komisi, aby zvážila, zda by úloha a úkoly Evropského orgánu pro bankovnictví nemohly být dále rozvíjeny s cílem lépe zohlednit dopad regulačních a dohledových norem na inovace a mezinárodní konkurenceschopnost bankovního sektoru EU, aniž by byl dotčen jeho základní obezřetnostní mandát;</w:t>
            </w:r>
            <w:r>
              <w:t xml:space="preserve"> </w:t>
            </w:r>
            <w:r>
              <w:rPr>
                <w:b/>
                <w:i/>
              </w:rPr>
              <w:t>zdůrazňuje, že podpora přiměřených postupů dohledu vstřícných k inovacím má zásadní význam z hlediska toho, aby bankovní unie zůstala odolná, konkurenceschopná a schopná podporovat růst reálné ekonomiky;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konstatuje, že souhrnný poměr kmenového kapitálu tier 1 (CET1) bank v rámci jednotného mechanismu dohledu dosáhl ve </w:t>
            </w:r>
            <w:r>
              <w:rPr>
                <w:b/>
                <w:i/>
              </w:rPr>
              <w:t>2</w:t>
            </w:r>
            <w:r>
              <w:t xml:space="preserve">. čtvrtletí 2025 úrovně </w:t>
            </w:r>
            <w:r>
              <w:rPr>
                <w:b/>
                <w:i/>
              </w:rPr>
              <w:t>16,12</w:t>
            </w:r>
            <w:r>
              <w:t xml:space="preserve"> %, přičemž návratnost vlastního kapitálu činila </w:t>
            </w:r>
            <w:r>
              <w:rPr>
                <w:b/>
                <w:i/>
              </w:rPr>
              <w:t>10,11</w:t>
            </w:r>
            <w:r>
              <w:t> %, zatímco objem úvěrů v selhání se snížil na 2,22 % a objem úvěrů stupně 2 činí 9,59 %</w:t>
            </w:r>
            <w:r>
              <w:rPr>
                <w:vertAlign w:val="superscript"/>
              </w:rPr>
              <w:t>15</w:t>
            </w:r>
            <w:r>
              <w:t>; zdůrazňuje, že je třeba sledovat úvěrové riziko a zároveň udržovat dostatečný kapitál a likviditu, aby byl bankovní sektor odolný;</w:t>
            </w:r>
          </w:p>
        </w:tc>
        <w:tc>
          <w:tcPr>
            <w:tcW w:w="4876" w:type="dxa"/>
            <w:tcBorders>
              <w:top w:val="nil"/>
              <w:left w:val="nil"/>
              <w:bottom w:val="nil"/>
              <w:right w:val="nil"/>
            </w:tcBorders>
          </w:tcPr>
          <w:p>
            <w:pPr>
              <w:pStyle w:val="Normal6a"/>
            </w:pPr>
            <w:r>
              <w:t>11.</w:t>
            </w:r>
            <w:r>
              <w:tab/>
            </w:r>
            <w:r>
              <w:t>konstatuje, že souhrnný poměr kmenového kapitálu tier 1 (CET1) bank v rámci jednotného mechanismu dohledu dosáhl ve </w:t>
            </w:r>
            <w:r>
              <w:rPr>
                <w:b/>
                <w:i/>
              </w:rPr>
              <w:t>3</w:t>
            </w:r>
            <w:r>
              <w:t xml:space="preserve">. čtvrtletí 2025 úrovně </w:t>
            </w:r>
            <w:r>
              <w:rPr>
                <w:b/>
                <w:i/>
              </w:rPr>
              <w:t>16,10</w:t>
            </w:r>
            <w:r>
              <w:t xml:space="preserve"> %, přičemž návratnost vlastního kapitálu činila </w:t>
            </w:r>
            <w:r>
              <w:rPr>
                <w:b/>
                <w:i/>
              </w:rPr>
              <w:t>9,88</w:t>
            </w:r>
            <w:r>
              <w:t xml:space="preserve"> %, zatímco objem úvěrů v selhání se snížil na 2,22 % a objem úvěrů stupně 2 činí 9,59 %</w:t>
            </w:r>
            <w:r>
              <w:rPr>
                <w:vertAlign w:val="superscript"/>
              </w:rPr>
              <w:t>15</w:t>
            </w:r>
            <w:r>
              <w:t>; zdůrazňuje, že je třeba sledovat úvěrové riziko a zároveň udržovat dostatečný kapitál a likviditu, aby byl bankovní sektor odolný;</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ECB, Statistika bankovního dohledu (</w:t>
            </w:r>
            <w:r>
              <w:rPr>
                <w:b/>
                <w:i/>
              </w:rPr>
              <w:t>2</w:t>
            </w:r>
            <w:r>
              <w:t>. čtvrtletí 2025).</w:t>
            </w:r>
          </w:p>
        </w:tc>
        <w:tc>
          <w:tcPr>
            <w:tcW w:w="4876" w:type="dxa"/>
            <w:tcBorders>
              <w:top w:val="nil"/>
              <w:left w:val="nil"/>
              <w:bottom w:val="nil"/>
              <w:right w:val="nil"/>
            </w:tcBorders>
          </w:tcPr>
          <w:p>
            <w:pPr>
              <w:pStyle w:val="Normal6a"/>
            </w:pPr>
            <w:r>
              <w:rPr>
                <w:vertAlign w:val="superscript"/>
              </w:rPr>
              <w:t>15</w:t>
            </w:r>
            <w:r>
              <w:t xml:space="preserve"> </w:t>
            </w:r>
            <w:r>
              <w:t>ECB, Statistika bankovního dohledu (</w:t>
            </w:r>
            <w:r>
              <w:rPr>
                <w:b/>
                <w:i/>
              </w:rPr>
              <w:t>3</w:t>
            </w:r>
            <w:r>
              <w:t>. čtvrtletí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konstatuje, že souhrnný poměr kmenového kapitálu tier 1 (CET1) bank v rámci jednotného mechanismu dohledu dosáhl ve 2. čtvrtletí 2025 úrovně 16,12 %, přičemž návratnost vlastního kapitálu činila 10,11 %, zatímco objem úvěrů v selhání se snížil na 2,22 % a objem úvěrů stupně 2 činí 9,59 %</w:t>
            </w:r>
            <w:r>
              <w:rPr>
                <w:b/>
                <w:i/>
                <w:vertAlign w:val="superscript"/>
              </w:rPr>
              <w:t>15</w:t>
            </w:r>
            <w:r>
              <w:t>; zdůrazňuje, že je třeba sledovat úvěrové riziko a zároveň udržovat dostatečný kapitál a likviditu, aby byl bankovní sektor odolný;</w:t>
            </w:r>
          </w:p>
        </w:tc>
        <w:tc>
          <w:tcPr>
            <w:tcW w:w="4876" w:type="dxa"/>
            <w:tcBorders>
              <w:top w:val="nil"/>
              <w:left w:val="nil"/>
              <w:bottom w:val="nil"/>
              <w:right w:val="nil"/>
            </w:tcBorders>
          </w:tcPr>
          <w:p>
            <w:pPr>
              <w:pStyle w:val="Normal6a"/>
            </w:pPr>
            <w:r>
              <w:t>11.</w:t>
            </w:r>
            <w:r>
              <w:tab/>
            </w:r>
            <w:r>
              <w:t xml:space="preserve">konstatuje, že souhrnný poměr kmenového kapitálu tier 1 (CET1) bank v rámci jednotného mechanismu dohledu dosáhl ve 2. čtvrtletí 2025 úrovně 16,12 %, přičemž návratnost vlastního kapitálu činila 10,11 %, zatímco objem úvěrů v selhání se snížil na 2,22 % a objem úvěrů stupně 2 činí 9,59 %; zdůrazňuje, že je třeba sledovat úvěrové riziko a zároveň udržovat dostatečný kapitál a likviditu, aby byl bankovní sektor odolný; </w:t>
            </w:r>
            <w:r>
              <w:rPr>
                <w:b/>
                <w:i/>
              </w:rPr>
              <w:t>zdůrazňuje, že tento pokrok v oblasti snižování rizik nebyl doprovázen odpovídajícím pokrokem v oblasti sdílení rizik;</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ECB, Statistika bankovního dohledu (2.</w:t>
            </w:r>
            <w:r>
              <w:t xml:space="preserve"> </w:t>
            </w:r>
            <w:r>
              <w:rPr>
                <w:b/>
                <w:i/>
              </w:rPr>
              <w:t>čtvrtletí 2025).</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upozorňuje na nepříznivé makroekonomické podmínky a geopolitické překážky, které by mohly vést ke zhoršení kvality aktiv;</w:t>
            </w:r>
            <w:r>
              <w:t xml:space="preserve"> </w:t>
            </w:r>
            <w:r>
              <w:rPr>
                <w:b/>
                <w:i/>
              </w:rPr>
              <w:t>poukazuje proto na význam obezřetného řízení rizik a vhodného vytváření rezerv;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expozice bank eurozóny vůči státnímu dluhu zůstává vysoká, a upozorňuje na související rizika;</w:t>
            </w:r>
            <w:r>
              <w:t xml:space="preserve"> </w:t>
            </w:r>
            <w:r>
              <w:rPr>
                <w:b/>
                <w:i/>
              </w:rPr>
              <w:t>připomíná, že jedním z hlavních cílů bankovní unie je přerušení bludného kruhu vazeb mezi státem a bankami;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zdůrazňuje, že Rada pro finanční stabilitu, Evropská rada pro systémová rizika (ESRB) a další mezinárodní a evropské orgány opakovaně poukazují na riziko vyplývající z nebankovního finančního sektoru, zejména kvůli jeho většímu propojení s tradičním bankovním sektorem;</w:t>
            </w:r>
            <w:r>
              <w:t xml:space="preserve"> </w:t>
            </w:r>
            <w:r>
              <w:rPr>
                <w:b/>
                <w:i/>
              </w:rPr>
              <w:t>podporuje doporučení Eurosystému zavést zátěžové testy celého systému pro vyhledávání a kvantifikaci rizik ohrožujících odolnost klíčových trhů;</w:t>
            </w:r>
            <w:r>
              <w:t xml:space="preserve"> </w:t>
            </w:r>
            <w:r>
              <w:rPr>
                <w:b/>
                <w:i/>
              </w:rPr>
              <w:t>naléhavě vyzývá Komisi, aby prošetřila, zda v souboru nástrojů dohledu existují nějaké mezery, včetně těch, které se týkají možného nedostatku likvidity a důsledků pro systémové riziko;</w:t>
            </w:r>
            <w:r>
              <w:t xml:space="preserve"> </w:t>
            </w:r>
            <w:r>
              <w:rPr>
                <w:b/>
                <w:i/>
              </w:rPr>
              <w:t>vyzývá Komisi, aby předložila odpovídající legislativní návrhy na ochranu finanční stability;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zdůrazňuje </w:t>
            </w:r>
            <w:r>
              <w:rPr>
                <w:b/>
                <w:i/>
              </w:rPr>
              <w:t>včasné, úplné a důsledné provedení standardů</w:t>
            </w:r>
            <w:r>
              <w:t xml:space="preserve"> Basel III </w:t>
            </w:r>
            <w:r>
              <w:rPr>
                <w:b/>
                <w:i/>
              </w:rPr>
              <w:t>s cílem posílit odolnost a konkurenceschopnost;</w:t>
            </w:r>
            <w:r>
              <w:t xml:space="preserve"> </w:t>
            </w:r>
            <w:r>
              <w:rPr>
                <w:b/>
                <w:i/>
              </w:rPr>
              <w:t>vyjadřuje politování nad odchylkami a vyzývá Komisi, aby přezkoumala rozhodnutí o rovnocennosti s jurisdikcemi, které tyto standardy neuplatňují</w:t>
            </w:r>
            <w:r>
              <w:t>;</w:t>
            </w:r>
          </w:p>
        </w:tc>
        <w:tc>
          <w:tcPr>
            <w:tcW w:w="4876" w:type="dxa"/>
            <w:tcBorders>
              <w:top w:val="nil"/>
              <w:left w:val="nil"/>
              <w:bottom w:val="nil"/>
              <w:right w:val="nil"/>
            </w:tcBorders>
          </w:tcPr>
          <w:p>
            <w:pPr>
              <w:pStyle w:val="Normal6a"/>
            </w:pPr>
            <w:r>
              <w:t>12.</w:t>
            </w:r>
            <w:r>
              <w:tab/>
            </w:r>
            <w:r>
              <w:t>zdůrazňuje</w:t>
            </w:r>
            <w:r>
              <w:rPr>
                <w:b/>
                <w:i/>
              </w:rPr>
              <w:t>, že pravidla</w:t>
            </w:r>
            <w:r>
              <w:t xml:space="preserve"> Basel III </w:t>
            </w:r>
            <w:r>
              <w:rPr>
                <w:b/>
                <w:i/>
              </w:rPr>
              <w:t>by měla být přizpůsobena specifikům evropského bankovního sektoru s přihlédnutím ke kritériu proporcionality a k zavedení zjednodušení pro menší banky, což je v souladu s výsledky pracovní skupiny Evropské centrální banky na vysoké úrovni pro zjednodušení, kterou podporuje Rada guvernérů ECB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zdůrazňuje </w:t>
            </w:r>
            <w:r>
              <w:rPr>
                <w:b/>
                <w:i/>
              </w:rPr>
              <w:t>včasné, úplné a důsledné provedení standardů</w:t>
            </w:r>
            <w:r>
              <w:t xml:space="preserve"> Basel III </w:t>
            </w:r>
            <w:r>
              <w:rPr>
                <w:b/>
                <w:i/>
              </w:rPr>
              <w:t>s cílem posílit odolnost a</w:t>
            </w:r>
            <w:r>
              <w:t> konkurenceschopnost</w:t>
            </w:r>
            <w:r>
              <w:rPr>
                <w:b/>
                <w:i/>
              </w:rPr>
              <w:t>;</w:t>
            </w:r>
            <w:r>
              <w:t xml:space="preserve"> </w:t>
            </w:r>
            <w:r>
              <w:rPr>
                <w:b/>
                <w:i/>
              </w:rPr>
              <w:t>vyjadřuje politování nad odchylkami a vyzývá Komisi, aby přezkoumala rozhodnutí o rovnocennosti s jurisdikcemi, které tyto standardy neuplatňují</w:t>
            </w:r>
            <w:r>
              <w:t>;</w:t>
            </w:r>
          </w:p>
        </w:tc>
        <w:tc>
          <w:tcPr>
            <w:tcW w:w="4876" w:type="dxa"/>
            <w:tcBorders>
              <w:top w:val="nil"/>
              <w:left w:val="nil"/>
              <w:bottom w:val="nil"/>
              <w:right w:val="nil"/>
            </w:tcBorders>
          </w:tcPr>
          <w:p>
            <w:pPr>
              <w:pStyle w:val="Normal6a"/>
            </w:pPr>
            <w:r>
              <w:t>12.</w:t>
            </w:r>
            <w:r>
              <w:tab/>
            </w:r>
            <w:r>
              <w:t>zdůrazňuje</w:t>
            </w:r>
            <w:r>
              <w:rPr>
                <w:b/>
                <w:i/>
              </w:rPr>
              <w:t>, že je nezbytné uplatňovat standardy</w:t>
            </w:r>
            <w:r>
              <w:t xml:space="preserve"> Basel III </w:t>
            </w:r>
            <w:r>
              <w:rPr>
                <w:b/>
                <w:i/>
              </w:rPr>
              <w:t>takovým způsobem, aby byl zohledněn celosvětový vývoj, a že je nutné zajistit mezinárodní</w:t>
            </w:r>
            <w:r>
              <w:t xml:space="preserve"> konkurenceschopnost </w:t>
            </w:r>
            <w:r>
              <w:rPr>
                <w:b/>
                <w:i/>
              </w:rPr>
              <w:t>evropských bank;</w:t>
            </w:r>
            <w:r>
              <w:t xml:space="preserve"> </w:t>
            </w:r>
            <w:r>
              <w:rPr>
                <w:b/>
                <w:i/>
              </w:rPr>
              <w:t>se znepokojením konstatuje, že jiné jurisdikce prosazují méně ambiciózní program jejich uplatňování;</w:t>
            </w:r>
            <w:r>
              <w:t xml:space="preserve"> </w:t>
            </w:r>
            <w:r>
              <w:rPr>
                <w:b/>
                <w:i/>
              </w:rPr>
              <w:t>zdůrazňuje, že Komise by měla důkladně vyhodnotit, zda by se pro zachování mezinárodní konkurenceschopnosti bank EU nemělo jejich uplatňování odsunout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zdůrazňuje </w:t>
            </w:r>
            <w:r>
              <w:rPr>
                <w:b/>
                <w:i/>
              </w:rPr>
              <w:t>včasné, úplné a důsledné provedení</w:t>
            </w:r>
            <w:r>
              <w:t xml:space="preserve"> standardů Basel III </w:t>
            </w:r>
            <w:r>
              <w:rPr>
                <w:b/>
                <w:i/>
              </w:rPr>
              <w:t>s cílem posílit odolnost a konkurenceschopnost;</w:t>
            </w:r>
            <w:r>
              <w:t xml:space="preserve"> </w:t>
            </w:r>
            <w:r>
              <w:rPr>
                <w:b/>
                <w:i/>
              </w:rPr>
              <w:t>vyjadřuje politování nad odchylkami a vyzývá Komisi, aby přezkoumala rozhodnutí o rovnocennosti s jurisdikcemi, které tyto standardy neuplatňují</w:t>
            </w:r>
            <w:r>
              <w:t>;</w:t>
            </w:r>
          </w:p>
        </w:tc>
        <w:tc>
          <w:tcPr>
            <w:tcW w:w="4876" w:type="dxa"/>
            <w:tcBorders>
              <w:top w:val="nil"/>
              <w:left w:val="nil"/>
              <w:bottom w:val="nil"/>
              <w:right w:val="nil"/>
            </w:tcBorders>
          </w:tcPr>
          <w:p>
            <w:pPr>
              <w:pStyle w:val="Normal6a"/>
            </w:pPr>
            <w:r>
              <w:t>12.</w:t>
            </w:r>
            <w:r>
              <w:tab/>
            </w:r>
            <w:r>
              <w:t>zdůrazňuje</w:t>
            </w:r>
            <w:r>
              <w:rPr>
                <w:b/>
                <w:i/>
              </w:rPr>
              <w:t>, že za účelem zvýšení odolnosti bank EU a jejich je konkurenceschopnosti na mezinárodním trhu je třeba zajistit uplatňování</w:t>
            </w:r>
            <w:r>
              <w:t xml:space="preserve"> standardů Basel III</w:t>
            </w:r>
            <w:r>
              <w:rPr>
                <w:b/>
                <w:i/>
              </w:rPr>
              <w:t>;</w:t>
            </w:r>
            <w:r>
              <w:t xml:space="preserve"> </w:t>
            </w:r>
            <w:r>
              <w:rPr>
                <w:b/>
                <w:i/>
              </w:rPr>
              <w:t>bere na vědomí přetrvávající nejasnosti, pokud jde o jejich uplatňování v některých hlavních jurisdikcích mimo EU, a zdůrazňuje, že zachování finanční stability, integrity basilejského rámce a rovných podmínek má zásadní význam z hlediska zajištění dlouhodobé konkurenceschopnosti v mezinárodním kontextu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zdůrazňuje včasné, úplné a důsledné </w:t>
            </w:r>
            <w:r>
              <w:rPr>
                <w:b/>
                <w:i/>
              </w:rPr>
              <w:t>provedení</w:t>
            </w:r>
            <w:r>
              <w:t xml:space="preserve"> standardů Basel III </w:t>
            </w:r>
            <w:r>
              <w:rPr>
                <w:b/>
                <w:i/>
              </w:rPr>
              <w:t>s cílem posílit odolnost a konkurenceschopnost;</w:t>
            </w:r>
            <w:r>
              <w:t xml:space="preserve"> </w:t>
            </w:r>
            <w:r>
              <w:rPr>
                <w:b/>
                <w:i/>
              </w:rPr>
              <w:t>vyjadřuje politování nad odchylkami a</w:t>
            </w:r>
            <w:r>
              <w:t xml:space="preserve"> vyzývá Komisi, aby </w:t>
            </w:r>
            <w:r>
              <w:rPr>
                <w:b/>
                <w:i/>
              </w:rPr>
              <w:t>přezkoumala rozhodnutí o rovnocennosti s jurisdikcemi, které tyto standardy neuplatňují</w:t>
            </w:r>
            <w:r>
              <w:t>;</w:t>
            </w:r>
          </w:p>
        </w:tc>
        <w:tc>
          <w:tcPr>
            <w:tcW w:w="4876" w:type="dxa"/>
            <w:tcBorders>
              <w:top w:val="nil"/>
              <w:left w:val="nil"/>
              <w:bottom w:val="nil"/>
              <w:right w:val="nil"/>
            </w:tcBorders>
          </w:tcPr>
          <w:p>
            <w:pPr>
              <w:pStyle w:val="Normal6a"/>
            </w:pPr>
            <w:r>
              <w:t>12.</w:t>
            </w:r>
            <w:r>
              <w:tab/>
            </w:r>
            <w:r>
              <w:t>zdůrazňuje</w:t>
            </w:r>
            <w:r>
              <w:rPr>
                <w:b/>
                <w:i/>
              </w:rPr>
              <w:t>, že je nutné zajistit</w:t>
            </w:r>
            <w:r>
              <w:t xml:space="preserve"> včasné, úplné a důsledné </w:t>
            </w:r>
            <w:r>
              <w:rPr>
                <w:b/>
                <w:i/>
              </w:rPr>
              <w:t>uplatňování</w:t>
            </w:r>
            <w:r>
              <w:t xml:space="preserve"> standardů Basel III</w:t>
            </w:r>
            <w:r>
              <w:rPr>
                <w:b/>
                <w:i/>
              </w:rPr>
              <w:t>, pokud by to vedlo k větší odolnosti a konkurenceschopnosti;</w:t>
            </w:r>
            <w:r>
              <w:t xml:space="preserve"> </w:t>
            </w:r>
            <w:r>
              <w:rPr>
                <w:b/>
                <w:i/>
              </w:rPr>
              <w:t>se znepokojením konstatuje, že jiné jurisdikce sledují méně ambiciózní program, což může ohrozit rovné podmínky na mezinárodní úrovni;</w:t>
            </w:r>
            <w:r>
              <w:t xml:space="preserve"> vyzývá Komisi, aby </w:t>
            </w:r>
            <w:r>
              <w:rPr>
                <w:b/>
                <w:i/>
              </w:rPr>
              <w:t>vyhodnotila a zajistila mezinárodní konkurenceschopnost bank EU, aniž by oslabila jejich odolnost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zdůrazňuje včasné, úplné a důsledné provedení</w:t>
            </w:r>
            <w:r>
              <w:t xml:space="preserve"> standardů Basel III s cílem posílit odolnost a konkurenceschopnost; vyjadřuje politování nad odchylkami </w:t>
            </w:r>
            <w:r>
              <w:rPr>
                <w:b/>
                <w:i/>
              </w:rPr>
              <w:t>a vyzývá Komisi, aby přezkoumala rozhodnutí o rovnocennosti s jurisdikcemi, které tyto standardy neuplatňují</w:t>
            </w:r>
            <w:r>
              <w:t>;</w:t>
            </w:r>
          </w:p>
        </w:tc>
        <w:tc>
          <w:tcPr>
            <w:tcW w:w="4876" w:type="dxa"/>
            <w:tcBorders>
              <w:top w:val="nil"/>
              <w:left w:val="nil"/>
              <w:bottom w:val="nil"/>
              <w:right w:val="nil"/>
            </w:tcBorders>
          </w:tcPr>
          <w:p>
            <w:pPr>
              <w:pStyle w:val="Normal6a"/>
            </w:pPr>
            <w:r>
              <w:t>12.</w:t>
            </w:r>
            <w:r>
              <w:tab/>
            </w:r>
            <w:r>
              <w:rPr>
                <w:b/>
                <w:i/>
              </w:rPr>
              <w:t>poukazuje na nutnost včasného, úplného a důsledného uplatňování</w:t>
            </w:r>
            <w:r>
              <w:t xml:space="preserve"> standardů Basel III </w:t>
            </w:r>
            <w:r>
              <w:rPr>
                <w:b/>
                <w:i/>
              </w:rPr>
              <w:t>výhradně ve vztahu k mezinárodně působícím bankám, pro něž byly tyto standardy navrženy,</w:t>
            </w:r>
            <w:r>
              <w:t xml:space="preserve"> s cílem posílit odolnost a konkurenceschopnost; vyjadřuje politování nad odchylkami;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zdůrazňuje včasné</w:t>
            </w:r>
            <w:r>
              <w:rPr>
                <w:b/>
                <w:i/>
              </w:rPr>
              <w:t>, úplné</w:t>
            </w:r>
            <w:r>
              <w:t xml:space="preserve"> a důsledné </w:t>
            </w:r>
            <w:r>
              <w:rPr>
                <w:b/>
                <w:i/>
              </w:rPr>
              <w:t>provedení</w:t>
            </w:r>
            <w:r>
              <w:t xml:space="preserve"> standardů Basel III s cílem posílit odolnost a konkurenceschopnost; </w:t>
            </w:r>
            <w:r>
              <w:rPr>
                <w:b/>
                <w:i/>
              </w:rPr>
              <w:t>vyjadřuje politování nad odchylkami a</w:t>
            </w:r>
            <w:r>
              <w:t xml:space="preserve"> vyzývá Komisi, aby </w:t>
            </w:r>
            <w:r>
              <w:rPr>
                <w:b/>
                <w:i/>
              </w:rPr>
              <w:t>přezkoumala</w:t>
            </w:r>
            <w:r>
              <w:t xml:space="preserve"> rozhodnutí o rovnocennosti s jurisdikcemi, které </w:t>
            </w:r>
            <w:r>
              <w:rPr>
                <w:b/>
                <w:i/>
              </w:rPr>
              <w:t>tyto</w:t>
            </w:r>
            <w:r>
              <w:t xml:space="preserve"> standardy </w:t>
            </w:r>
            <w:r>
              <w:rPr>
                <w:b/>
                <w:i/>
              </w:rPr>
              <w:t>neuplatňují</w:t>
            </w:r>
            <w:r>
              <w:t>;</w:t>
            </w:r>
          </w:p>
        </w:tc>
        <w:tc>
          <w:tcPr>
            <w:tcW w:w="4876" w:type="dxa"/>
            <w:tcBorders>
              <w:top w:val="nil"/>
              <w:left w:val="nil"/>
              <w:bottom w:val="nil"/>
              <w:right w:val="nil"/>
            </w:tcBorders>
          </w:tcPr>
          <w:p>
            <w:pPr>
              <w:pStyle w:val="Normal6a"/>
            </w:pPr>
            <w:r>
              <w:t>12.</w:t>
            </w:r>
            <w:r>
              <w:tab/>
            </w:r>
            <w:r>
              <w:t>zdůrazňuje</w:t>
            </w:r>
            <w:r>
              <w:rPr>
                <w:b/>
                <w:i/>
              </w:rPr>
              <w:t>, že je nutné zajistit</w:t>
            </w:r>
            <w:r>
              <w:t xml:space="preserve"> včasné a důsledné </w:t>
            </w:r>
            <w:r>
              <w:rPr>
                <w:b/>
                <w:i/>
              </w:rPr>
              <w:t>uplatňování</w:t>
            </w:r>
            <w:r>
              <w:t xml:space="preserve"> standardů Basel III s cílem posílit odolnost a konkurenceschopnost; </w:t>
            </w:r>
            <w:r>
              <w:rPr>
                <w:b/>
                <w:i/>
              </w:rPr>
              <w:t>bere na vědomí současné nejasnosti ohledně zavádění standardů Basel III v některých dalších jurisdikcích a potenciální riziko, které to představuje pro rovné podmínky na mezinárodní úrovni;</w:t>
            </w:r>
            <w:r>
              <w:t xml:space="preserve"> </w:t>
            </w:r>
            <w:r>
              <w:rPr>
                <w:b/>
                <w:i/>
              </w:rPr>
              <w:t>poukazuje na to, že Komise by měla vyhodnotit, zda by cílené změny mohly pomoci zachovat mezinárodní konkurenceschopnost bank EU, aniž by byla oslabena jejich odolnost;</w:t>
            </w:r>
            <w:r>
              <w:t xml:space="preserve"> vyzývá Komisi, aby </w:t>
            </w:r>
            <w:r>
              <w:rPr>
                <w:b/>
                <w:i/>
              </w:rPr>
              <w:t>posoudila, zda je třeba přezkoumat</w:t>
            </w:r>
            <w:r>
              <w:t xml:space="preserve"> rozhodnutí o rovnocennosti </w:t>
            </w:r>
            <w:r>
              <w:rPr>
                <w:b/>
                <w:i/>
              </w:rPr>
              <w:t>přijatá spolu</w:t>
            </w:r>
            <w:r>
              <w:t xml:space="preserve"> s jurisdikcemi, které </w:t>
            </w:r>
            <w:r>
              <w:rPr>
                <w:b/>
                <w:i/>
              </w:rPr>
              <w:t>neuplatňují</w:t>
            </w:r>
            <w:r>
              <w:t xml:space="preserve"> standardy </w:t>
            </w:r>
            <w:r>
              <w:rPr>
                <w:b/>
                <w:i/>
              </w:rPr>
              <w:t>Basel III, tak aby byla zachována finanční stabilita finančního sektoru EU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zdůrazňuje včasné, úplné a důsledné </w:t>
            </w:r>
            <w:r>
              <w:rPr>
                <w:b/>
                <w:i/>
              </w:rPr>
              <w:t>provedení</w:t>
            </w:r>
            <w:r>
              <w:t xml:space="preserve"> standardů Basel III </w:t>
            </w:r>
            <w:r>
              <w:rPr>
                <w:b/>
                <w:i/>
              </w:rPr>
              <w:t>s cílem posílit odolnost a konkurenceschopnost</w:t>
            </w:r>
            <w:r>
              <w:t>; vyjadřuje politování nad odchylkami a vyzývá Komisi, aby přezkoumala rozhodnutí o rovnocennosti s jurisdikcemi, které tyto standardy neuplatňují;</w:t>
            </w:r>
          </w:p>
        </w:tc>
        <w:tc>
          <w:tcPr>
            <w:tcW w:w="4876" w:type="dxa"/>
            <w:tcBorders>
              <w:top w:val="nil"/>
              <w:left w:val="nil"/>
              <w:bottom w:val="nil"/>
              <w:right w:val="nil"/>
            </w:tcBorders>
          </w:tcPr>
          <w:p>
            <w:pPr>
              <w:pStyle w:val="Normal6a"/>
            </w:pPr>
            <w:r>
              <w:t>12.</w:t>
            </w:r>
            <w:r>
              <w:tab/>
            </w:r>
            <w:r>
              <w:t>zdůrazňuje</w:t>
            </w:r>
            <w:r>
              <w:rPr>
                <w:b/>
                <w:i/>
              </w:rPr>
              <w:t>, že</w:t>
            </w:r>
            <w:r>
              <w:t xml:space="preserve"> včasné, úplné a důsledné </w:t>
            </w:r>
            <w:r>
              <w:rPr>
                <w:b/>
                <w:i/>
              </w:rPr>
              <w:t>uplatňování</w:t>
            </w:r>
            <w:r>
              <w:t xml:space="preserve"> standardů Basel III </w:t>
            </w:r>
            <w:r>
              <w:rPr>
                <w:b/>
                <w:i/>
              </w:rPr>
              <w:t>povede k větší odolnosti a konkurenceschopnosti</w:t>
            </w:r>
            <w:r>
              <w:t xml:space="preserve">; vyjadřuje politování nad odchylkami a vyzývá Komisi, aby přezkoumala rozhodnutí o rovnocennosti s jurisdikcemi, které tyto standardy neuplatňují; </w:t>
            </w:r>
            <w:r>
              <w:rPr>
                <w:b/>
                <w:i/>
              </w:rPr>
              <w:t>zároveň poukazuje na to, že při uplatňování standardů Basel III by měly být zachovány rovné podmínky na celosvětové úrovni a zároveň by se mělo zabránit gold-platingu ze strany vnitrostátních orgánů při uplatňování pravidel úrovně 3 EU a nezamýšleným dopadům, pokud jde o schopnost bank v EU financovat reálnou ekonomiku;</w:t>
            </w:r>
            <w:r>
              <w:t xml:space="preserve"> </w:t>
            </w:r>
            <w:r>
              <w:rPr>
                <w:b/>
                <w:i/>
              </w:rPr>
              <w:t>vítá v této souvislosti iniciativu Komise zveřejnit zprávu o konkurenceschopnosti a integraci bankovního sektoru EU a vyzývá ji k předložení konkrétních návrhů na podporu úvěrové kapacity bank, zejména domácností, malých a středních podniků a soukromých a veřejných produktivních investic, případně včetně opatření na podporu účinného využívání nástrojů nízkorizikového a krátkodobého financování, jako je faktoring a financování obchodu;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zdůrazňuje </w:t>
            </w:r>
            <w:r>
              <w:rPr>
                <w:b/>
                <w:i/>
              </w:rPr>
              <w:t>včasné, úplné a důsledné provedení standardů</w:t>
            </w:r>
            <w:r>
              <w:t xml:space="preserve"> Basel III </w:t>
            </w:r>
            <w:r>
              <w:rPr>
                <w:b/>
                <w:i/>
              </w:rPr>
              <w:t>s cílem posílit</w:t>
            </w:r>
            <w:r>
              <w:t xml:space="preserve"> odolnost a konkurenceschopnost</w:t>
            </w:r>
            <w:r>
              <w:rPr>
                <w:b/>
                <w:i/>
              </w:rPr>
              <w:t>;</w:t>
            </w:r>
            <w:r>
              <w:t xml:space="preserve"> </w:t>
            </w:r>
            <w:r>
              <w:rPr>
                <w:b/>
                <w:i/>
              </w:rPr>
              <w:t>vyjadřuje politování nad odchylkami a vyzývá Komisi, aby přezkoumala rozhodnutí o rovnocennosti s jurisdikcemi</w:t>
            </w:r>
            <w:r>
              <w:t xml:space="preserve">, které </w:t>
            </w:r>
            <w:r>
              <w:rPr>
                <w:b/>
                <w:i/>
              </w:rPr>
              <w:t>tyto standardy neuplatňují</w:t>
            </w:r>
            <w:r>
              <w:t>;</w:t>
            </w:r>
          </w:p>
        </w:tc>
        <w:tc>
          <w:tcPr>
            <w:tcW w:w="4876" w:type="dxa"/>
            <w:tcBorders>
              <w:top w:val="nil"/>
              <w:left w:val="nil"/>
              <w:bottom w:val="nil"/>
              <w:right w:val="nil"/>
            </w:tcBorders>
          </w:tcPr>
          <w:p>
            <w:pPr>
              <w:pStyle w:val="Normal6a"/>
            </w:pPr>
            <w:r>
              <w:t>12.</w:t>
            </w:r>
            <w:r>
              <w:tab/>
            </w:r>
            <w:r>
              <w:t>zdůrazňuje</w:t>
            </w:r>
            <w:r>
              <w:rPr>
                <w:b/>
                <w:i/>
              </w:rPr>
              <w:t>, že základní podmínkou účinné měnové politiky a odolného finančního systému je finanční stabilita;</w:t>
            </w:r>
            <w:r>
              <w:t xml:space="preserve"> </w:t>
            </w:r>
            <w:r>
              <w:rPr>
                <w:b/>
                <w:i/>
              </w:rPr>
              <w:t>vítá dokončení a uplatňování rámce</w:t>
            </w:r>
            <w:r>
              <w:t xml:space="preserve"> Basel III</w:t>
            </w:r>
            <w:r>
              <w:rPr>
                <w:b/>
                <w:i/>
              </w:rPr>
              <w:t>, který posílí</w:t>
            </w:r>
            <w:r>
              <w:t xml:space="preserve"> odolnost a konkurenceschopnost </w:t>
            </w:r>
            <w:r>
              <w:rPr>
                <w:b/>
                <w:i/>
              </w:rPr>
              <w:t>v EU;</w:t>
            </w:r>
            <w:r>
              <w:t xml:space="preserve"> </w:t>
            </w:r>
            <w:r>
              <w:rPr>
                <w:b/>
                <w:i/>
              </w:rPr>
              <w:t>poukazuje na přetrvávající nejasnosti ohledně uplatňování standardů Basel III v některých dalších jurisdikcích a na riziko vzniku problémů s rovnými podmínkami</w:t>
            </w:r>
            <w:r>
              <w:t xml:space="preserve">, které </w:t>
            </w:r>
            <w:r>
              <w:rPr>
                <w:b/>
                <w:i/>
              </w:rPr>
              <w:t>by se mohly objevit na mezinárodní úrovni</w:t>
            </w:r>
            <w:r>
              <w:t xml:space="preserve">; </w:t>
            </w:r>
            <w:r>
              <w:rPr>
                <w:b/>
                <w:i/>
              </w:rPr>
              <w:t>podtrhuje, že je důležité zajistit správnou rovnováhu mezi finanční stabilitou, dodržováním mezinárodních rámců a rovnými podmínkami na mezinárodní úrovni, aby se zajistilo, že evropské banky budou schopny soutěžit s bankami z jiných jurisdikcí za rovných podmínek;</w:t>
            </w:r>
            <w:r>
              <w:t xml:space="preserve"> </w:t>
            </w:r>
            <w:r>
              <w:rPr>
                <w:b/>
                <w:i/>
              </w:rPr>
              <w:t>zdůrazňuje, že je důležité zohlednit evropská specifika s cílem zajistit konkurenceschopný evropský bankovní sektor;</w:t>
            </w:r>
            <w:r>
              <w:t xml:space="preserve"> </w:t>
            </w:r>
            <w:r>
              <w:rPr>
                <w:b/>
                <w:i/>
              </w:rPr>
              <w:t>poukazuje na to, že je důležité zajistit provádění důsledného a mezinárodně sladěného základního přezkumu obchodního portfolia (FRTB);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zdůrazňuje včasné, úplné a důsledné provedení standardů Basel III s cílem posílit odolnost a konkurenceschopnost; </w:t>
            </w:r>
            <w:r>
              <w:rPr>
                <w:b/>
                <w:i/>
              </w:rPr>
              <w:t>vyjadřuje politování nad odchylkami a </w:t>
            </w:r>
            <w:r>
              <w:t xml:space="preserve">vyzývá Komisi, aby </w:t>
            </w:r>
            <w:r>
              <w:rPr>
                <w:b/>
                <w:i/>
              </w:rPr>
              <w:t>přezkoumala</w:t>
            </w:r>
            <w:r>
              <w:t xml:space="preserve"> rozhodnutí o rovnocennosti s jurisdikcemi, které tyto standardy neuplatňují;</w:t>
            </w:r>
          </w:p>
        </w:tc>
        <w:tc>
          <w:tcPr>
            <w:tcW w:w="4876" w:type="dxa"/>
            <w:tcBorders>
              <w:top w:val="nil"/>
              <w:left w:val="nil"/>
              <w:bottom w:val="nil"/>
              <w:right w:val="nil"/>
            </w:tcBorders>
          </w:tcPr>
          <w:p>
            <w:pPr>
              <w:pStyle w:val="Normal6a"/>
            </w:pPr>
            <w:r>
              <w:t>12.</w:t>
            </w:r>
            <w:r>
              <w:tab/>
            </w:r>
            <w:r>
              <w:t xml:space="preserve">zdůrazňuje včasné, úplné a důsledné provedení standardů Basel III s cílem posílit odolnost a konkurenceschopnost; vyzývá Komisi, aby </w:t>
            </w:r>
            <w:r>
              <w:rPr>
                <w:b/>
                <w:i/>
              </w:rPr>
              <w:t>posuzovala</w:t>
            </w:r>
            <w:r>
              <w:t xml:space="preserve"> rozhodnutí o rovnocennosti s jurisdikcemi, které tyto standardy neuplatňují</w:t>
            </w:r>
            <w:r>
              <w:rPr>
                <w:b/>
                <w:i/>
              </w:rPr>
              <w:t>, důsledně a na základě rizik a aby přitom zajistila celosvětové podmínky hospodářské soutěže</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zdůrazňuje včasné, úplné a důsledné </w:t>
            </w:r>
            <w:r>
              <w:rPr>
                <w:b/>
                <w:i/>
              </w:rPr>
              <w:t>provedení</w:t>
            </w:r>
            <w:r>
              <w:t xml:space="preserve"> standardů Basel III s cílem posílit odolnost a konkurenceschopnost; vyjadřuje politování nad odchylkami a vyzývá Komisi, aby přezkoumala rozhodnutí o rovnocennosti s jurisdikcemi, které tyto standardy neuplatňují;</w:t>
            </w:r>
          </w:p>
        </w:tc>
        <w:tc>
          <w:tcPr>
            <w:tcW w:w="4876" w:type="dxa"/>
            <w:tcBorders>
              <w:top w:val="nil"/>
              <w:left w:val="nil"/>
              <w:bottom w:val="nil"/>
              <w:right w:val="nil"/>
            </w:tcBorders>
          </w:tcPr>
          <w:p>
            <w:pPr>
              <w:pStyle w:val="Normal6a"/>
            </w:pPr>
            <w:r>
              <w:t>12.</w:t>
            </w:r>
            <w:r>
              <w:tab/>
            </w:r>
            <w:r>
              <w:t>zdůrazňuje</w:t>
            </w:r>
            <w:r>
              <w:rPr>
                <w:b/>
                <w:i/>
              </w:rPr>
              <w:t>, že je nutné zajistit</w:t>
            </w:r>
            <w:r>
              <w:t xml:space="preserve"> včasné, úplné a důsledné </w:t>
            </w:r>
            <w:r>
              <w:rPr>
                <w:b/>
                <w:i/>
              </w:rPr>
              <w:t>uplatňování</w:t>
            </w:r>
            <w:r>
              <w:t xml:space="preserve"> standardů Basel III s cílem posílit odolnost a </w:t>
            </w:r>
            <w:r>
              <w:rPr>
                <w:b/>
                <w:i/>
              </w:rPr>
              <w:t>zvýšit konkurenceschopnost, mj. provést zásadní přezkum obchodního portfolia (FRTB);</w:t>
            </w:r>
            <w:r>
              <w:t xml:space="preserve"> </w:t>
            </w:r>
            <w:r>
              <w:rPr>
                <w:b/>
                <w:i/>
              </w:rPr>
              <w:t>připomíná, že v rámci jednotného mechanismu dohledu se opakovaně uvádí, že zavedení zásadního přezkumu obchodního portfolia by posílilo odolnost bank v EU a neohrozilo by jejich</w:t>
            </w:r>
            <w:r>
              <w:t xml:space="preserve"> konkurenceschopnost; vyjadřuje politování nad odchylkami a vyzývá Komisi, aby přezkoumala rozhodnutí o rovnocennosti s jurisdikcemi, které tyto standardy neuplatňují; </w:t>
            </w:r>
            <w:r>
              <w:rPr>
                <w:b/>
                <w:i/>
              </w:rPr>
              <w:t>zdůrazňuje, že EU dosud dodržuje basilejské standardy méně než někteří její mezinárodní partneři;</w:t>
            </w:r>
            <w:r>
              <w:t xml:space="preserve"> </w:t>
            </w:r>
            <w:r>
              <w:rPr>
                <w:b/>
                <w:i/>
              </w:rPr>
              <w:t>domnívá se, že jejich nedostatečné uplatňování v jiných mezinárodních jurisdikcích zvyšuje riziko, jemuž čelí banky v EU, a že by to mělo být odpovídajícím způsobem zohledněno v rámci dohledu;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Auke Zijlstra, 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zdůrazňuje včasné, úplné a důsledné provedení standardů Basel III s cílem posílit odolnost a konkurenceschopnost; vyjadřuje politování nad odchylkami a vyzývá Komisi, aby přezkoumala rozhodnutí o rovnocennosti s jurisdikcemi, které tyto standardy neuplatňují;</w:t>
            </w:r>
          </w:p>
        </w:tc>
        <w:tc>
          <w:tcPr>
            <w:tcW w:w="4876" w:type="dxa"/>
            <w:tcBorders>
              <w:top w:val="nil"/>
              <w:left w:val="nil"/>
              <w:bottom w:val="nil"/>
              <w:right w:val="nil"/>
            </w:tcBorders>
          </w:tcPr>
          <w:p>
            <w:pPr>
              <w:pStyle w:val="Normal6a"/>
            </w:pPr>
            <w:r>
              <w:t>12.</w:t>
            </w:r>
            <w:r>
              <w:tab/>
            </w:r>
            <w:r>
              <w:t xml:space="preserve">zdůrazňuje včasné, úplné a důsledné provedení standardů Basel III s cílem posílit odolnost a konkurenceschopnost; vyjadřuje politování nad odchylkami a vyzývá Komisi, aby přezkoumala rozhodnutí o rovnocennosti s jurisdikcemi, které tyto standardy neuplatňují; </w:t>
            </w:r>
            <w:r>
              <w:rPr>
                <w:b/>
                <w:i/>
              </w:rPr>
              <w:t>zdůrazňuje, že odchylky EU od neomezeného uplatňování rámce Basel III, včetně postupného zavádění úprav a odložených pravidel pro tržní riziko, omezují konkurenceschopnost i finanční stabilitu tím, že umožňují regulatorní arbitráž a nekonzistentní vážení rizik;</w:t>
            </w:r>
            <w:r>
              <w:t xml:space="preserve"> </w:t>
            </w:r>
            <w:r>
              <w:rPr>
                <w:b/>
                <w:i/>
              </w:rPr>
              <w:t>domnívá se, že je nutné tyto odchylky urychleně odstranit, aby byly banky v EU ve stejné situaci jako její globální partneři;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konstatuje, že banky jsou stále více vystaveny nebankovním finančním zprostředkovatelům, což vede k široké škále rizik, od rizik týkajících se likvidity až po rizika týkající se protistran;</w:t>
            </w:r>
            <w:r>
              <w:t xml:space="preserve"> </w:t>
            </w:r>
            <w:r>
              <w:rPr>
                <w:b/>
                <w:i/>
              </w:rPr>
              <w:t>poukazuje na to, že je nutné zajistit komplexní evropský dohled nad odvětvím nebankovních finančních zprostředkovatelů;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bere na vědomí zjištění ECB, že vysoké kapitálové požadavky neomezují konkurenceschopnost bank, ale spíše zajišťují jejich odolnost a jejich schopnost financovat ekonomiku v průběhu celého cyklu;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lituje rostoucího počtu uzavírání bankovních poboček, které se dotýká zranitelných a okrajových komunit;</w:t>
            </w:r>
            <w:r>
              <w:t xml:space="preserve"> </w:t>
            </w:r>
            <w:r>
              <w:rPr>
                <w:b/>
                <w:i/>
              </w:rPr>
              <w:t>zdůrazňuje úlohu menších bank v přístupu domácností ke službám;</w:t>
            </w:r>
            <w:r>
              <w:t xml:space="preserve"> </w:t>
            </w:r>
            <w:r>
              <w:rPr>
                <w:b/>
                <w:i/>
              </w:rPr>
              <w:t>se znepokojením konstatuje, že v souvislosti s umělou inteligencí dochází ke ztrátě pracovních míst;</w:t>
            </w:r>
            <w:r>
              <w:t xml:space="preserve"> </w:t>
            </w:r>
            <w:r>
              <w:rPr>
                <w:b/>
                <w:i/>
              </w:rPr>
              <w:t>zdůrazňuje, že je třeba zajistit kvalitu pracovních míst, spravedlivé podmínky a rovný přístup k bankovnictví;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lituje rostoucího počtu</w:t>
            </w:r>
            <w:r>
              <w:t xml:space="preserve"> uzavírání bankovních poboček</w:t>
            </w:r>
            <w:r>
              <w:rPr>
                <w:b/>
                <w:i/>
              </w:rPr>
              <w:t>, které se dotýká zranitelných a okrajových komunit;</w:t>
            </w:r>
            <w:r>
              <w:t xml:space="preserve"> </w:t>
            </w:r>
            <w:r>
              <w:rPr>
                <w:b/>
                <w:i/>
              </w:rPr>
              <w:t>zdůrazňuje</w:t>
            </w:r>
            <w:r>
              <w:t xml:space="preserve"> úlohu menších bank </w:t>
            </w:r>
            <w:r>
              <w:rPr>
                <w:b/>
                <w:i/>
              </w:rPr>
              <w:t>v přístupu</w:t>
            </w:r>
            <w:r>
              <w:t xml:space="preserve"> domácností ke službám</w:t>
            </w:r>
            <w:r>
              <w:rPr>
                <w:b/>
                <w:i/>
              </w:rPr>
              <w:t>;</w:t>
            </w:r>
            <w:r>
              <w:t xml:space="preserve"> </w:t>
            </w:r>
            <w:r>
              <w:rPr>
                <w:b/>
                <w:i/>
              </w:rPr>
              <w:t>se znepokojením konstatuje, že v souvislosti s umělou inteligencí dochází ke ztrátě pracovních míst</w:t>
            </w:r>
            <w:r>
              <w:t xml:space="preserve">; zdůrazňuje, že je třeba </w:t>
            </w:r>
            <w:r>
              <w:rPr>
                <w:b/>
                <w:i/>
              </w:rPr>
              <w:t>zajistit kvalitu pracovních míst, spravedlivé podmínky a rovný přístup k bankovnictví</w:t>
            </w:r>
            <w:r>
              <w:t>;</w:t>
            </w:r>
          </w:p>
        </w:tc>
        <w:tc>
          <w:tcPr>
            <w:tcW w:w="4876" w:type="dxa"/>
            <w:tcBorders>
              <w:top w:val="nil"/>
              <w:left w:val="nil"/>
              <w:bottom w:val="nil"/>
              <w:right w:val="nil"/>
            </w:tcBorders>
          </w:tcPr>
          <w:p>
            <w:pPr>
              <w:pStyle w:val="Normal6a"/>
            </w:pPr>
            <w:r>
              <w:t>13.</w:t>
            </w:r>
            <w:r>
              <w:tab/>
            </w:r>
            <w:r>
              <w:rPr>
                <w:b/>
                <w:i/>
              </w:rPr>
              <w:t>bere na vědomí rostoucí počet</w:t>
            </w:r>
            <w:r>
              <w:t xml:space="preserve"> uzavírání bankovních poboček</w:t>
            </w:r>
            <w:r>
              <w:rPr>
                <w:b/>
                <w:i/>
              </w:rPr>
              <w:t>;</w:t>
            </w:r>
            <w:r>
              <w:t xml:space="preserve"> </w:t>
            </w:r>
            <w:r>
              <w:rPr>
                <w:b/>
                <w:i/>
              </w:rPr>
              <w:t>poukazuje na</w:t>
            </w:r>
            <w:r>
              <w:t> úlohu menších bank</w:t>
            </w:r>
            <w:r>
              <w:rPr>
                <w:b/>
                <w:i/>
              </w:rPr>
              <w:t>, pokud jde o přístup</w:t>
            </w:r>
            <w:r>
              <w:t xml:space="preserve"> domácností </w:t>
            </w:r>
            <w:r>
              <w:rPr>
                <w:b/>
                <w:i/>
              </w:rPr>
              <w:t>a místních podniků</w:t>
            </w:r>
            <w:r>
              <w:t xml:space="preserve"> ke službám; zdůrazňuje, že </w:t>
            </w:r>
            <w:r>
              <w:rPr>
                <w:b/>
                <w:i/>
              </w:rPr>
              <w:t>v souladu se zásadou proporcionality </w:t>
            </w:r>
            <w:r>
              <w:t xml:space="preserve">je třeba </w:t>
            </w:r>
            <w:r>
              <w:rPr>
                <w:b/>
                <w:i/>
              </w:rPr>
              <w:t>přizpůsobit dohledovou a obezřetnostní regulaci velikosti, složitosti a rizikovému profilu menších bank, aby se odstranila nepřiměřená regulační zátěž, která brání jejich schopnosti růst, konkurovat a nadále sloužit reálné ekonomice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lituje rostoucího počtu</w:t>
            </w:r>
            <w:r>
              <w:t xml:space="preserve"> uzavírání bankovních poboček, které </w:t>
            </w:r>
            <w:r>
              <w:rPr>
                <w:b/>
                <w:i/>
              </w:rPr>
              <w:t>se dotýká zranitelných a okrajových komunit</w:t>
            </w:r>
            <w:r>
              <w:t xml:space="preserve">; zdůrazňuje úlohu menších bank v přístupu domácností ke službám; se znepokojením </w:t>
            </w:r>
            <w:r>
              <w:rPr>
                <w:b/>
                <w:i/>
              </w:rPr>
              <w:t>konstatuje, že v souvislosti</w:t>
            </w:r>
            <w:r>
              <w:t xml:space="preserve"> s umělou inteligencí </w:t>
            </w:r>
            <w:r>
              <w:rPr>
                <w:b/>
                <w:i/>
              </w:rPr>
              <w:t>dochází ke ztrátě pracovních míst</w:t>
            </w:r>
            <w:r>
              <w:t>; zdůrazňuje, že je třeba zajistit kvalitu pracovních míst, spravedlivé podmínky a rovný přístup k bankovnictví;</w:t>
            </w:r>
          </w:p>
        </w:tc>
        <w:tc>
          <w:tcPr>
            <w:tcW w:w="4876" w:type="dxa"/>
            <w:tcBorders>
              <w:top w:val="nil"/>
              <w:left w:val="nil"/>
              <w:bottom w:val="nil"/>
              <w:right w:val="nil"/>
            </w:tcBorders>
          </w:tcPr>
          <w:p>
            <w:pPr>
              <w:pStyle w:val="Normal6a"/>
            </w:pPr>
            <w:r>
              <w:t>13.</w:t>
            </w:r>
            <w:r>
              <w:tab/>
            </w:r>
            <w:r>
              <w:rPr>
                <w:b/>
                <w:i/>
              </w:rPr>
              <w:t>bere na vědomí rostoucí počet</w:t>
            </w:r>
            <w:r>
              <w:t xml:space="preserve"> uzavírání bankovních poboček, </w:t>
            </w:r>
            <w:r>
              <w:rPr>
                <w:b/>
                <w:i/>
              </w:rPr>
              <w:t>k nimž dochází v různé míře v různých členských státech;</w:t>
            </w:r>
            <w:r>
              <w:t xml:space="preserve"> </w:t>
            </w:r>
            <w:r>
              <w:rPr>
                <w:b/>
                <w:i/>
              </w:rPr>
              <w:t>uznává, že jejich uzavírání může mít významný dopad na zranitelné a okrajové komunity, a zároveň poukazuje na příklady inovací,</w:t>
            </w:r>
            <w:r>
              <w:t xml:space="preserve"> které </w:t>
            </w:r>
            <w:r>
              <w:rPr>
                <w:b/>
                <w:i/>
              </w:rPr>
              <w:t>některým uživatelům umožňují získat díky technickému rozvoji lepší služby na dálku;</w:t>
            </w:r>
            <w:r>
              <w:t xml:space="preserve"> </w:t>
            </w:r>
            <w:r>
              <w:rPr>
                <w:b/>
                <w:i/>
              </w:rPr>
              <w:t>připomíná příklady nejrůznějších bank, které spolupracují na poskytování fyzických bankovních služeb zákazníkům navzdory uzavření některých bankovních poboček, a to jak ve venkovských, tak i v městských oblastech</w:t>
            </w:r>
            <w:r>
              <w:t xml:space="preserve">; zdůrazňuje úlohu menších bank v přístupu domácností ke službám; </w:t>
            </w:r>
            <w:r>
              <w:rPr>
                <w:b/>
                <w:i/>
              </w:rPr>
              <w:t>poukazuje na přínos větších bank ke konkurenceschopnosti a financování evropského hospodářství;</w:t>
            </w:r>
            <w:r>
              <w:t xml:space="preserve"> se znepokojením </w:t>
            </w:r>
            <w:r>
              <w:rPr>
                <w:b/>
                <w:i/>
              </w:rPr>
              <w:t>bere na vědomí ztrátu pracovních míst související</w:t>
            </w:r>
            <w:r>
              <w:t xml:space="preserve"> s umělou inteligencí </w:t>
            </w:r>
            <w:r>
              <w:rPr>
                <w:b/>
                <w:i/>
              </w:rPr>
              <w:t>a potenciální nebezpečí spojená s umělou inteligencí, která vedou ke koncentraci rizik v rozvahách bank</w:t>
            </w:r>
            <w:r>
              <w:t xml:space="preserve">; zdůrazňuje, že je třeba zajistit </w:t>
            </w:r>
            <w:r>
              <w:rPr>
                <w:b/>
                <w:i/>
              </w:rPr>
              <w:t>kvalitní řízení rizik,</w:t>
            </w:r>
            <w:r>
              <w:t xml:space="preserve"> kvalitu pracovních míst, spravedlivé podmínky a rovný přístup k bankovnictví;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lituje rostoucího počtu uzavírání bankovních poboček, které se dotýká zranitelných a okrajových komunit; zdůrazňuje úlohu menších bank </w:t>
            </w:r>
            <w:r>
              <w:rPr>
                <w:b/>
                <w:i/>
              </w:rPr>
              <w:t>v</w:t>
            </w:r>
            <w:r>
              <w:t> přístupu domácností ke službám</w:t>
            </w:r>
            <w:r>
              <w:rPr>
                <w:b/>
                <w:i/>
              </w:rPr>
              <w:t>;</w:t>
            </w:r>
            <w:r>
              <w:t xml:space="preserve"> </w:t>
            </w:r>
            <w:r>
              <w:rPr>
                <w:b/>
                <w:i/>
              </w:rPr>
              <w:t>se znepokojením konstatuje, že v souvislosti s umělou inteligencí dochází ke ztrátě pracovních míst;</w:t>
            </w:r>
            <w:r>
              <w:t xml:space="preserve"> zdůrazňuje, že je třeba </w:t>
            </w:r>
            <w:r>
              <w:rPr>
                <w:b/>
                <w:i/>
              </w:rPr>
              <w:t>zajistit kvalitu pracovních míst, spravedlivé podmínky a rovný přístup k bankovnictví</w:t>
            </w:r>
            <w:r>
              <w:t>;</w:t>
            </w:r>
          </w:p>
        </w:tc>
        <w:tc>
          <w:tcPr>
            <w:tcW w:w="4876" w:type="dxa"/>
            <w:tcBorders>
              <w:top w:val="nil"/>
              <w:left w:val="nil"/>
              <w:bottom w:val="nil"/>
              <w:right w:val="nil"/>
            </w:tcBorders>
          </w:tcPr>
          <w:p>
            <w:pPr>
              <w:pStyle w:val="Normal6a"/>
            </w:pPr>
            <w:r>
              <w:t>13.</w:t>
            </w:r>
            <w:r>
              <w:tab/>
            </w:r>
            <w:r>
              <w:t>lituje rostoucího počtu uzavírání bankovních poboček, které se dotýká zranitelných a okrajových komunit; zdůrazňuje</w:t>
            </w:r>
            <w:r>
              <w:rPr>
                <w:b/>
                <w:i/>
              </w:rPr>
              <w:t>, že tento trend je alespoň částečně způsoben nadměrnou regulační zátěží;</w:t>
            </w:r>
            <w:r>
              <w:t xml:space="preserve"> </w:t>
            </w:r>
            <w:r>
              <w:rPr>
                <w:b/>
                <w:i/>
              </w:rPr>
              <w:t>poukazuje na</w:t>
            </w:r>
            <w:r>
              <w:t xml:space="preserve"> úlohu menších bank </w:t>
            </w:r>
            <w:r>
              <w:rPr>
                <w:b/>
                <w:i/>
              </w:rPr>
              <w:t>při zajišťování</w:t>
            </w:r>
            <w:r>
              <w:t xml:space="preserve"> přístupu domácností ke službám </w:t>
            </w:r>
            <w:r>
              <w:rPr>
                <w:b/>
                <w:i/>
              </w:rPr>
              <w:t>a</w:t>
            </w:r>
            <w:r>
              <w:t xml:space="preserve"> zdůrazňuje, že je třeba </w:t>
            </w:r>
            <w:r>
              <w:rPr>
                <w:b/>
                <w:i/>
              </w:rPr>
              <w:t>dále rozvíjet režim malých bank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lituje rostoucího počtu uzavírání bankovních poboček, které se dotýká zranitelných a okrajových komunit; zdůrazňuje úlohu menších bank v přístupu domácností ke službám; se znepokojením konstatuje, že v souvislosti s umělou inteligencí dochází ke ztrátě pracovních míst; zdůrazňuje, že je třeba zajistit kvalitu pracovních míst, spravedlivé podmínky a rovný přístup k bankovnictví;</w:t>
            </w:r>
          </w:p>
        </w:tc>
        <w:tc>
          <w:tcPr>
            <w:tcW w:w="4876" w:type="dxa"/>
            <w:tcBorders>
              <w:top w:val="nil"/>
              <w:left w:val="nil"/>
              <w:bottom w:val="nil"/>
              <w:right w:val="nil"/>
            </w:tcBorders>
          </w:tcPr>
          <w:p>
            <w:pPr>
              <w:pStyle w:val="Normal6a"/>
            </w:pPr>
            <w:r>
              <w:t>13.</w:t>
            </w:r>
            <w:r>
              <w:tab/>
            </w:r>
            <w:r>
              <w:t xml:space="preserve">lituje rostoucího počtu uzavírání bankovních poboček, které se dotýká zranitelných a okrajových komunit; </w:t>
            </w:r>
            <w:r>
              <w:rPr>
                <w:b/>
                <w:i/>
              </w:rPr>
              <w:t>připomíná práva občanů na přístup k základním finančním službám;</w:t>
            </w:r>
            <w:r>
              <w:t xml:space="preserve"> zdůrazňuje úlohu menších bank v přístupu domácností ke službám</w:t>
            </w:r>
            <w:r>
              <w:rPr>
                <w:b/>
                <w:i/>
              </w:rPr>
              <w:t>;</w:t>
            </w:r>
            <w:r>
              <w:t xml:space="preserve"> </w:t>
            </w:r>
            <w:r>
              <w:rPr>
                <w:b/>
                <w:i/>
              </w:rPr>
              <w:t>zdůrazňuje, že rozmanitost bankovních obchodních modelů zvyšuje odolnost finančního systému</w:t>
            </w:r>
            <w:r>
              <w:t>; se znepokojením konstatuje, že v souvislosti s umělou inteligencí dochází ke ztrátě pracovních míst</w:t>
            </w:r>
            <w:r>
              <w:rPr>
                <w:b/>
                <w:i/>
              </w:rPr>
              <w:t>;</w:t>
            </w:r>
            <w:r>
              <w:t xml:space="preserve"> </w:t>
            </w:r>
            <w:r>
              <w:rPr>
                <w:b/>
                <w:i/>
              </w:rPr>
              <w:t>vyzývá úvěrové instituce, aby zavedly rekvalifikační politiku a zajistily lidský dohled nad automatizovanými rozhodnutími</w:t>
            </w:r>
            <w:r>
              <w:t>; zdůrazňuje, že je třeba zajistit kvalitu pracovních míst, spravedlivé podmínky a rovný přístup k bankovnictví;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lituje rostoucího počtu uzavírání bankovních poboček, které se dotýká zranitelných </w:t>
            </w:r>
            <w:r>
              <w:rPr>
                <w:b/>
                <w:i/>
              </w:rPr>
              <w:t>a okrajových</w:t>
            </w:r>
            <w:r>
              <w:t xml:space="preserve"> komunit; zdůrazňuje úlohu menších bank v přístupu domácností ke službám; </w:t>
            </w:r>
            <w:r>
              <w:rPr>
                <w:b/>
                <w:i/>
              </w:rPr>
              <w:t>se znepokojením konstatuje, že v souvislosti s umělou inteligencí dochází ke ztrátě pracovních míst;</w:t>
            </w:r>
            <w:r>
              <w:t xml:space="preserve"> </w:t>
            </w:r>
            <w:r>
              <w:rPr>
                <w:b/>
                <w:i/>
              </w:rPr>
              <w:t>zdůrazňuje, že je třeba zajistit kvalitu</w:t>
            </w:r>
            <w:r>
              <w:t xml:space="preserve"> pracovních míst, </w:t>
            </w:r>
            <w:r>
              <w:rPr>
                <w:b/>
                <w:i/>
              </w:rPr>
              <w:t>spravedlivé podmínky a rovný přístup</w:t>
            </w:r>
            <w:r>
              <w:t xml:space="preserve"> k bankovnictví;</w:t>
            </w:r>
          </w:p>
        </w:tc>
        <w:tc>
          <w:tcPr>
            <w:tcW w:w="4876" w:type="dxa"/>
            <w:tcBorders>
              <w:top w:val="nil"/>
              <w:left w:val="nil"/>
              <w:bottom w:val="nil"/>
              <w:right w:val="nil"/>
            </w:tcBorders>
          </w:tcPr>
          <w:p>
            <w:pPr>
              <w:pStyle w:val="Normal6a"/>
            </w:pPr>
            <w:r>
              <w:t>13.</w:t>
            </w:r>
            <w:r>
              <w:tab/>
            </w:r>
            <w:r>
              <w:t xml:space="preserve">lituje rostoucího počtu uzavírání bankovních poboček </w:t>
            </w:r>
            <w:r>
              <w:rPr>
                <w:b/>
                <w:i/>
              </w:rPr>
              <w:t>ve venkovských oblastech</w:t>
            </w:r>
            <w:r>
              <w:t xml:space="preserve">, které se dotýká zranitelných komunit; zdůrazňuje úlohu menších bank v přístupu domácností ke službám; </w:t>
            </w:r>
            <w:r>
              <w:rPr>
                <w:b/>
                <w:i/>
              </w:rPr>
              <w:t>poukazuje na význam digitalizace a umělé inteligence z hlediska zvyšování účinnosti bankovního sektoru, jako je zefektivnění operací, snížení nákladů a zvýšení rychlosti a kvality zákaznických služeb při současném zajištění kvality</w:t>
            </w:r>
            <w:r>
              <w:t xml:space="preserve"> pracovních míst, </w:t>
            </w:r>
            <w:r>
              <w:rPr>
                <w:b/>
                <w:i/>
              </w:rPr>
              <w:t>spravedlivých podmínek a rovného přístupu</w:t>
            </w:r>
            <w:r>
              <w:t xml:space="preserve"> k bankovnictví;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lituje rostoucího počtu uzavírání bankovních poboček, které se dotýká zranitelných a okrajových komunit; zdůrazňuje úlohu menších bank v přístupu domácností ke službám; se znepokojením konstatuje, že v souvislosti s umělou inteligencí dochází ke ztrátě pracovních míst; zdůrazňuje, že je třeba zajistit kvalitu pracovních míst, spravedlivé podmínky a rovný přístup k bankovnictví;</w:t>
            </w:r>
          </w:p>
        </w:tc>
        <w:tc>
          <w:tcPr>
            <w:tcW w:w="4876" w:type="dxa"/>
            <w:tcBorders>
              <w:top w:val="nil"/>
              <w:left w:val="nil"/>
              <w:bottom w:val="nil"/>
              <w:right w:val="nil"/>
            </w:tcBorders>
          </w:tcPr>
          <w:p>
            <w:pPr>
              <w:pStyle w:val="Normal6a"/>
            </w:pPr>
            <w:r>
              <w:t>13.</w:t>
            </w:r>
            <w:r>
              <w:tab/>
            </w:r>
            <w:r>
              <w:t>lituje rostoucího počtu uzavírání bankovních poboček, které se dotýká zranitelných a okrajových komunit</w:t>
            </w:r>
            <w:r>
              <w:rPr>
                <w:b/>
                <w:i/>
              </w:rPr>
              <w:t>, mimo jiné v důsledku rostoucí regulační zátěže</w:t>
            </w:r>
            <w:r>
              <w:t xml:space="preserve">; zdůrazňuje úlohu menších bank v přístupu domácností ke službám; se znepokojením konstatuje, že v souvislosti s umělou inteligencí dochází ke ztrátě pracovních míst; zdůrazňuje, že je třeba zajistit kvalitu pracovních míst, spravedlivé podmínky a rovný přístup k bankovnictví; </w:t>
            </w:r>
            <w:r>
              <w:rPr>
                <w:b/>
                <w:i/>
              </w:rPr>
              <w:t>oceňuje přístup, jehož cílem je zavedení režimu malých bank;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lituje rostoucího počtu uzavírání bankovních poboček, které se dotýká zranitelných a okrajových komunit; zdůrazňuje úlohu menších bank v přístupu domácností ke službám; se znepokojením konstatuje, že v souvislosti s umělou inteligencí dochází ke ztrátě pracovních míst; zdůrazňuje, že je třeba zajistit kvalitu pracovních míst, spravedlivé podmínky a rovný přístup k bankovnictví;</w:t>
            </w:r>
          </w:p>
        </w:tc>
        <w:tc>
          <w:tcPr>
            <w:tcW w:w="4876" w:type="dxa"/>
            <w:tcBorders>
              <w:top w:val="nil"/>
              <w:left w:val="nil"/>
              <w:bottom w:val="nil"/>
              <w:right w:val="nil"/>
            </w:tcBorders>
          </w:tcPr>
          <w:p>
            <w:pPr>
              <w:pStyle w:val="Normal6a"/>
            </w:pPr>
            <w:r>
              <w:t>13.</w:t>
            </w:r>
            <w:r>
              <w:tab/>
            </w:r>
            <w:r>
              <w:t>lituje rostoucího počtu uzavírání bankovních poboček, které se dotýká zranitelných a okrajových komunit</w:t>
            </w:r>
            <w:r>
              <w:rPr>
                <w:b/>
                <w:i/>
              </w:rPr>
              <w:t>, částečně v důsledku rostoucí regulační zátěže</w:t>
            </w:r>
            <w:r>
              <w:t xml:space="preserve">; zdůrazňuje úlohu menších bank v přístupu domácností ke službám; se znepokojením konstatuje, že v souvislosti s umělou inteligencí dochází ke ztrátě pracovních míst; zdůrazňuje, že je třeba zajistit kvalitu pracovních míst, spravedlivé podmínky a rovný přístup k bankovnictví; </w:t>
            </w:r>
            <w:r>
              <w:rPr>
                <w:b/>
                <w:i/>
              </w:rPr>
              <w:t>oceňuje přístup, jehož cílem je zavedení režimu malých bank;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lituje rostoucího počtu uzavírání bankovních poboček, které </w:t>
            </w:r>
            <w:r>
              <w:rPr>
                <w:b/>
                <w:i/>
              </w:rPr>
              <w:t>se</w:t>
            </w:r>
            <w:r>
              <w:t xml:space="preserve"> dotýká zranitelných a okrajových komunit; zdůrazňuje úlohu menších bank v přístupu domácností ke službám; se znepokojením konstatuje, že v souvislosti s umělou inteligencí dochází ke ztrátě pracovních míst; zdůrazňuje, že je třeba zajistit kvalitu pracovních míst, spravedlivé podmínky a rovný přístup k bankovnictví;</w:t>
            </w:r>
          </w:p>
        </w:tc>
        <w:tc>
          <w:tcPr>
            <w:tcW w:w="4876" w:type="dxa"/>
            <w:tcBorders>
              <w:top w:val="nil"/>
              <w:left w:val="nil"/>
              <w:bottom w:val="nil"/>
              <w:right w:val="nil"/>
            </w:tcBorders>
          </w:tcPr>
          <w:p>
            <w:pPr>
              <w:pStyle w:val="Normal6a"/>
            </w:pPr>
            <w:r>
              <w:t>13.</w:t>
            </w:r>
            <w:r>
              <w:tab/>
            </w:r>
            <w:r>
              <w:t xml:space="preserve">lituje rostoucího počtu uzavírání bankovních poboček, které </w:t>
            </w:r>
            <w:r>
              <w:rPr>
                <w:b/>
                <w:i/>
              </w:rPr>
              <w:t>je částečně způsobeno zvyšující se regulační zátěží;</w:t>
            </w:r>
            <w:r>
              <w:t xml:space="preserve"> </w:t>
            </w:r>
            <w:r>
              <w:rPr>
                <w:b/>
                <w:i/>
              </w:rPr>
              <w:t>v této souvislosti vítá přístup, jehož cílem je provedení režimu malých bank;</w:t>
            </w:r>
            <w:r>
              <w:t xml:space="preserve"> </w:t>
            </w:r>
            <w:r>
              <w:rPr>
                <w:b/>
                <w:i/>
              </w:rPr>
              <w:t>konstatuje rovněž, že toto uzavírání poboček se neúměrně</w:t>
            </w:r>
            <w:r>
              <w:t xml:space="preserve"> dotýká zranitelných a okrajových komunit; zdůrazňuje úlohu menších bank v přístupu domácností ke službám; se znepokojením konstatuje, že v souvislosti s umělou inteligencí dochází ke ztrátě pracovních míst; zdůrazňuje, že je třeba zajistit kvalitu pracovních míst, spravedlivé podmínky a rovný přístup k bankovnictví;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zdůrazňuje závažnost všudypřítomného jevu uzavírání bankovních poboček a následné riziko v podobě „desertifikace bank“, která postihuje zejména nejzranitelnější občany a ty oblasti EU, jichž se nejvíce dotýká digitální propast;</w:t>
            </w:r>
            <w:r>
              <w:t xml:space="preserve"> </w:t>
            </w:r>
            <w:r>
              <w:rPr>
                <w:b/>
                <w:i/>
              </w:rPr>
              <w:t>zdůrazňuje zásadní úlohu středních a malých bank při zajišťování základních bankovních služeb, zejména ve venkovských, horských, vnitrozemských, ostrovních a nejvzdálenějších oblastech EU, neboť tyto služby podporují rodiny, malé a střední podniky a místní ekonomiky;</w:t>
            </w:r>
            <w:r>
              <w:t xml:space="preserve"> </w:t>
            </w:r>
            <w:r>
              <w:rPr>
                <w:b/>
                <w:i/>
              </w:rPr>
              <w:t>zdůrazňuje, že je třeba zmírnit regulační zátěž těchto subjektů, které plní důležitou socioekonomickou funkci, prostřednictvím uplatňování zásady proporcionality v bankovním dohledu;</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bere na vědomí strukturální změny v bankovních obchodních modelech, včetně změn vyplývajících z digitalizace, a zdůrazňuje, že je důležité zajistit, aby rodiny a malé a střední podniky měly i nadále přístup k základním finančním službám;</w:t>
            </w:r>
            <w:r>
              <w:t xml:space="preserve"> </w:t>
            </w:r>
            <w:r>
              <w:rPr>
                <w:b/>
                <w:i/>
              </w:rPr>
              <w:t>vyzdvihuje úlohu, kterou mohou v této souvislosti hrát menší instituce a nové digitální kanály;</w:t>
            </w:r>
            <w:r>
              <w:t xml:space="preserve"> </w:t>
            </w:r>
            <w:r>
              <w:rPr>
                <w:b/>
                <w:i/>
              </w:rPr>
              <w:t>poukazuje na to, že zavádění nových technologií, včetně umělé inteligence, by mělo být odpovědně řízeno, přičemž je nutné vyvíjet úsilí o přizpůsobení dovedností a zvýšení produktivity, aniž by to bránilo inovacím nebo konkurenceschopnosti evropského finančního sektoru;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Marco Falcone, Fulvio Martusciello, Herbert Dorfmann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vyzývá Komisi, aby zvážila možnost iniciativ zaměřených na to, aby byla ve všech členských státech jednotným způsobem zaručena minimální úroveň fyzického přístupu k finančním službám, a aby posoudila, zda v reakci na fenomén desertifikace bank nepřidělit část nárůstu ziskovosti na podporu sítě poboček bank;</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uznává rizika a příležitosti kryptoaktiv</w:t>
            </w:r>
            <w:r>
              <w:t>; vyzývá k </w:t>
            </w:r>
            <w:r>
              <w:rPr>
                <w:b/>
                <w:i/>
              </w:rPr>
              <w:t>důslednému</w:t>
            </w:r>
            <w:r>
              <w:t xml:space="preserve"> dohledu</w:t>
            </w:r>
            <w:r>
              <w:rPr>
                <w:b/>
                <w:i/>
              </w:rPr>
              <w:t>, aby se zajistilo, že inovace slouží veřejnosti</w:t>
            </w:r>
            <w:r>
              <w:t>; vyzývá orgány EU a vnitrostátní orgány, aby monitorovaly expozice, řešily spekulativní rizika, bojovaly proti finančním trestným činům a chránily spotřebitele;</w:t>
            </w:r>
          </w:p>
        </w:tc>
        <w:tc>
          <w:tcPr>
            <w:tcW w:w="4876" w:type="dxa"/>
            <w:tcBorders>
              <w:top w:val="nil"/>
              <w:left w:val="nil"/>
              <w:bottom w:val="nil"/>
              <w:right w:val="nil"/>
            </w:tcBorders>
          </w:tcPr>
          <w:p>
            <w:pPr>
              <w:pStyle w:val="Normal6a"/>
            </w:pPr>
            <w:r>
              <w:t>14.</w:t>
            </w:r>
            <w:r>
              <w:tab/>
            </w:r>
            <w:r>
              <w:rPr>
                <w:b/>
                <w:i/>
              </w:rPr>
              <w:t>bere na vědomí tokenizaci rizik a příležitostí spojených s finančními aktivy</w:t>
            </w:r>
            <w:r>
              <w:t xml:space="preserve">; vyzývá k </w:t>
            </w:r>
            <w:r>
              <w:rPr>
                <w:b/>
                <w:i/>
              </w:rPr>
              <w:t>přiměřenému přístupu k regulaci a</w:t>
            </w:r>
            <w:r>
              <w:t xml:space="preserve"> dohledu </w:t>
            </w:r>
            <w:r>
              <w:rPr>
                <w:b/>
                <w:i/>
              </w:rPr>
              <w:t>založenému na zásadách, který nebude bránit inovacím</w:t>
            </w:r>
            <w:r>
              <w:t>; vyzývá orgány EU a vnitrostátní orgány, aby monitorovaly expozice, řešily spekulativní rizika, bojovaly proti finančním trestným činům a chránily spotřebitele;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Aurore Lalucq</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uznává</w:t>
            </w:r>
            <w:r>
              <w:t xml:space="preserve"> rizika </w:t>
            </w:r>
            <w:r>
              <w:rPr>
                <w:b/>
                <w:i/>
              </w:rPr>
              <w:t>a příležitosti</w:t>
            </w:r>
            <w:r>
              <w:t xml:space="preserve"> kryptoaktiv; vyzývá k důslednému dohledu, aby se zajistilo, že inovace slouží veřejnosti; vyzývá orgány EU a vnitrostátní orgány, aby monitorovaly expozice, řešily spekulativní </w:t>
            </w:r>
            <w:r>
              <w:rPr>
                <w:b/>
                <w:i/>
              </w:rPr>
              <w:t>rizika</w:t>
            </w:r>
            <w:r>
              <w:t>, bojovaly proti finančním trestným činům a chránily spotřebitele;</w:t>
            </w:r>
          </w:p>
        </w:tc>
        <w:tc>
          <w:tcPr>
            <w:tcW w:w="4876" w:type="dxa"/>
            <w:tcBorders>
              <w:top w:val="nil"/>
              <w:left w:val="nil"/>
              <w:bottom w:val="nil"/>
              <w:right w:val="nil"/>
            </w:tcBorders>
          </w:tcPr>
          <w:p>
            <w:pPr>
              <w:pStyle w:val="Normal6a"/>
            </w:pPr>
            <w:r>
              <w:t>14.</w:t>
            </w:r>
            <w:r>
              <w:tab/>
            </w:r>
            <w:r>
              <w:rPr>
                <w:b/>
                <w:i/>
              </w:rPr>
              <w:t>upozorňuje na</w:t>
            </w:r>
            <w:r>
              <w:t xml:space="preserve"> rizika kryptoaktiv; vyzývá k důslednému dohledu, aby se zajistilo, že inovace slouží veřejnosti; vyzývá orgány EU a vnitrostátní orgány, aby monitorovaly expozice, řešily </w:t>
            </w:r>
            <w:r>
              <w:rPr>
                <w:b/>
                <w:i/>
              </w:rPr>
              <w:t>rizika, potíraly</w:t>
            </w:r>
            <w:r>
              <w:t xml:space="preserve"> spekulativní </w:t>
            </w:r>
            <w:r>
              <w:rPr>
                <w:b/>
                <w:i/>
              </w:rPr>
              <w:t>chování</w:t>
            </w:r>
            <w:r>
              <w:t>, bojovaly proti finančním trestným činům a chránily spotřebitele;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uznává</w:t>
            </w:r>
            <w:r>
              <w:t xml:space="preserve"> rizika </w:t>
            </w:r>
            <w:r>
              <w:rPr>
                <w:b/>
                <w:i/>
              </w:rPr>
              <w:t>a příležitosti kryptoaktiv</w:t>
            </w:r>
            <w:r>
              <w:t>; vyzývá k důslednému dohledu, aby se zajistilo, že inovace slouží veřejnosti; vyzývá orgány EU a vnitrostátní orgány, aby monitorovaly expozice, řešily spekulativní rizika, bojovaly proti finančním trestným činům a chránily spotřebitele;</w:t>
            </w:r>
          </w:p>
        </w:tc>
        <w:tc>
          <w:tcPr>
            <w:tcW w:w="4876" w:type="dxa"/>
            <w:tcBorders>
              <w:top w:val="nil"/>
              <w:left w:val="nil"/>
              <w:bottom w:val="nil"/>
              <w:right w:val="nil"/>
            </w:tcBorders>
          </w:tcPr>
          <w:p>
            <w:pPr>
              <w:pStyle w:val="Normal6a"/>
            </w:pPr>
            <w:r>
              <w:t>14.</w:t>
            </w:r>
            <w:r>
              <w:tab/>
            </w:r>
            <w:r>
              <w:rPr>
                <w:b/>
                <w:i/>
              </w:rPr>
              <w:t>upozorňuje na specifická</w:t>
            </w:r>
            <w:r>
              <w:t xml:space="preserve"> rizika </w:t>
            </w:r>
            <w:r>
              <w:rPr>
                <w:b/>
                <w:i/>
              </w:rPr>
              <w:t>představovaná kryptoaktivy;</w:t>
            </w:r>
            <w:r>
              <w:t xml:space="preserve"> </w:t>
            </w:r>
            <w:r>
              <w:rPr>
                <w:b/>
                <w:i/>
              </w:rPr>
              <w:t>připomíná, že kryptoaktiva jsou vysoce volatilní a neproduktivní aktiva, která se většinou používají ke spekulativním účelům</w:t>
            </w:r>
            <w:r>
              <w:t>; vyzývá k důslednému dohledu, aby se zajistilo, že inovace slouží veřejnosti; vyzývá orgány EU a vnitrostátní orgány, aby monitorovaly expozice, řešily spekulativní rizika, bojovaly proti finančním trestným činům a chránily spotřebitele;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uznává rizika a příležitosti kryptoaktiv; vyzývá k důslednému dohledu, </w:t>
            </w:r>
            <w:r>
              <w:rPr>
                <w:b/>
                <w:i/>
              </w:rPr>
              <w:t>aby se zajistilo, že inovace slouží veřejnosti</w:t>
            </w:r>
            <w:r>
              <w:t>; vyzývá orgány EU a vnitrostátní orgány, aby monitorovaly expozice, řešily spekulativní rizika, bojovaly proti finančním trestným činům a chránily spotřebitele;</w:t>
            </w:r>
          </w:p>
        </w:tc>
        <w:tc>
          <w:tcPr>
            <w:tcW w:w="4876" w:type="dxa"/>
            <w:tcBorders>
              <w:top w:val="nil"/>
              <w:left w:val="nil"/>
              <w:bottom w:val="nil"/>
              <w:right w:val="nil"/>
            </w:tcBorders>
          </w:tcPr>
          <w:p>
            <w:pPr>
              <w:pStyle w:val="Normal6a"/>
            </w:pPr>
            <w:r>
              <w:t>14.</w:t>
            </w:r>
            <w:r>
              <w:tab/>
            </w:r>
            <w:r>
              <w:t xml:space="preserve">uznává rizika a příležitosti kryptoaktiv; vyzývá k důslednému dohledu, </w:t>
            </w:r>
            <w:r>
              <w:rPr>
                <w:b/>
                <w:i/>
              </w:rPr>
              <w:t>který bude vstřícný k inovacím</w:t>
            </w:r>
            <w:r>
              <w:t>; vyzývá orgány EU a vnitrostátní orgány, aby monitorovaly expozice, řešily spekulativní rizika, bojovaly proti finančním trestným činům a chránily spotřebitele;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uznává rizika a příležitosti kryptoaktiv; vyzývá </w:t>
            </w:r>
            <w:r>
              <w:rPr>
                <w:b/>
                <w:i/>
              </w:rPr>
              <w:t>k důslednému</w:t>
            </w:r>
            <w:r>
              <w:t xml:space="preserve"> dohledu, aby se zajistilo, že inovace slouží veřejnosti; vyzývá orgány EU a vnitrostátní orgány, aby monitorovaly expozice, řešily spekulativní rizika, bojovaly proti finančním trestným činům a chránily spotřebitele;</w:t>
            </w:r>
          </w:p>
        </w:tc>
        <w:tc>
          <w:tcPr>
            <w:tcW w:w="4876" w:type="dxa"/>
            <w:tcBorders>
              <w:top w:val="nil"/>
              <w:left w:val="nil"/>
              <w:bottom w:val="nil"/>
              <w:right w:val="nil"/>
            </w:tcBorders>
          </w:tcPr>
          <w:p>
            <w:pPr>
              <w:pStyle w:val="Normal6a"/>
            </w:pPr>
            <w:r>
              <w:t>14.</w:t>
            </w:r>
            <w:r>
              <w:tab/>
            </w:r>
            <w:r>
              <w:t xml:space="preserve">uznává rizika a příležitosti kryptoaktiv; vyzývá </w:t>
            </w:r>
            <w:r>
              <w:rPr>
                <w:b/>
                <w:i/>
              </w:rPr>
              <w:t>ke spolehlivému</w:t>
            </w:r>
            <w:r>
              <w:t xml:space="preserve"> dohledu, aby se zajistilo, že inovace slouží veřejnosti; vyzývá orgány EU a vnitrostátní orgány, aby monitorovaly expozice, řešily spekulativní rizika, bojovaly proti finančním trestným činům a chránily spotřebitele;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uznává rizika a příležitosti kryptoaktiv; vyzývá k důslednému dohledu, aby se zajistilo, že inovace slouží veřejnosti; vyzývá orgány EU a vnitrostátní orgány, aby monitorovaly expozice, řešily spekulativní rizika, bojovaly proti finančním trestným činům a chránily spotřebitele;</w:t>
            </w:r>
          </w:p>
        </w:tc>
        <w:tc>
          <w:tcPr>
            <w:tcW w:w="4876" w:type="dxa"/>
            <w:tcBorders>
              <w:top w:val="nil"/>
              <w:left w:val="nil"/>
              <w:bottom w:val="nil"/>
              <w:right w:val="nil"/>
            </w:tcBorders>
          </w:tcPr>
          <w:p>
            <w:pPr>
              <w:pStyle w:val="Normal6a"/>
            </w:pPr>
            <w:r>
              <w:t>14.</w:t>
            </w:r>
            <w:r>
              <w:tab/>
            </w:r>
            <w:r>
              <w:t xml:space="preserve">uznává rizika a příležitosti kryptoaktiv; vyzývá k důslednému dohledu, aby se zajistilo, že inovace slouží veřejnosti; vyzývá orgány EU a vnitrostátní orgány, aby monitorovaly expozice, řešily spekulativní rizika, bojovaly proti finančním trestným činům a chránily spotřebitele; </w:t>
            </w:r>
            <w:r>
              <w:rPr>
                <w:b/>
                <w:i/>
              </w:rPr>
              <w:t>zdůrazňuje význam celosvětových norem v této oblasti a potřebu prozkoumat způsoby, jak podpořit rozvoj stabilních kryptoměn denominovaných v eurech, aby byla zachována měnová suverenita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vyzývá Komisi, orgán EBA a příslušné vnitrostátní orgány v rámci bankovní unie, aby zajistily přísné, důsledné a přesné provádění a prosazování nařízení (EU) 2023/1114 (MiCA) coby nezbytného doplňku rámce pro finanční stabilitu Unie založeného na bankách;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Jussi Saramo, Manon Aubry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uznává rizika, která pro banky v EU představují multiemisní stablecoiny ze třetích zemí, i skutečnost, že regulatorní arbitráž mezi jurisdikcemi by mohla potenciálně vést k bankovní panice v EU a vedlejším účinkům;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14b.</w:t>
            </w:r>
            <w:r>
              <w:tab/>
            </w:r>
            <w:r>
              <w:rPr>
                <w:b/>
                <w:i/>
              </w:rPr>
              <w:t>vyzývá Komisi, orgán EBA a příslušné vnitrostátní orgány, aby řádně zohlednily stanoviska, rady a doporučení ECB a ESRB;</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Aurore Lalucq, 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14 c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14c.</w:t>
            </w:r>
            <w:r>
              <w:tab/>
            </w:r>
            <w:r>
              <w:rPr>
                <w:b/>
                <w:i/>
              </w:rPr>
              <w:t>zdůrazňuje, že jakákoli shovívavost v oblasti dohledu, roztříštěnost nebo výjimky při uplatňování nařízení MiCA by zvýšily riziko paniky v souvislosti se stablecoiny, která by se mohla rozšířit na banky, trhy se státními dluhopisy a platební systémy v rámci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Auke Zijlstra,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vítá reformu</w:t>
            </w:r>
            <w:r>
              <w:t xml:space="preserve"> krizového řízení a pojištění vkladů</w:t>
            </w:r>
            <w:r>
              <w:rPr>
                <w:b/>
                <w:i/>
              </w:rPr>
              <w:t>, protože má za cíl soudržné</w:t>
            </w:r>
            <w:r>
              <w:t xml:space="preserve"> krizové řízení a pojištění vkladů</w:t>
            </w:r>
            <w:r>
              <w:rPr>
                <w:b/>
                <w:i/>
              </w:rPr>
              <w:t>, posílení stability, ochranu úspor a daňových poplatníků;</w:t>
            </w:r>
            <w:r>
              <w:t xml:space="preserve"> </w:t>
            </w:r>
            <w:r>
              <w:rPr>
                <w:b/>
                <w:i/>
              </w:rPr>
              <w:t>zdůrazňuje, že je třeba, aby menší banky byly flexibilní a aby orgány měly účinné nástroje k zajištění odolné a sociálně odpovědné bankovní unie</w:t>
            </w:r>
            <w:r>
              <w:t>;</w:t>
            </w:r>
          </w:p>
        </w:tc>
        <w:tc>
          <w:tcPr>
            <w:tcW w:w="4876" w:type="dxa"/>
            <w:tcBorders>
              <w:top w:val="nil"/>
              <w:left w:val="nil"/>
              <w:bottom w:val="nil"/>
              <w:right w:val="nil"/>
            </w:tcBorders>
          </w:tcPr>
          <w:p>
            <w:pPr>
              <w:pStyle w:val="Normal6a"/>
            </w:pPr>
            <w:r>
              <w:t>15.</w:t>
            </w:r>
            <w:r>
              <w:tab/>
            </w:r>
            <w:r>
              <w:rPr>
                <w:b/>
                <w:i/>
              </w:rPr>
              <w:t>vyjadřuje znepokojení nad stávající podobou reformy</w:t>
            </w:r>
            <w:r>
              <w:t xml:space="preserve"> krizového řízení a pojištění vkladů</w:t>
            </w:r>
            <w:r>
              <w:rPr>
                <w:b/>
                <w:i/>
              </w:rPr>
              <w:t>;</w:t>
            </w:r>
            <w:r>
              <w:t xml:space="preserve"> </w:t>
            </w:r>
            <w:r>
              <w:rPr>
                <w:b/>
                <w:i/>
              </w:rPr>
              <w:t>odmítá jakýkoli koncept, který zastírá základní rizika platební neschopnosti prostřednictvím složitých pojistek a sdílení rizik, a kritizuje samotnou myšlenku sdílení ztrát mezi členskými státy, což by v podstatě vedlo k socializaci bankovních rizik a omezení tržní disciplíny;</w:t>
            </w:r>
            <w:r>
              <w:t xml:space="preserve"> </w:t>
            </w:r>
            <w:r>
              <w:rPr>
                <w:b/>
                <w:i/>
              </w:rPr>
              <w:t>stávající rámec pro</w:t>
            </w:r>
            <w:r>
              <w:t xml:space="preserve"> krizové řízení a pojištění vkladů </w:t>
            </w:r>
            <w:r>
              <w:rPr>
                <w:b/>
                <w:i/>
              </w:rPr>
              <w:t>by neměl ospravedlňovat předčasné rozšiřování přeshraničního sdílení rizik bez jasných mechanismů ukončení a odpovědnosti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rPr>
                <w:b/>
                <w:i/>
              </w:rPr>
              <w:t>vítá</w:t>
            </w:r>
            <w:r>
              <w:t xml:space="preserve"> reformu </w:t>
            </w:r>
            <w:r>
              <w:rPr>
                <w:b/>
                <w:i/>
              </w:rPr>
              <w:t>krizového</w:t>
            </w:r>
            <w:r>
              <w:t xml:space="preserve"> řízení a pojištění vkladů, </w:t>
            </w:r>
            <w:r>
              <w:rPr>
                <w:b/>
                <w:i/>
              </w:rPr>
              <w:t>protože má za cíl soudržné krizové</w:t>
            </w:r>
            <w:r>
              <w:t xml:space="preserve"> řízení a pojištění vkladů, posílení stability</w:t>
            </w:r>
            <w:r>
              <w:rPr>
                <w:b/>
                <w:i/>
              </w:rPr>
              <w:t>, ochranu</w:t>
            </w:r>
            <w:r>
              <w:t xml:space="preserve"> úspor a daňových poplatníků; zdůrazňuje, že je třeba, aby </w:t>
            </w:r>
            <w:r>
              <w:rPr>
                <w:b/>
                <w:i/>
              </w:rPr>
              <w:t>menší</w:t>
            </w:r>
            <w:r>
              <w:t xml:space="preserve"> banky byly flexibilní a aby orgány měly účinné nástroje k zajištění odolné </w:t>
            </w:r>
            <w:r>
              <w:rPr>
                <w:b/>
                <w:i/>
              </w:rPr>
              <w:t>a sociálně odpovědné</w:t>
            </w:r>
            <w:r>
              <w:t xml:space="preserve"> bankovní unie;</w:t>
            </w:r>
          </w:p>
        </w:tc>
        <w:tc>
          <w:tcPr>
            <w:tcW w:w="4876" w:type="dxa"/>
            <w:tcBorders>
              <w:top w:val="nil"/>
              <w:left w:val="nil"/>
              <w:bottom w:val="nil"/>
              <w:right w:val="nil"/>
            </w:tcBorders>
          </w:tcPr>
          <w:p>
            <w:pPr>
              <w:pStyle w:val="Normal6a"/>
            </w:pPr>
            <w:r>
              <w:t>15.</w:t>
            </w:r>
            <w:r>
              <w:tab/>
            </w:r>
            <w:r>
              <w:rPr>
                <w:b/>
                <w:i/>
              </w:rPr>
              <w:t>bere na vědomí</w:t>
            </w:r>
            <w:r>
              <w:t xml:space="preserve"> reformu </w:t>
            </w:r>
            <w:r>
              <w:rPr>
                <w:b/>
                <w:i/>
              </w:rPr>
              <w:t>rámce pro krizové</w:t>
            </w:r>
            <w:r>
              <w:t xml:space="preserve"> řízení a pojištění vkladů, </w:t>
            </w:r>
            <w:r>
              <w:rPr>
                <w:b/>
                <w:i/>
              </w:rPr>
              <w:t>jejímž cílem je zlepšení krizového</w:t>
            </w:r>
            <w:r>
              <w:t xml:space="preserve"> řízení a pojištění vkladů, posílení stability </w:t>
            </w:r>
            <w:r>
              <w:rPr>
                <w:b/>
                <w:i/>
              </w:rPr>
              <w:t>a ochrana</w:t>
            </w:r>
            <w:r>
              <w:t xml:space="preserve"> úspor a daňových poplatníků; zdůrazňuje, že je třeba, aby </w:t>
            </w:r>
            <w:r>
              <w:rPr>
                <w:b/>
                <w:i/>
              </w:rPr>
              <w:t>malé a středně velké</w:t>
            </w:r>
            <w:r>
              <w:t xml:space="preserve"> banky byly flexibilní a aby orgány měly účinné nástroje k zajištění odolné bankovní unie; </w:t>
            </w:r>
            <w:r>
              <w:rPr>
                <w:b/>
                <w:i/>
              </w:rPr>
              <w:t>zdůrazňuje, že řešení by mělo být standardní variantou pouze pro ty banky, jejichž selhání by mělo důsledky pro finanční stabilitu, a že standardní variantou pro malé a střední banky proto zůstává platební neschopnost;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w:t>
            </w:r>
            <w:r>
              <w:rPr>
                <w:b/>
                <w:i/>
              </w:rPr>
              <w:t>k</w:t>
            </w:r>
            <w:r>
              <w:t xml:space="preserve"> zajištění </w:t>
            </w:r>
            <w:r>
              <w:rPr>
                <w:b/>
                <w:i/>
              </w:rPr>
              <w:t>odolné a sociálně odpovědné bankovní unie</w:t>
            </w:r>
            <w:r>
              <w:t>;</w:t>
            </w:r>
          </w:p>
        </w:tc>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w:t>
            </w:r>
            <w:r>
              <w:rPr>
                <w:b/>
                <w:i/>
              </w:rPr>
              <w:t>pro reakci na selhání bank a</w:t>
            </w:r>
            <w:r>
              <w:t xml:space="preserve"> zajištění </w:t>
            </w:r>
            <w:r>
              <w:rPr>
                <w:b/>
                <w:i/>
              </w:rPr>
              <w:t>finanční stability, a to i v případě systémového scénáře</w:t>
            </w:r>
            <w:r>
              <w:t xml:space="preserve">; </w:t>
            </w:r>
            <w:r>
              <w:rPr>
                <w:b/>
                <w:i/>
              </w:rPr>
              <w:t>opakuje, že cílem řešení krize bank je chránit finanční stabilitu a zajistit zásadní funkce bank, a nikoli zachraňovat věřitele nebo akcionáře;</w:t>
            </w:r>
            <w:r>
              <w:t xml:space="preserve"> </w:t>
            </w:r>
            <w:r>
              <w:rPr>
                <w:b/>
                <w:i/>
              </w:rPr>
              <w:t>zdůrazňuje, že řešení úpadku banky prostřednictvím běžného úpadkového řízení by mělo zůstat standardem v případě bank, které nejsou systémově důležité, pokud to nejúčinněji chrání zásadní funkce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w:t>
            </w:r>
            <w:r>
              <w:rPr>
                <w:b/>
                <w:i/>
              </w:rPr>
              <w:t>menší banky byly flexibilní a aby</w:t>
            </w:r>
            <w:r>
              <w:t xml:space="preserve"> orgány měly účinné nástroje k zajištění odolné a sociálně odpovědné bankovní unie;</w:t>
            </w:r>
          </w:p>
        </w:tc>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orgány měly účinné </w:t>
            </w:r>
            <w:r>
              <w:rPr>
                <w:b/>
                <w:i/>
              </w:rPr>
              <w:t>a přiměřené</w:t>
            </w:r>
            <w:r>
              <w:t xml:space="preserve"> nástroje k zajištění odolné a sociálně odpovědné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w:t>
            </w:r>
            <w:r>
              <w:rPr>
                <w:b/>
                <w:i/>
              </w:rPr>
              <w:t>k zajištění</w:t>
            </w:r>
            <w:r>
              <w:t xml:space="preserve"> odolné a </w:t>
            </w:r>
            <w:r>
              <w:rPr>
                <w:b/>
                <w:i/>
              </w:rPr>
              <w:t>sociálně odpovědné</w:t>
            </w:r>
            <w:r>
              <w:t xml:space="preserve"> bankovní </w:t>
            </w:r>
            <w:r>
              <w:rPr>
                <w:b/>
                <w:i/>
              </w:rPr>
              <w:t>unie</w:t>
            </w:r>
            <w:r>
              <w:t>;</w:t>
            </w:r>
          </w:p>
        </w:tc>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w:t>
            </w:r>
            <w:r>
              <w:rPr>
                <w:b/>
                <w:i/>
              </w:rPr>
              <w:t>zaštítěné regulačním rámcem, který podporuje rozvoj bank a přispívá k</w:t>
            </w:r>
            <w:r>
              <w:t xml:space="preserve"> odolné a </w:t>
            </w:r>
            <w:r>
              <w:rPr>
                <w:b/>
                <w:i/>
              </w:rPr>
              <w:t>finančně stabilní</w:t>
            </w:r>
            <w:r>
              <w:t xml:space="preserve"> bankovní </w:t>
            </w:r>
            <w:r>
              <w:rPr>
                <w:b/>
                <w:i/>
              </w:rPr>
              <w:t>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k zajištění odolné a </w:t>
            </w:r>
            <w:r>
              <w:rPr>
                <w:b/>
                <w:i/>
              </w:rPr>
              <w:t>sociálně odpovědné</w:t>
            </w:r>
            <w:r>
              <w:t xml:space="preserve"> bankovní unie;</w:t>
            </w:r>
          </w:p>
        </w:tc>
        <w:tc>
          <w:tcPr>
            <w:tcW w:w="4876" w:type="dxa"/>
            <w:tcBorders>
              <w:top w:val="nil"/>
              <w:left w:val="nil"/>
              <w:bottom w:val="nil"/>
              <w:right w:val="nil"/>
            </w:tcBorders>
          </w:tcPr>
          <w:p>
            <w:pPr>
              <w:pStyle w:val="Normal6a"/>
            </w:pPr>
            <w:r>
              <w:t>15.</w:t>
            </w:r>
            <w:r>
              <w:tab/>
            </w:r>
            <w:r>
              <w:t>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k zajištění odolné a bankovní unie;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vítá reformu krizového řízení a pojištění vkladů, protože má za cíl soudržné krizové řízení a pojištění vkladů, posílení stability, ochranu úspor a daňových poplatníků; zdůrazňuje</w:t>
            </w:r>
            <w:r>
              <w:rPr>
                <w:b/>
                <w:i/>
              </w:rPr>
              <w:t>, že je třeba, aby menší banky byly flexibilní a</w:t>
            </w:r>
            <w:r>
              <w:t> aby orgány měly účinné nástroje k zajištění odolné a sociálně odpovědné bankovní unie;</w:t>
            </w:r>
          </w:p>
        </w:tc>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w:t>
            </w:r>
            <w:r>
              <w:rPr>
                <w:b/>
                <w:i/>
              </w:rPr>
              <w:t>a zajištění lepšího využívání veřejných prostředků k řešení krizí bank, pokud je to ve veřejném zájmu</w:t>
            </w:r>
            <w:r>
              <w:t xml:space="preserve">; zdůrazňuje </w:t>
            </w:r>
            <w:r>
              <w:rPr>
                <w:b/>
                <w:i/>
              </w:rPr>
              <w:t>význam jasného regulačního rámce a toho,</w:t>
            </w:r>
            <w:r>
              <w:t xml:space="preserve"> aby orgány měly účinné nástroje</w:t>
            </w:r>
            <w:r>
              <w:rPr>
                <w:b/>
                <w:i/>
              </w:rPr>
              <w:t>, údaje a rozhodovací mechanismy</w:t>
            </w:r>
            <w:r>
              <w:t> k zajištění odolné a sociálně odpovědné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k zajištění odolné a sociálně odpovědné bankovní unie;</w:t>
            </w:r>
          </w:p>
        </w:tc>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menší </w:t>
            </w:r>
            <w:r>
              <w:rPr>
                <w:b/>
                <w:i/>
              </w:rPr>
              <w:t>a střední</w:t>
            </w:r>
            <w:r>
              <w:t xml:space="preserve"> banky</w:t>
            </w:r>
            <w:r>
              <w:rPr>
                <w:b/>
                <w:i/>
              </w:rPr>
              <w:t>, pro něž rámec pro řešení krizí často nebude nejvhodnějším nástrojem a u nichž upřednostňovanou možností zůstává likvidace v běžném úpadkovém řízení,</w:t>
            </w:r>
            <w:r>
              <w:t> byly flexibilní a aby orgány měly účinné nástroje k zajištění odolné a sociálně odpovědné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k zajištění odolné a sociálně odpovědné bankovní unie;</w:t>
            </w:r>
          </w:p>
        </w:tc>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menší </w:t>
            </w:r>
            <w:r>
              <w:rPr>
                <w:b/>
                <w:i/>
              </w:rPr>
              <w:t>a střední</w:t>
            </w:r>
            <w:r>
              <w:t xml:space="preserve"> banky</w:t>
            </w:r>
            <w:r>
              <w:rPr>
                <w:b/>
                <w:i/>
              </w:rPr>
              <w:t>, pro něž rámec pro řešení krizí často nebude nejvhodnějším nástrojem a u nichž upřednostňovanou možností zůstává likvidace v běžném úpadkovém řízení,</w:t>
            </w:r>
            <w:r>
              <w:t> byly flexibilní a aby orgány měly účinné nástroje k zajištění odolné a sociálně odpovědné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k zajištění odolné a sociálně odpovědné bankovní unie;</w:t>
            </w:r>
          </w:p>
        </w:tc>
        <w:tc>
          <w:tcPr>
            <w:tcW w:w="4876" w:type="dxa"/>
            <w:tcBorders>
              <w:top w:val="nil"/>
              <w:left w:val="nil"/>
              <w:bottom w:val="nil"/>
              <w:right w:val="nil"/>
            </w:tcBorders>
          </w:tcPr>
          <w:p>
            <w:pPr>
              <w:pStyle w:val="Normal6a"/>
            </w:pPr>
            <w:r>
              <w:t>15.</w:t>
            </w:r>
            <w:r>
              <w:tab/>
            </w:r>
            <w:r>
              <w:t xml:space="preserve">vítá reformu krizového řízení a pojištění vkladů, protože má za cíl soudržné krizové řízení a pojištění vkladů, posílení stability, ochranu úspor a daňových poplatníků; zdůrazňuje, že je třeba, aby menší banky byly flexibilní a aby orgány měly účinné nástroje k zajištění odolné a sociálně odpovědné bankovní unie; </w:t>
            </w:r>
            <w:r>
              <w:rPr>
                <w:b/>
                <w:i/>
              </w:rPr>
              <w:t>zdůrazňuje, že je nutné usnadnit využívání fondů pro pojištění vkladů k řešení krizí bank;</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vítá návrh směrnice Evropského parlamentu a Rady, kterou se harmonizují některé aspekty insolvenčního práva, neboť další sladění insolvenčních právních předpisů a restrukturalizačních postupů by mohlo podpořit dokončení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zdůrazňuje</w:t>
            </w:r>
            <w:r>
              <w:rPr>
                <w:b/>
                <w:i/>
              </w:rPr>
              <w:t>, že v souladu s fiskální odpovědností, sociální spravedlností a tržní disciplínou by</w:t>
            </w:r>
            <w:r>
              <w:t xml:space="preserve"> v případě krizových situací bank </w:t>
            </w:r>
            <w:r>
              <w:rPr>
                <w:b/>
                <w:i/>
              </w:rPr>
              <w:t>měli v první řadě nést</w:t>
            </w:r>
            <w:r>
              <w:t xml:space="preserve"> odpovědnost </w:t>
            </w:r>
            <w:r>
              <w:rPr>
                <w:b/>
                <w:i/>
              </w:rPr>
              <w:t>akcionáři, věřitelé nebo mechanismy financované odvětvím, zatímco veřejné prostředky by měly být použity až jako poslední možnost</w:t>
            </w:r>
            <w:r>
              <w:t>;</w:t>
            </w:r>
          </w:p>
        </w:tc>
        <w:tc>
          <w:tcPr>
            <w:tcW w:w="4876" w:type="dxa"/>
            <w:tcBorders>
              <w:top w:val="nil"/>
              <w:left w:val="nil"/>
              <w:bottom w:val="nil"/>
              <w:right w:val="nil"/>
            </w:tcBorders>
          </w:tcPr>
          <w:p>
            <w:pPr>
              <w:pStyle w:val="Normal6a"/>
            </w:pPr>
            <w:r>
              <w:t>16.</w:t>
            </w:r>
            <w:r>
              <w:tab/>
            </w:r>
            <w:r>
              <w:t xml:space="preserve">zdůrazňuje </w:t>
            </w:r>
            <w:r>
              <w:rPr>
                <w:b/>
                <w:i/>
              </w:rPr>
              <w:t>potřebu nepřetržitého a účinného dohledu nad dodržováním obezřetnostních pravidel a pravidel pro řešení krizí, která zajišťují důvěryhodnost a účinné provádění nástrojů rekapitalizace z vnitřních zdrojů</w:t>
            </w:r>
            <w:r>
              <w:t xml:space="preserve"> v případě krizových situací bank</w:t>
            </w:r>
            <w:r>
              <w:rPr>
                <w:b/>
                <w:i/>
              </w:rPr>
              <w:t>;</w:t>
            </w:r>
            <w:r>
              <w:t xml:space="preserve"> </w:t>
            </w:r>
            <w:r>
              <w:rPr>
                <w:b/>
                <w:i/>
              </w:rPr>
              <w:t>zdůrazňuje, že záchrana finančních institucí prostřednictvím veřejných prostředků musí zůstat striktně poslední možností, aby byla zachována fiskální</w:t>
            </w:r>
            <w:r>
              <w:t xml:space="preserve"> odpovědnost</w:t>
            </w:r>
            <w:r>
              <w:rPr>
                <w:b/>
                <w:i/>
              </w:rPr>
              <w:t>, ochráněni daňoví poplatníci a dodržena tržní disciplína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zdůrazňuje, že v souladu </w:t>
            </w:r>
            <w:r>
              <w:rPr>
                <w:b/>
                <w:i/>
              </w:rPr>
              <w:t>s fiskální odpovědností, sociální spravedlností</w:t>
            </w:r>
            <w:r>
              <w:t xml:space="preserve"> a tržní </w:t>
            </w:r>
            <w:r>
              <w:rPr>
                <w:b/>
                <w:i/>
              </w:rPr>
              <w:t>disciplínou</w:t>
            </w:r>
            <w:r>
              <w:t xml:space="preserve"> by v případě krizových situací bank měli v první řadě nést </w:t>
            </w:r>
            <w:r>
              <w:rPr>
                <w:b/>
                <w:i/>
              </w:rPr>
              <w:t>odpovědnost</w:t>
            </w:r>
            <w:r>
              <w:t xml:space="preserve"> akcionáři, věřitelé nebo mechanismy financované odvětvím</w:t>
            </w:r>
            <w:r>
              <w:rPr>
                <w:b/>
                <w:i/>
              </w:rPr>
              <w:t>, zatímco veřejné prostředky by měly být použity až jako</w:t>
            </w:r>
            <w:r>
              <w:t xml:space="preserve"> poslední </w:t>
            </w:r>
            <w:r>
              <w:rPr>
                <w:b/>
                <w:i/>
              </w:rPr>
              <w:t>možnost</w:t>
            </w:r>
            <w:r>
              <w:t>;</w:t>
            </w:r>
          </w:p>
        </w:tc>
        <w:tc>
          <w:tcPr>
            <w:tcW w:w="4876" w:type="dxa"/>
            <w:tcBorders>
              <w:top w:val="nil"/>
              <w:left w:val="nil"/>
              <w:bottom w:val="nil"/>
              <w:right w:val="nil"/>
            </w:tcBorders>
          </w:tcPr>
          <w:p>
            <w:pPr>
              <w:pStyle w:val="Normal6a"/>
            </w:pPr>
            <w:r>
              <w:t>16.</w:t>
            </w:r>
            <w:r>
              <w:tab/>
            </w:r>
            <w:r>
              <w:t xml:space="preserve">zdůrazňuje, že v souladu </w:t>
            </w:r>
            <w:r>
              <w:rPr>
                <w:b/>
                <w:i/>
              </w:rPr>
              <w:t>se zásadou odpovědnosti</w:t>
            </w:r>
            <w:r>
              <w:t xml:space="preserve"> a tržní </w:t>
            </w:r>
            <w:r>
              <w:rPr>
                <w:b/>
                <w:i/>
              </w:rPr>
              <w:t>disciplíny</w:t>
            </w:r>
            <w:r>
              <w:t xml:space="preserve"> by v případě krizových situací bank měli v první řadě nést </w:t>
            </w:r>
            <w:r>
              <w:rPr>
                <w:b/>
                <w:i/>
              </w:rPr>
              <w:t>ztráty</w:t>
            </w:r>
            <w:r>
              <w:t xml:space="preserve"> akcionáři, věřitelé nebo mechanismy financované odvětvím</w:t>
            </w:r>
            <w:r>
              <w:rPr>
                <w:b/>
                <w:i/>
              </w:rPr>
              <w:t>;</w:t>
            </w:r>
            <w:r>
              <w:t xml:space="preserve"> </w:t>
            </w:r>
            <w:r>
              <w:rPr>
                <w:b/>
                <w:i/>
              </w:rPr>
              <w:t>zdůrazňuje, že o veřejných prostředcích by se mělo uvažovat pouze jako o</w:t>
            </w:r>
            <w:r>
              <w:t xml:space="preserve"> poslední </w:t>
            </w:r>
            <w:r>
              <w:rPr>
                <w:b/>
                <w:i/>
              </w:rPr>
              <w:t>možnosti a za výjimečných okolností, aby byli chráněni daňoví poplatníci a zachována finanční stabilita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zdůrazňuje, že v souladu s fiskální odpovědností, sociální spravedlností a tržní disciplínou by v případě krizových situací bank měli v první řadě nést odpovědnost akcionáři</w:t>
            </w:r>
            <w:r>
              <w:rPr>
                <w:b/>
                <w:i/>
              </w:rPr>
              <w:t>,</w:t>
            </w:r>
            <w:r>
              <w:t xml:space="preserve"> věřitelé </w:t>
            </w:r>
            <w:r>
              <w:rPr>
                <w:b/>
                <w:i/>
              </w:rPr>
              <w:t>nebo mechanismy financované</w:t>
            </w:r>
            <w:r>
              <w:t xml:space="preserve"> odvětvím, zatímco veřejné prostředky by měly být použity až jako poslední možnost;</w:t>
            </w:r>
          </w:p>
        </w:tc>
        <w:tc>
          <w:tcPr>
            <w:tcW w:w="4876" w:type="dxa"/>
            <w:tcBorders>
              <w:top w:val="nil"/>
              <w:left w:val="nil"/>
              <w:bottom w:val="nil"/>
              <w:right w:val="nil"/>
            </w:tcBorders>
          </w:tcPr>
          <w:p>
            <w:pPr>
              <w:pStyle w:val="Normal6a"/>
            </w:pPr>
            <w:r>
              <w:t>16.</w:t>
            </w:r>
            <w:r>
              <w:tab/>
            </w:r>
            <w:r>
              <w:t xml:space="preserve">zdůrazňuje, že v souladu s fiskální odpovědností, sociální spravedlností a tržní disciplínou by v případě krizových situací bank měli v první řadě nést odpovědnost akcionáři </w:t>
            </w:r>
            <w:r>
              <w:rPr>
                <w:b/>
                <w:i/>
              </w:rPr>
              <w:t>a</w:t>
            </w:r>
            <w:r>
              <w:t xml:space="preserve"> věřitelé</w:t>
            </w:r>
            <w:r>
              <w:rPr>
                <w:b/>
                <w:i/>
              </w:rPr>
              <w:t>, kteří by se měli zapojit do rekapitalizace z vnitřních zdrojů, jež by měla být hlavním zdrojem financování řešení krize, přičemž využití mechanismů financovaných</w:t>
            </w:r>
            <w:r>
              <w:t xml:space="preserve"> odvětvím </w:t>
            </w:r>
            <w:r>
              <w:rPr>
                <w:b/>
                <w:i/>
              </w:rPr>
              <w:t>by mělo být až na druhém místě</w:t>
            </w:r>
            <w:r>
              <w:t>, zatímco veřejné prostředky by měly být použity až jako poslední možnost;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zdůrazňuje, že v souladu s fiskální odpovědností</w:t>
            </w:r>
            <w:r>
              <w:rPr>
                <w:b/>
                <w:i/>
              </w:rPr>
              <w:t>, sociální spravedlností</w:t>
            </w:r>
            <w:r>
              <w:t xml:space="preserve"> a tržní disciplínou by v případě krizových situací bank měli v první řadě nést odpovědnost akcionáři, věřitelé nebo mechanismy financované odvětvím, zatímco veřejné prostředky by měly být použity až jako poslední možnost;</w:t>
            </w:r>
          </w:p>
        </w:tc>
        <w:tc>
          <w:tcPr>
            <w:tcW w:w="4876" w:type="dxa"/>
            <w:tcBorders>
              <w:top w:val="nil"/>
              <w:left w:val="nil"/>
              <w:bottom w:val="nil"/>
              <w:right w:val="nil"/>
            </w:tcBorders>
          </w:tcPr>
          <w:p>
            <w:pPr>
              <w:pStyle w:val="Normal6a"/>
            </w:pPr>
            <w:r>
              <w:t>16.</w:t>
            </w:r>
            <w:r>
              <w:tab/>
            </w:r>
            <w:r>
              <w:t>zdůrazňuje, že v souladu s fiskální odpovědností a tržní disciplínou by v případě krizových situací bank měli v první řadě nést odpovědnost akcionáři, věřitelé nebo mechanismy financované odvětvím, zatímco veřejné prostředky by měly být použity až jako poslední možnost</w:t>
            </w:r>
            <w:r>
              <w:rPr>
                <w:b/>
                <w:i/>
              </w:rPr>
              <w:t>, protože při řešení krizí bank se nesmíme spoléhat na peníze daňových poplatníků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zdůrazňuje, že v souladu s fiskální odpovědností</w:t>
            </w:r>
            <w:r>
              <w:rPr>
                <w:b/>
                <w:i/>
              </w:rPr>
              <w:t>, sociální spravedlností</w:t>
            </w:r>
            <w:r>
              <w:t xml:space="preserve"> a tržní disciplínou by v případě krizových situací bank měli v první řadě nést odpovědnost akcionáři, věřitelé nebo mechanismy financované odvětvím, zatímco veřejné prostředky by měly být použity až jako poslední možnost;</w:t>
            </w:r>
          </w:p>
        </w:tc>
        <w:tc>
          <w:tcPr>
            <w:tcW w:w="4876" w:type="dxa"/>
            <w:tcBorders>
              <w:top w:val="nil"/>
              <w:left w:val="nil"/>
              <w:bottom w:val="nil"/>
              <w:right w:val="nil"/>
            </w:tcBorders>
          </w:tcPr>
          <w:p>
            <w:pPr>
              <w:pStyle w:val="Normal6a"/>
            </w:pPr>
            <w:r>
              <w:t>16.</w:t>
            </w:r>
            <w:r>
              <w:tab/>
            </w:r>
            <w:r>
              <w:t>zdůrazňuje, že v souladu s fiskální odpovědností a tržní disciplínou by v případě krizových situací bank měli v první řadě nést odpovědnost akcionáři, věřitelé nebo mechanismy financované odvětvím, zatímco veřejné prostředky by měly být použity až jako poslední možnost;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zdůrazňuje, že v souladu s fiskální odpovědností, sociální spravedlností a tržní disciplínou </w:t>
            </w:r>
            <w:r>
              <w:rPr>
                <w:b/>
                <w:i/>
              </w:rPr>
              <w:t>by</w:t>
            </w:r>
            <w:r>
              <w:t xml:space="preserve"> v případě krizových situací bank </w:t>
            </w:r>
            <w:r>
              <w:rPr>
                <w:b/>
                <w:i/>
              </w:rPr>
              <w:t>měli</w:t>
            </w:r>
            <w:r>
              <w:t xml:space="preserve"> v první řadě </w:t>
            </w:r>
            <w:r>
              <w:rPr>
                <w:b/>
                <w:i/>
              </w:rPr>
              <w:t>nést</w:t>
            </w:r>
            <w:r>
              <w:t xml:space="preserve"> odpovědnost akcionáři, věřitelé nebo mechanismy financované odvětvím, zatímco veřejné prostředky by měly být použity až jako poslední možnost;</w:t>
            </w:r>
          </w:p>
        </w:tc>
        <w:tc>
          <w:tcPr>
            <w:tcW w:w="4876" w:type="dxa"/>
            <w:tcBorders>
              <w:top w:val="nil"/>
              <w:left w:val="nil"/>
              <w:bottom w:val="nil"/>
              <w:right w:val="nil"/>
            </w:tcBorders>
          </w:tcPr>
          <w:p>
            <w:pPr>
              <w:pStyle w:val="Normal6a"/>
            </w:pPr>
            <w:r>
              <w:t>16.</w:t>
            </w:r>
            <w:r>
              <w:tab/>
            </w:r>
            <w:r>
              <w:t xml:space="preserve">zdůrazňuje, že v souladu s fiskální odpovědností, sociální spravedlností a tržní disciplínou </w:t>
            </w:r>
            <w:r>
              <w:rPr>
                <w:b/>
                <w:i/>
              </w:rPr>
              <w:t>musí</w:t>
            </w:r>
            <w:r>
              <w:t xml:space="preserve"> v případě krizových situací bank </w:t>
            </w:r>
            <w:r>
              <w:rPr>
                <w:b/>
                <w:i/>
              </w:rPr>
              <w:t>nést</w:t>
            </w:r>
            <w:r>
              <w:t xml:space="preserve"> v první řadě odpovědnost akcionáři, věřitelé nebo mechanismy financované odvětvím, zatímco veřejné prostředky by měly být použity až jako poslední možnost;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připomíná, že dostatečný minimální požadavek na kapitál a způsobilé závazky (MREL) má zásadní význam pro důvěryhodný rámec pro řešení krizí a pro zajištění toho, aby orgány měly flexibilitu k uplatňování </w:t>
            </w:r>
            <w:r>
              <w:rPr>
                <w:b/>
                <w:i/>
              </w:rPr>
              <w:t>vhodných</w:t>
            </w:r>
            <w:r>
              <w:t xml:space="preserve"> strategií řešení v </w:t>
            </w:r>
            <w:r>
              <w:rPr>
                <w:b/>
                <w:i/>
              </w:rPr>
              <w:t>krizové situaci</w:t>
            </w:r>
            <w:r>
              <w:t>;</w:t>
            </w:r>
          </w:p>
        </w:tc>
        <w:tc>
          <w:tcPr>
            <w:tcW w:w="4876" w:type="dxa"/>
            <w:tcBorders>
              <w:top w:val="nil"/>
              <w:left w:val="nil"/>
              <w:bottom w:val="nil"/>
              <w:right w:val="nil"/>
            </w:tcBorders>
          </w:tcPr>
          <w:p>
            <w:pPr>
              <w:pStyle w:val="Normal6a"/>
            </w:pPr>
            <w:r>
              <w:t>17.</w:t>
            </w:r>
            <w:r>
              <w:tab/>
            </w:r>
            <w:r>
              <w:t xml:space="preserve">připomíná, že dostatečný minimální požadavek na kapitál a způsobilé závazky (MREL) má zásadní význam pro důvěryhodný rámec pro řešení krizí a pro zajištění toho, aby orgány měly flexibilitu k </w:t>
            </w:r>
            <w:r>
              <w:rPr>
                <w:b/>
                <w:i/>
              </w:rPr>
              <w:t>účinnému</w:t>
            </w:r>
            <w:r>
              <w:t xml:space="preserve"> uplatňování strategií řešení v </w:t>
            </w:r>
            <w:r>
              <w:rPr>
                <w:b/>
                <w:i/>
              </w:rPr>
              <w:t>krizových situacích a zaručily tržní disciplínu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připomíná, že dostatečný minimální požadavek na kapitál a způsobilé závazky (MREL) má zásadní význam pro důvěryhodný rámec pro řešení krizí a pro zajištění toho, aby orgány měly flexibilitu k uplatňování vhodných strategií řešení v krizové situaci;</w:t>
            </w:r>
          </w:p>
        </w:tc>
        <w:tc>
          <w:tcPr>
            <w:tcW w:w="4876" w:type="dxa"/>
            <w:tcBorders>
              <w:top w:val="nil"/>
              <w:left w:val="nil"/>
              <w:bottom w:val="nil"/>
              <w:right w:val="nil"/>
            </w:tcBorders>
          </w:tcPr>
          <w:p>
            <w:pPr>
              <w:pStyle w:val="Normal6a"/>
            </w:pPr>
            <w:r>
              <w:t>17.</w:t>
            </w:r>
            <w:r>
              <w:tab/>
            </w:r>
            <w:r>
              <w:t xml:space="preserve">připomíná, že dostatečný minimální požadavek na kapitál a způsobilé závazky (MREL) má zásadní význam pro důvěryhodný rámec pro řešení krizí a pro zajištění toho, aby orgány měly flexibilitu k uplatňování vhodných strategií řešení v krizové situaci; </w:t>
            </w:r>
            <w:r>
              <w:rPr>
                <w:b/>
                <w:i/>
              </w:rPr>
              <w:t>zdůrazňuje, že požadavky MREL by měly být přizpůsobeny konkrétní strategii pro řešení krize každé banky, zejména pokud jsou převodové nástroje používány spolu s mechanismy rekapitalizace z vnitřních zdrojů, aby byla zajištěna právní jasnost a proporcionalita;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připomíná, že dostatečný minimální požadavek na kapitál a způsobilé závazky (MREL) má zásadní význam pro důvěryhodný rámec pro řešení krizí a pro zajištění toho, aby orgány měly flexibilitu k uplatňování vhodných strategií řešení v krizové situaci;</w:t>
            </w:r>
          </w:p>
        </w:tc>
        <w:tc>
          <w:tcPr>
            <w:tcW w:w="4876" w:type="dxa"/>
            <w:tcBorders>
              <w:top w:val="nil"/>
              <w:left w:val="nil"/>
              <w:bottom w:val="nil"/>
              <w:right w:val="nil"/>
            </w:tcBorders>
          </w:tcPr>
          <w:p>
            <w:pPr>
              <w:pStyle w:val="Normal6a"/>
            </w:pPr>
            <w:r>
              <w:t>17.</w:t>
            </w:r>
            <w:r>
              <w:tab/>
            </w:r>
            <w:r>
              <w:t xml:space="preserve">připomíná, že dostatečný minimální požadavek na kapitál a způsobilé závazky (MREL) má zásadní význam pro důvěryhodný rámec pro řešení krizí a pro zajištění toho, aby orgány měly flexibilitu k uplatňování vhodných strategií řešení v krizové situaci; </w:t>
            </w:r>
            <w:r>
              <w:rPr>
                <w:b/>
                <w:i/>
              </w:rPr>
              <w:t>zdůrazňuje, že předpokladem způsobilosti bank k řešení krize je dostupnost dostatečného MREL a zajištění při řešení krize a že MREL by měl být stanoven vysoce obezřetným způsobem;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připomíná, že dostatečný minimální požadavek na kapitál a způsobilé závazky (MREL) má zásadní význam pro důvěryhodný rámec pro řešení krizí a pro zajištění toho, aby orgány měly flexibilitu k uplatňování vhodných strategií řešení v krizové situaci;</w:t>
            </w:r>
          </w:p>
        </w:tc>
        <w:tc>
          <w:tcPr>
            <w:tcW w:w="4876" w:type="dxa"/>
            <w:tcBorders>
              <w:top w:val="nil"/>
              <w:left w:val="nil"/>
              <w:bottom w:val="nil"/>
              <w:right w:val="nil"/>
            </w:tcBorders>
          </w:tcPr>
          <w:p>
            <w:pPr>
              <w:pStyle w:val="Normal6a"/>
            </w:pPr>
            <w:r>
              <w:t>17.</w:t>
            </w:r>
            <w:r>
              <w:tab/>
            </w:r>
            <w:r>
              <w:t xml:space="preserve">připomíná, že dostatečný minimální požadavek na kapitál a způsobilé závazky (MREL) má zásadní význam pro důvěryhodný rámec pro řešení krizí a pro zajištění toho, aby orgány měly flexibilitu k uplatňování vhodných strategií řešení v krizové situaci; </w:t>
            </w:r>
            <w:r>
              <w:rPr>
                <w:b/>
                <w:i/>
              </w:rPr>
              <w:t>zdůrazňuje, že tento minimální požadavek by měl být dostatečný k účinnému provedení jakékoli strategie řešení krize obsažené v plánu řešení krize dané banky;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zdůrazňuje, že pokud jsou způsobilé závazky banky vydány investorům mimo EU, měly by být odpis nebo konverze těchto závazků s plnou jistotou vymahatelné, aby bylo zajištěno účinné uplatňování nástrojů k řešení krizí;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připomíná, že banky musí po vyřešení krize pokračovat v poskytování základních služeb; zdůrazňuje potřebu jasného a předvídatelného rámce, který chrání vkladatele a podporuje </w:t>
            </w:r>
            <w:r>
              <w:rPr>
                <w:b/>
                <w:i/>
              </w:rPr>
              <w:t>menší</w:t>
            </w:r>
            <w:r>
              <w:t xml:space="preserve"> klienty a </w:t>
            </w:r>
            <w:r>
              <w:rPr>
                <w:b/>
                <w:i/>
              </w:rPr>
              <w:t>malé a střední</w:t>
            </w:r>
            <w:r>
              <w:t xml:space="preserve"> podniky;</w:t>
            </w:r>
          </w:p>
        </w:tc>
        <w:tc>
          <w:tcPr>
            <w:tcW w:w="4876" w:type="dxa"/>
            <w:tcBorders>
              <w:top w:val="nil"/>
              <w:left w:val="nil"/>
              <w:bottom w:val="nil"/>
              <w:right w:val="nil"/>
            </w:tcBorders>
          </w:tcPr>
          <w:p>
            <w:pPr>
              <w:pStyle w:val="Normal6a"/>
            </w:pPr>
            <w:r>
              <w:t>18.</w:t>
            </w:r>
            <w:r>
              <w:tab/>
            </w:r>
            <w:r>
              <w:t>připomíná, že banky musí po vyřešení krize pokračovat v poskytování základních služeb; zdůrazňuje potřebu jasného a předvídatelného rámce, který chrání vkladatele a podporuje klienty a podniky</w:t>
            </w:r>
            <w:r>
              <w:rPr>
                <w:b/>
                <w:i/>
              </w:rPr>
              <w:t>, včetně malých a středních podniků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Dirk Gotink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připomíná, že banky musí </w:t>
            </w:r>
            <w:r>
              <w:rPr>
                <w:b/>
                <w:i/>
              </w:rPr>
              <w:t>po vyřešení</w:t>
            </w:r>
            <w:r>
              <w:t xml:space="preserve"> krize pokračovat v poskytování základních služeb; zdůrazňuje potřebu jasného a předvídatelného rámce, který chrání vkladatele a podporuje menší klienty a malé a střední podniky;</w:t>
            </w:r>
          </w:p>
        </w:tc>
        <w:tc>
          <w:tcPr>
            <w:tcW w:w="4876" w:type="dxa"/>
            <w:tcBorders>
              <w:top w:val="nil"/>
              <w:left w:val="nil"/>
              <w:bottom w:val="nil"/>
              <w:right w:val="nil"/>
            </w:tcBorders>
          </w:tcPr>
          <w:p>
            <w:pPr>
              <w:pStyle w:val="Normal6a"/>
            </w:pPr>
            <w:r>
              <w:t>18.</w:t>
            </w:r>
            <w:r>
              <w:tab/>
            </w:r>
            <w:r>
              <w:t xml:space="preserve">připomíná, že banky musí </w:t>
            </w:r>
            <w:r>
              <w:rPr>
                <w:b/>
                <w:i/>
              </w:rPr>
              <w:t>v průběhu řešení</w:t>
            </w:r>
            <w:r>
              <w:t xml:space="preserve"> krize pokračovat v poskytování základních služeb; zdůrazňuje potřebu jasného a předvídatelného rámce, který chrání vkladatele a podporuje menší klienty a malé a střední podniky;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Paolo Borchia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vítá</w:t>
            </w:r>
            <w:r>
              <w:t xml:space="preserve"> Jednotný fond pro řešení krizí </w:t>
            </w:r>
            <w:r>
              <w:rPr>
                <w:b/>
                <w:i/>
              </w:rPr>
              <w:t>jakožto plně sdílenou záchrannou síť financovanou odvětvím;</w:t>
            </w:r>
            <w:r>
              <w:t xml:space="preserve"> </w:t>
            </w:r>
            <w:r>
              <w:rPr>
                <w:b/>
                <w:i/>
              </w:rPr>
              <w:t>opakuje výzvu k úplné</w:t>
            </w:r>
            <w:r>
              <w:t xml:space="preserve"> ratifikaci </w:t>
            </w:r>
            <w:r>
              <w:rPr>
                <w:b/>
                <w:i/>
              </w:rPr>
              <w:t>změny</w:t>
            </w:r>
            <w:r>
              <w:t xml:space="preserve"> Smlouvy o zřízení Evropského mechanismu stability (ESM)</w:t>
            </w:r>
            <w:r>
              <w:rPr>
                <w:b/>
                <w:i/>
              </w:rPr>
              <w:t>, aby se posílila důvěryhodnost, řešitelnost a odolnost eurozóny</w:t>
            </w:r>
            <w:r>
              <w:t>;</w:t>
            </w:r>
          </w:p>
        </w:tc>
        <w:tc>
          <w:tcPr>
            <w:tcW w:w="4876" w:type="dxa"/>
            <w:tcBorders>
              <w:top w:val="nil"/>
              <w:left w:val="nil"/>
              <w:bottom w:val="nil"/>
              <w:right w:val="nil"/>
            </w:tcBorders>
          </w:tcPr>
          <w:p>
            <w:pPr>
              <w:pStyle w:val="Normal6a"/>
            </w:pPr>
            <w:r>
              <w:t>19.</w:t>
            </w:r>
            <w:r>
              <w:tab/>
            </w:r>
            <w:r>
              <w:rPr>
                <w:b/>
                <w:i/>
              </w:rPr>
              <w:t>kritizuje skutečnost, že ačkoli je</w:t>
            </w:r>
            <w:r>
              <w:t xml:space="preserve"> Jednotný fond pro řešení krizí </w:t>
            </w:r>
            <w:r>
              <w:rPr>
                <w:b/>
                <w:i/>
              </w:rPr>
              <w:t>zamýšlen jako záchranná síť, v současné době zavádí neprůhledné metodiky pro příspěvky a postrádá transparentnost, což zvyšuje nákladovou zátěž, aniž by došlo k prokazatelnému zvýšení efektivity;</w:t>
            </w:r>
            <w:r>
              <w:t xml:space="preserve"> </w:t>
            </w:r>
            <w:r>
              <w:rPr>
                <w:b/>
                <w:i/>
              </w:rPr>
              <w:t>zdroje by místo toho mohly být lépe využity prostřednictvím jasnějších vnitrostátních pohotovostních plánů a tržní disciplíny;</w:t>
            </w:r>
            <w:r>
              <w:t xml:space="preserve"> </w:t>
            </w:r>
            <w:r>
              <w:rPr>
                <w:b/>
                <w:i/>
              </w:rPr>
              <w:t>respektuje výsady vnitrostátních parlamentů, pokud jde o</w:t>
            </w:r>
            <w:r>
              <w:t xml:space="preserve"> ratifikaci </w:t>
            </w:r>
            <w:r>
              <w:rPr>
                <w:b/>
                <w:i/>
              </w:rPr>
              <w:t>mezivládní</w:t>
            </w:r>
            <w:r>
              <w:t xml:space="preserve"> Smlouvy o zřízení Evropského mechanismu stability (ESM);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vítá</w:t>
            </w:r>
            <w:r>
              <w:t xml:space="preserve"> Jednotný fond pro řešení krizí jakožto plně sdílenou záchrannou síť financovanou odvětvím; </w:t>
            </w:r>
            <w:r>
              <w:rPr>
                <w:b/>
                <w:i/>
              </w:rPr>
              <w:t>opakuje výzvu k úplné ratifikaci změny Smlouvy o zřízení Evropského mechanismu stability (ESM), aby se posílila důvěryhodnost, řešitelnost a odolnost eurozóny;</w:t>
            </w:r>
          </w:p>
        </w:tc>
        <w:tc>
          <w:tcPr>
            <w:tcW w:w="4876" w:type="dxa"/>
            <w:tcBorders>
              <w:top w:val="nil"/>
              <w:left w:val="nil"/>
              <w:bottom w:val="nil"/>
              <w:right w:val="nil"/>
            </w:tcBorders>
          </w:tcPr>
          <w:p>
            <w:pPr>
              <w:pStyle w:val="Normal6a"/>
            </w:pPr>
            <w:r>
              <w:t>19.</w:t>
            </w:r>
            <w:r>
              <w:tab/>
            </w:r>
            <w:r>
              <w:rPr>
                <w:b/>
                <w:i/>
              </w:rPr>
              <w:t>bere na vědomí</w:t>
            </w:r>
            <w:r>
              <w:t xml:space="preserve"> Jednotný fond pro řešení krizí jakožto plně sdílenou záchrannou síť financovanou odvětvím;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vítá Jednotný fond pro řešení krizí jakožto </w:t>
            </w:r>
            <w:r>
              <w:rPr>
                <w:b/>
                <w:i/>
              </w:rPr>
              <w:t>plně sdílenou záchrannou síť financovanou odvětvím</w:t>
            </w:r>
            <w:r>
              <w:t>; opakuje výzvu k úplné ratifikaci změny Smlouvy o zřízení Evropského mechanismu stability (ESM), aby se posílila důvěryhodnost, řešitelnost a odolnost eurozóny;</w:t>
            </w:r>
          </w:p>
        </w:tc>
        <w:tc>
          <w:tcPr>
            <w:tcW w:w="4876" w:type="dxa"/>
            <w:tcBorders>
              <w:top w:val="nil"/>
              <w:left w:val="nil"/>
              <w:bottom w:val="nil"/>
              <w:right w:val="nil"/>
            </w:tcBorders>
          </w:tcPr>
          <w:p>
            <w:pPr>
              <w:pStyle w:val="Normal6a"/>
            </w:pPr>
            <w:r>
              <w:t>19.</w:t>
            </w:r>
            <w:r>
              <w:tab/>
            </w:r>
            <w:r>
              <w:t xml:space="preserve">vítá Jednotný fond pro řešení krizí jakožto </w:t>
            </w:r>
            <w:r>
              <w:rPr>
                <w:b/>
                <w:i/>
              </w:rPr>
              <w:t>mechanismus jištění na podporu řízeného řešení bankovních krizí</w:t>
            </w:r>
            <w:r>
              <w:t xml:space="preserve">; opakuje výzvu k úplné ratifikaci změny Smlouvy o zřízení Evropského mechanismu stability (ESM), aby se posílila důvěryhodnost, řešitelnost a odolnost eurozóny </w:t>
            </w:r>
            <w:r>
              <w:rPr>
                <w:b/>
                <w:i/>
              </w:rPr>
              <w:t>a současně zachovala tržní disciplína a ochránili daňoví poplatníci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vítá Jednotný fond pro řešení krizí jakožto plně sdílenou záchrannou síť financovanou odvětvím; opakuje výzvu k úplné ratifikaci změny Smlouvy o zřízení Evropského mechanismu stability (ESM), aby se posílila důvěryhodnost, řešitelnost a odolnost eurozóny;</w:t>
            </w:r>
          </w:p>
        </w:tc>
        <w:tc>
          <w:tcPr>
            <w:tcW w:w="4876" w:type="dxa"/>
            <w:tcBorders>
              <w:top w:val="nil"/>
              <w:left w:val="nil"/>
              <w:bottom w:val="nil"/>
              <w:right w:val="nil"/>
            </w:tcBorders>
          </w:tcPr>
          <w:p>
            <w:pPr>
              <w:pStyle w:val="Normal6a"/>
            </w:pPr>
            <w:r>
              <w:t>19.</w:t>
            </w:r>
            <w:r>
              <w:tab/>
            </w:r>
            <w:r>
              <w:t xml:space="preserve">vítá Jednotný fond pro řešení krizí jakožto plně sdílenou záchrannou síť financovanou odvětvím; opakuje výzvu k úplné ratifikaci změny Smlouvy o zřízení Evropského mechanismu stability (ESM), aby se posílila důvěryhodnost, řešitelnost a odolnost eurozóny; </w:t>
            </w:r>
            <w:r>
              <w:rPr>
                <w:b/>
                <w:i/>
              </w:rPr>
              <w:t>vyzdvihuje cíl ochrany daňových poplatníků v případě řešení krize a připomíná, že nad rámec dohodnutého společného jištění by pro banky v krizové situaci neměly být použity žádné další zdroje daňových poplatníků;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vyzývá k úplné ratifikaci dohody o změně smlouvy o zřízení evropského mechanismu stability všemi členskými státy, včetně zavedení společného jištění pro Jednotný fond pro řešení krizí;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připomíná, že politika nulové rizikové váhy u veřejného dluhu je problémem, který je třeba řešit;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vyjadřuje hluboké politování nad nedostatečnou genderovou vyvážeností ve vedení Jednotného výboru pro řešení krizí;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19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zdůrazňuje skutečnost, že návrh Komise na zřízení evropského systému pojištění vkladů byl zveřejněn již v roce 2015 a že se situace od té doby výrazně změnila;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znovu potvrzuje své pevné odhodlání vytvořit plnohodnotný systém EDIS jakožto třetí, poslední a zásadní pilíř bankovní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znovu potvrzuje své pevné odhodlání vytvořit plnohodnotný systém EDIS jakožto třetí, poslední a zásadní pilíř bankovní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Auke Zijlstra, Tomáš Kubín, Sebastian Tynkkynen, Roman Haider, Jaroslava Pokorná Jermanová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znovu potvrzuje své pevné odhodlání vytvořit plnohodnotný</w:t>
            </w:r>
            <w:r>
              <w:t xml:space="preserve"> systém EDIS </w:t>
            </w:r>
            <w:r>
              <w:rPr>
                <w:b/>
                <w:i/>
              </w:rPr>
              <w:t>jakožto třetí, poslední a zásadní pilíř</w:t>
            </w:r>
            <w:r>
              <w:t xml:space="preserve"> bankovní </w:t>
            </w:r>
            <w:r>
              <w:rPr>
                <w:b/>
                <w:i/>
              </w:rPr>
              <w:t>unie</w:t>
            </w:r>
            <w:r>
              <w:t>;</w:t>
            </w:r>
          </w:p>
        </w:tc>
        <w:tc>
          <w:tcPr>
            <w:tcW w:w="4876" w:type="dxa"/>
            <w:tcBorders>
              <w:top w:val="nil"/>
              <w:left w:val="nil"/>
              <w:bottom w:val="nil"/>
              <w:right w:val="nil"/>
            </w:tcBorders>
          </w:tcPr>
          <w:p>
            <w:pPr>
              <w:pStyle w:val="Normal6a"/>
            </w:pPr>
            <w:r>
              <w:t>20.</w:t>
            </w:r>
            <w:r>
              <w:tab/>
            </w:r>
            <w:r>
              <w:rPr>
                <w:b/>
                <w:i/>
              </w:rPr>
              <w:t>odmítá</w:t>
            </w:r>
            <w:r>
              <w:t> systém EDIS</w:t>
            </w:r>
            <w:r>
              <w:rPr>
                <w:b/>
                <w:i/>
              </w:rPr>
              <w:t>;</w:t>
            </w:r>
            <w:r>
              <w:t xml:space="preserve"> </w:t>
            </w:r>
            <w:r>
              <w:rPr>
                <w:b/>
                <w:i/>
              </w:rPr>
              <w:t>zastává názor, že sdílené pojištění vkladů ze své podstaty přesouvá riziko do silnějších ekonomik a oslabuje pobídky pro vkladatele, aby sledovali</w:t>
            </w:r>
            <w:r>
              <w:t xml:space="preserve"> bankovní </w:t>
            </w:r>
            <w:r>
              <w:rPr>
                <w:b/>
                <w:i/>
              </w:rPr>
              <w:t>riziko, což vede k morálnímu hazardu</w:t>
            </w:r>
            <w:r>
              <w:t xml:space="preserve">; </w:t>
            </w:r>
            <w:r>
              <w:rPr>
                <w:b/>
                <w:i/>
              </w:rPr>
              <w:t>místo toho se zasazuje o spolehlivé vnitrostátní systémy s harmonizovanými minimálními normami, které zachovávají tržní cenové signály a odpovědnost;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znovu potvrzuje své pevné odhodlání vytvořit plnohodnotný systém EDIS jakožto třetí, poslední a zásadní pilíř bankovní unie</w:t>
            </w:r>
            <w:r>
              <w:t>;</w:t>
            </w:r>
          </w:p>
        </w:tc>
        <w:tc>
          <w:tcPr>
            <w:tcW w:w="4876" w:type="dxa"/>
            <w:tcBorders>
              <w:top w:val="nil"/>
              <w:left w:val="nil"/>
              <w:bottom w:val="nil"/>
              <w:right w:val="nil"/>
            </w:tcBorders>
          </w:tcPr>
          <w:p>
            <w:pPr>
              <w:pStyle w:val="Normal6a"/>
            </w:pPr>
            <w:r>
              <w:t>20.</w:t>
            </w:r>
            <w:r>
              <w:tab/>
            </w:r>
            <w:r>
              <w:rPr>
                <w:b/>
                <w:i/>
              </w:rPr>
              <w:t>zdůrazňuje, že z evropského systému pojištění vkladů je třeba vyloučit institucionální systémy ochrany, aby se zajistilo jejich další fungování, přičemž je nutné zachovat autonomii a účinnost těchto systémů a dodržovat zvláštní pravidla, která pro ně byla schválena při přezkumu rámce pro krizové řízení a pojištění vkladů</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znovu potvrzuje své pevné odhodlání vytvořit plnohodnotný systém EDIS jakožto třetí, poslední a zásadní pilíř</w:t>
            </w:r>
            <w:r>
              <w:t xml:space="preserve"> bankovní unie;</w:t>
            </w:r>
          </w:p>
        </w:tc>
        <w:tc>
          <w:tcPr>
            <w:tcW w:w="4876" w:type="dxa"/>
            <w:tcBorders>
              <w:top w:val="nil"/>
              <w:left w:val="nil"/>
              <w:bottom w:val="nil"/>
              <w:right w:val="nil"/>
            </w:tcBorders>
          </w:tcPr>
          <w:p>
            <w:pPr>
              <w:pStyle w:val="Normal6a"/>
            </w:pPr>
            <w:r>
              <w:t>20.</w:t>
            </w:r>
            <w:r>
              <w:tab/>
            </w:r>
            <w:r>
              <w:rPr>
                <w:b/>
                <w:i/>
              </w:rPr>
              <w:t>bere na vědomí prohlášení Euroskupiny ze dne 16. června 2022 o budoucnosti bankovní unie a uznává, že jakákoli diskuse o systému EDIS by měla být součástí širší diskuse o všech zbývajících prvcích bankovní unie, aby byla zajištěna proporcionalita a zohledněna vnitrostátní specifika;</w:t>
            </w:r>
            <w:r>
              <w:t xml:space="preserve"> </w:t>
            </w:r>
            <w:r>
              <w:rPr>
                <w:b/>
                <w:i/>
              </w:rPr>
              <w:t>zdůrazňuje, že před zahájením přípravy jakýchkoli konkrétních legislativních návrhů by měla existovat konsensuální dohoda o možných dalších klíčových prvcích</w:t>
            </w:r>
            <w:r>
              <w:t xml:space="preserve">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znovu potvrzuje své pevné odhodlání </w:t>
            </w:r>
            <w:r>
              <w:rPr>
                <w:b/>
                <w:i/>
              </w:rPr>
              <w:t>vytvořit plnohodnotný systém EDIS jakožto třetí, poslední a zásadní pilíř</w:t>
            </w:r>
            <w:r>
              <w:t xml:space="preserve"> bankovní </w:t>
            </w:r>
            <w:r>
              <w:rPr>
                <w:b/>
                <w:i/>
              </w:rPr>
              <w:t>unie</w:t>
            </w:r>
            <w:r>
              <w:t>;</w:t>
            </w:r>
          </w:p>
        </w:tc>
        <w:tc>
          <w:tcPr>
            <w:tcW w:w="4876" w:type="dxa"/>
            <w:tcBorders>
              <w:top w:val="nil"/>
              <w:left w:val="nil"/>
              <w:bottom w:val="nil"/>
              <w:right w:val="nil"/>
            </w:tcBorders>
          </w:tcPr>
          <w:p>
            <w:pPr>
              <w:pStyle w:val="Normal6a"/>
            </w:pPr>
            <w:r>
              <w:t>20.</w:t>
            </w:r>
            <w:r>
              <w:tab/>
            </w:r>
            <w:r>
              <w:t xml:space="preserve">znovu potvrzuje své pevné odhodlání </w:t>
            </w:r>
            <w:r>
              <w:rPr>
                <w:b/>
                <w:i/>
              </w:rPr>
              <w:t>dále rozvíjet</w:t>
            </w:r>
            <w:r>
              <w:t xml:space="preserve"> bankovní </w:t>
            </w:r>
            <w:r>
              <w:rPr>
                <w:b/>
                <w:i/>
              </w:rPr>
              <w:t>unii, přičemž je nutné náležitě zohledňovat vnitrostátní specifika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znovu potvrzuje </w:t>
            </w:r>
            <w:r>
              <w:rPr>
                <w:b/>
                <w:i/>
              </w:rPr>
              <w:t>své pevné odhodlání vytvořit plnohodnotný systém EDIS jakožto třetí, poslední a zásadní pilíř</w:t>
            </w:r>
            <w:r>
              <w:t xml:space="preserve"> bankovní </w:t>
            </w:r>
            <w:r>
              <w:rPr>
                <w:b/>
                <w:i/>
              </w:rPr>
              <w:t>unie</w:t>
            </w:r>
            <w:r>
              <w:t>;</w:t>
            </w:r>
          </w:p>
        </w:tc>
        <w:tc>
          <w:tcPr>
            <w:tcW w:w="4876" w:type="dxa"/>
            <w:tcBorders>
              <w:top w:val="nil"/>
              <w:left w:val="nil"/>
              <w:bottom w:val="nil"/>
              <w:right w:val="nil"/>
            </w:tcBorders>
          </w:tcPr>
          <w:p>
            <w:pPr>
              <w:pStyle w:val="Normal6a"/>
            </w:pPr>
            <w:r>
              <w:t>20.</w:t>
            </w:r>
            <w:r>
              <w:tab/>
            </w:r>
            <w:r>
              <w:t xml:space="preserve">znovu potvrzuje </w:t>
            </w:r>
            <w:r>
              <w:rPr>
                <w:b/>
                <w:i/>
              </w:rPr>
              <w:t>svou pevnou podporu silné a úplné</w:t>
            </w:r>
            <w:r>
              <w:t xml:space="preserve"> bankovní </w:t>
            </w:r>
            <w:r>
              <w:rPr>
                <w:b/>
                <w:i/>
              </w:rPr>
              <w:t>unii</w:t>
            </w:r>
            <w:r>
              <w:t xml:space="preserve">; </w:t>
            </w:r>
            <w:r>
              <w:rPr>
                <w:b/>
                <w:i/>
              </w:rPr>
              <w:t>připomíná nedostatečný pokrok ohledně systému EDIS ze strany obou spolunormotvůrců;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znovu potvrzuje své pevné odhodlání vytvořit </w:t>
            </w:r>
            <w:r>
              <w:rPr>
                <w:b/>
                <w:i/>
              </w:rPr>
              <w:t>plnohodnotný</w:t>
            </w:r>
            <w:r>
              <w:t xml:space="preserve"> systém EDIS jakožto třetí, poslední a zásadní pilíř bankovní unie;</w:t>
            </w:r>
          </w:p>
        </w:tc>
        <w:tc>
          <w:tcPr>
            <w:tcW w:w="4876" w:type="dxa"/>
            <w:tcBorders>
              <w:top w:val="nil"/>
              <w:left w:val="nil"/>
              <w:bottom w:val="nil"/>
              <w:right w:val="nil"/>
            </w:tcBorders>
          </w:tcPr>
          <w:p>
            <w:pPr>
              <w:pStyle w:val="Normal6a"/>
            </w:pPr>
            <w:r>
              <w:t>20.</w:t>
            </w:r>
            <w:r>
              <w:tab/>
            </w:r>
            <w:r>
              <w:t>znovu potvrzuje své pevné odhodlání vytvořit systém EDIS</w:t>
            </w:r>
            <w:r>
              <w:rPr>
                <w:b/>
                <w:i/>
              </w:rPr>
              <w:t>, jenž bude plně zohledňovat vnitrostátní specifika,</w:t>
            </w:r>
            <w:r>
              <w:t xml:space="preserve"> jakožto třetí, poslední a zásadní pilíř bankovní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znovu potvrzuje své pevné odhodlání vytvořit plnohodnotný systém EDIS jakožto třetí, poslední a zásadní pilíř bankovní unie;</w:t>
            </w:r>
          </w:p>
        </w:tc>
        <w:tc>
          <w:tcPr>
            <w:tcW w:w="4876" w:type="dxa"/>
            <w:tcBorders>
              <w:top w:val="nil"/>
              <w:left w:val="nil"/>
              <w:bottom w:val="nil"/>
              <w:right w:val="nil"/>
            </w:tcBorders>
          </w:tcPr>
          <w:p>
            <w:pPr>
              <w:pStyle w:val="Normal6a"/>
            </w:pPr>
            <w:r>
              <w:t>20.</w:t>
            </w:r>
            <w:r>
              <w:tab/>
            </w:r>
            <w:r>
              <w:t xml:space="preserve">znovu potvrzuje své pevné odhodlání vytvořit plnohodnotný </w:t>
            </w:r>
            <w:r>
              <w:rPr>
                <w:b/>
                <w:i/>
              </w:rPr>
              <w:t>a sdílený</w:t>
            </w:r>
            <w:r>
              <w:t xml:space="preserve"> systém EDIS jakožto třetí, poslední a zásadní pilíř bankovní unie; </w:t>
            </w:r>
            <w:r>
              <w:rPr>
                <w:b/>
                <w:i/>
              </w:rPr>
              <w:t>zdůrazňuje, že společný systém ochrany vkladů je nezbytný k zajištění stejné ochrany vkladatelů v celé Unii, k dalšímu posílení finanční stability a k rozhodnému omezení zbývajících vazeb mezi bankami a státy;</w:t>
            </w:r>
            <w:r>
              <w:t xml:space="preserve"> </w:t>
            </w:r>
            <w:r>
              <w:rPr>
                <w:b/>
                <w:i/>
              </w:rPr>
              <w:t>zdůrazňuje, že o dokončení systému EDIS by se mělo usilovat způsobem, který je založen na posouzení rizik, fiskálně odpovědný a doprovázen pokračujícím úsilím o snižování rizik, což posílí důvěru trhu a integritu jednotného bankovního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znovu potvrzuje své pevné odhodlání vytvořit plnohodnotný systém EDIS jakožto třetí, poslední a zásadní pilíř bankovní unie;</w:t>
            </w:r>
          </w:p>
        </w:tc>
        <w:tc>
          <w:tcPr>
            <w:tcW w:w="4876" w:type="dxa"/>
            <w:tcBorders>
              <w:top w:val="nil"/>
              <w:left w:val="nil"/>
              <w:bottom w:val="nil"/>
              <w:right w:val="nil"/>
            </w:tcBorders>
          </w:tcPr>
          <w:p>
            <w:pPr>
              <w:pStyle w:val="Normal6a"/>
            </w:pPr>
            <w:r>
              <w:t>20.</w:t>
            </w:r>
            <w:r>
              <w:tab/>
            </w:r>
            <w:r>
              <w:t>znovu potvrzuje své pevné odhodlání vytvořit plnohodnotný systém EDIS</w:t>
            </w:r>
            <w:r>
              <w:rPr>
                <w:b/>
                <w:i/>
              </w:rPr>
              <w:t>, který by zajišťoval krytí ztrát,</w:t>
            </w:r>
            <w:r>
              <w:t xml:space="preserve"> jakožto třetí, poslední a zásadní pilíř bankovní unie; </w:t>
            </w:r>
            <w:r>
              <w:rPr>
                <w:b/>
                <w:i/>
              </w:rPr>
              <w:t>připomíná, že systém EDIS by výrazně omezil začarovaný kruh, který existuje mezi bankami a jejich vlastními státy;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znovu potvrzuje své pevné odhodlání vytvořit plnohodnotný systém EDIS jakožto třetí, poslední a zásadní pilíř bankovní unie;</w:t>
            </w:r>
          </w:p>
        </w:tc>
        <w:tc>
          <w:tcPr>
            <w:tcW w:w="4876" w:type="dxa"/>
            <w:tcBorders>
              <w:top w:val="nil"/>
              <w:left w:val="nil"/>
              <w:bottom w:val="nil"/>
              <w:right w:val="nil"/>
            </w:tcBorders>
          </w:tcPr>
          <w:p>
            <w:pPr>
              <w:pStyle w:val="Normal6a"/>
            </w:pPr>
            <w:r>
              <w:t>20.</w:t>
            </w:r>
            <w:r>
              <w:tab/>
            </w:r>
            <w:r>
              <w:t>znovu potvrzuje své pevné odhodlání vytvořit plnohodnotný systém EDIS jakožto třetí, poslední a zásadní pilíř bankovní unie</w:t>
            </w:r>
            <w:r>
              <w:rPr>
                <w:b/>
                <w:i/>
              </w:rPr>
              <w:t> založený na řádném snižování rizik, správných pobídkách a koncepci, která posílí důvěru vkladatelů, tržní disciplínu a finanční stabilitu v celé Unii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Gilles Boyer, Stéphanie Yon-Courtin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znovu potvrzuje své pevné odhodlání vytvořit </w:t>
            </w:r>
            <w:r>
              <w:rPr>
                <w:b/>
                <w:i/>
              </w:rPr>
              <w:t>plnohodnotný</w:t>
            </w:r>
            <w:r>
              <w:t xml:space="preserve"> systém EDIS jakožto třetí, poslední a zásadní pilíř bankovní unie;</w:t>
            </w:r>
          </w:p>
        </w:tc>
        <w:tc>
          <w:tcPr>
            <w:tcW w:w="4876" w:type="dxa"/>
            <w:tcBorders>
              <w:top w:val="nil"/>
              <w:left w:val="nil"/>
              <w:bottom w:val="nil"/>
              <w:right w:val="nil"/>
            </w:tcBorders>
          </w:tcPr>
          <w:p>
            <w:pPr>
              <w:pStyle w:val="Normal6a"/>
            </w:pPr>
            <w:r>
              <w:t>20.</w:t>
            </w:r>
            <w:r>
              <w:tab/>
            </w:r>
            <w:r>
              <w:t xml:space="preserve">znovu potvrzuje své pevné odhodlání vytvořit systém EDIS jakožto třetí, poslední a zásadní pilíř bankovní unie; </w:t>
            </w:r>
            <w:r>
              <w:rPr>
                <w:b/>
                <w:i/>
              </w:rPr>
              <w:t>domnívá se, že postupné zavedení evropského systému pojištění vkladů by mělo vést ke snížení rizika pro všechny banky v bankovní unii;</w:t>
            </w:r>
            <w:r>
              <w:t xml:space="preserve"> </w:t>
            </w:r>
            <w:r>
              <w:rPr>
                <w:b/>
                <w:i/>
              </w:rPr>
              <w:t>zdůrazňuje, že příspěvky do evropského systému pojištění vkladů by měly zohledňovat rizikový profil každého zúčastněného odvětví;</w:t>
            </w:r>
            <w:r>
              <w:t xml:space="preserve"> </w:t>
            </w:r>
            <w:r>
              <w:rPr>
                <w:b/>
                <w:i/>
              </w:rPr>
              <w:t>zdůrazňuje rovněž, že je důležité plně uplatňovat stávající pravidla, včetně mechanismů, jako je zproštění povinností týkajících se likvidity, jako jeden ze způsobů, jak zajistit volné toky kapitálu a likvidity uvnitř skupiny, a umožnit tak evropským bankám, aby efektivně financovaly podniky v celé EU a zvyšovaly konkurenceschopnost;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Regina Doherty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znovu potvrzuje své pevné odhodlání vytvořit plnohodnotný systém EDIS jakožto třetí, poslední a zásadní pilíř bankovní unie;</w:t>
            </w:r>
          </w:p>
        </w:tc>
        <w:tc>
          <w:tcPr>
            <w:tcW w:w="4876" w:type="dxa"/>
            <w:tcBorders>
              <w:top w:val="nil"/>
              <w:left w:val="nil"/>
              <w:bottom w:val="nil"/>
              <w:right w:val="nil"/>
            </w:tcBorders>
          </w:tcPr>
          <w:p>
            <w:pPr>
              <w:pStyle w:val="Normal6a"/>
            </w:pPr>
            <w:r>
              <w:t>20.</w:t>
            </w:r>
            <w:r>
              <w:tab/>
            </w:r>
            <w:r>
              <w:t xml:space="preserve">znovu potvrzuje své pevné odhodlání vytvořit plnohodnotný systém EDIS jakožto třetí, poslední a zásadní pilíř bankovní unie; </w:t>
            </w:r>
            <w:r>
              <w:rPr>
                <w:b/>
                <w:i/>
              </w:rPr>
              <w:t>vyjadřuje politování nad tím, že bankovní unie je stále neúplná kvůli absenci systému EDIS;</w:t>
            </w:r>
            <w:r>
              <w:t xml:space="preserve"> </w:t>
            </w:r>
            <w:r>
              <w:rPr>
                <w:b/>
                <w:i/>
              </w:rPr>
              <w:t>uznává, že systém EDIS by zlepšil ochranu vkladatelů v EU;</w:t>
            </w:r>
            <w:r>
              <w:t xml:space="preserve"> </w:t>
            </w:r>
            <w:r>
              <w:rPr>
                <w:b/>
                <w:i/>
              </w:rPr>
              <w:t>připomíná, že systém EDIS by byl pro občany EU hmatatelným prvkem bankovní unie, spolu s větší konkurencí a možností volby pro spotřebitele;</w:t>
            </w:r>
            <w:r>
              <w:t xml:space="preserve"> </w:t>
            </w:r>
            <w:r>
              <w:rPr>
                <w:b/>
                <w:i/>
              </w:rPr>
              <w:t>domnívá se, že systém EDIS by přinášel výsledky;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uznává, že evropský systém pojištění vkladů (EDIS) by mohl zlepšit ochranu vkladatelů v EU;</w:t>
            </w:r>
            <w:r>
              <w:t xml:space="preserve"> </w:t>
            </w:r>
            <w:r>
              <w:rPr>
                <w:b/>
                <w:i/>
              </w:rPr>
              <w:t>domnívá se však, že hlavní překážkou zavedení EDIS je obava z rizik v některých bankovních systémech;</w:t>
            </w:r>
            <w:r>
              <w:t xml:space="preserve"> </w:t>
            </w:r>
            <w:r>
              <w:rPr>
                <w:b/>
                <w:i/>
              </w:rPr>
              <w:t>zdůrazňuje, že zmírnění těchto rizik je klíčem k dosažení dohody o jakémkoli evropském systému pojištění vkladů;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20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poukazuje na to, že původně navrhovaná podoba systému EDIS již není platná a není šance, že by bylo možné získat podporu pro jeho provádění;</w:t>
            </w:r>
            <w:r>
              <w:t xml:space="preserve"> </w:t>
            </w:r>
            <w:r>
              <w:rPr>
                <w:b/>
                <w:i/>
              </w:rPr>
              <w:t>je toho názoru, že případný systém EDIS by neměl mít podobu plně integrovaného systému, ale spíše určitého zajištění;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Markus Ferber, Michalis Hadjipantela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w:t>
            </w:r>
            <w:r>
              <w:t xml:space="preserve"> </w:t>
            </w:r>
            <w:r>
              <w:rPr>
                <w:b/>
                <w:i/>
              </w:rPr>
              <w:t>připomíná postoj tohoto výboru k systému EDIS z roku 2024;</w:t>
            </w:r>
            <w:r>
              <w:t xml:space="preserve"> </w:t>
            </w:r>
            <w:r>
              <w:rPr>
                <w:b/>
                <w:i/>
              </w:rPr>
              <w:t>důrazně vyzývá Radu, aby v jednáních pokročila;</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Fernando Navarrete Rojas, Isabel Benjumea Benjumea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w:t>
            </w:r>
            <w:r>
              <w:t xml:space="preserve"> </w:t>
            </w:r>
            <w:r>
              <w:rPr>
                <w:b/>
                <w:i/>
              </w:rPr>
              <w:t>připomíná postoj tohoto výboru k</w:t>
            </w:r>
            <w:r>
              <w:t xml:space="preserve"> systému EDIS </w:t>
            </w:r>
            <w:r>
              <w:rPr>
                <w:b/>
                <w:i/>
              </w:rPr>
              <w:t>z roku 2024;</w:t>
            </w:r>
            <w:r>
              <w:t xml:space="preserve"> </w:t>
            </w:r>
            <w:r>
              <w:rPr>
                <w:b/>
                <w:i/>
              </w:rPr>
              <w:t>důrazně</w:t>
            </w:r>
            <w:r>
              <w:t xml:space="preserve"> vyzývá </w:t>
            </w:r>
            <w:r>
              <w:rPr>
                <w:b/>
                <w:i/>
              </w:rPr>
              <w:t>Radu, aby v jednáních pokročila</w:t>
            </w:r>
            <w:r>
              <w:t>;</w:t>
            </w:r>
          </w:p>
        </w:tc>
        <w:tc>
          <w:tcPr>
            <w:tcW w:w="4876" w:type="dxa"/>
            <w:tcBorders>
              <w:top w:val="nil"/>
              <w:left w:val="nil"/>
              <w:bottom w:val="nil"/>
              <w:right w:val="nil"/>
            </w:tcBorders>
          </w:tcPr>
          <w:p>
            <w:pPr>
              <w:pStyle w:val="Normal6a"/>
            </w:pPr>
            <w:r>
              <w:t>21.</w:t>
            </w:r>
            <w:r>
              <w:tab/>
            </w:r>
            <w:r>
              <w:rPr>
                <w:b/>
                <w:i/>
              </w:rPr>
              <w:t>vyzývá Komisi, aby uznala, že stávající legislativní návrh týkající se</w:t>
            </w:r>
            <w:r>
              <w:t xml:space="preserve"> systému EDIS </w:t>
            </w:r>
            <w:r>
              <w:rPr>
                <w:b/>
                <w:i/>
              </w:rPr>
              <w:t>je již několik let zablokován, aniž by bylo dosaženo hmatatelného pokroku, vyjadřuje politování nad tím, že tato dlouhotrvající patová situace oslabila důvěryhodnost odhodlání dokončit bankovní unii, a naléhavě</w:t>
            </w:r>
            <w:r>
              <w:t xml:space="preserve"> vyzývá </w:t>
            </w:r>
            <w:r>
              <w:rPr>
                <w:b/>
                <w:i/>
              </w:rPr>
              <w:t>Komisi, aby stávající návrh stáhla a neprodleně předložila novou a ambicióznější iniciativu, která by byla schopna docílit skutečné politické dohody o systému EDIS</w:t>
            </w:r>
            <w:r>
              <w:t xml:space="preserve">; </w:t>
            </w:r>
            <w:r>
              <w:rPr>
                <w:b/>
                <w:i/>
              </w:rPr>
              <w:t>zdůrazňuje, že tento nový návrh by měl poskytnout důvěryhodný a účinný rámec založený na posouzení rizik, který bude skutečným impulsem k dokončení systému EDIS, posílí důvěru vkladatelů a zajistí rovné podmínky na celém jednotném bankovním trhu;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Auke Zijlstra, Mireia Borrás Pabón, Sebastian Tynkkynen, Roman Haider, Pierre Pimpie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vítá přijetí balíčku</w:t>
            </w:r>
            <w:r>
              <w:t xml:space="preserve"> krizového řízení a pojištění vkladů </w:t>
            </w:r>
            <w:r>
              <w:rPr>
                <w:b/>
                <w:i/>
              </w:rPr>
              <w:t>jakožto pozitivní krok, který posiluje vnitrostátní</w:t>
            </w:r>
            <w:r>
              <w:t xml:space="preserve"> systémy </w:t>
            </w:r>
            <w:r>
              <w:rPr>
                <w:b/>
                <w:i/>
              </w:rPr>
              <w:t>pojištění vkladů, upevňuje důvěru v bankovní sektor a zlepšuje provozní a právní podmínky pro přechod ke společné unijní ochraně vkladatelů a daňových poplatníků</w:t>
            </w:r>
            <w:r>
              <w:t xml:space="preserve">; </w:t>
            </w:r>
            <w:r>
              <w:rPr>
                <w:b/>
                <w:i/>
              </w:rPr>
              <w:t>připomíná postoj tohoto výboru k systému EDIS z roku 2024;</w:t>
            </w:r>
            <w:r>
              <w:t xml:space="preserve"> </w:t>
            </w:r>
            <w:r>
              <w:rPr>
                <w:b/>
                <w:i/>
              </w:rPr>
              <w:t>důrazně vyzývá Radu, aby v jednáních pokročila;</w:t>
            </w:r>
          </w:p>
        </w:tc>
        <w:tc>
          <w:tcPr>
            <w:tcW w:w="4876" w:type="dxa"/>
            <w:tcBorders>
              <w:top w:val="nil"/>
              <w:left w:val="nil"/>
              <w:bottom w:val="nil"/>
              <w:right w:val="nil"/>
            </w:tcBorders>
          </w:tcPr>
          <w:p>
            <w:pPr>
              <w:pStyle w:val="Normal6a"/>
            </w:pPr>
            <w:r>
              <w:t>21.</w:t>
            </w:r>
            <w:r>
              <w:tab/>
            </w:r>
            <w:r>
              <w:rPr>
                <w:b/>
                <w:i/>
              </w:rPr>
              <w:t>uznává pokrok, jehož bylo dosaženo v oblasti</w:t>
            </w:r>
            <w:r>
              <w:t xml:space="preserve"> krizového řízení a pojištění vkladů</w:t>
            </w:r>
            <w:r>
              <w:rPr>
                <w:b/>
                <w:i/>
              </w:rPr>
              <w:t>, varuje však před nadměrným spoléháním se na centralizované</w:t>
            </w:r>
            <w:r>
              <w:t xml:space="preserve"> systémy</w:t>
            </w:r>
            <w:r>
              <w:rPr>
                <w:b/>
                <w:i/>
              </w:rPr>
              <w:t>, které by mohly oslabit odpovědnost a vystavit fiskálně odpovědné členské státy systémovým závazkům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vítá přijetí balíčku krizového řízení a pojištění vkladů jakožto pozitivní krok, který posiluje vnitrostátní systémy pojištění vkladů</w:t>
            </w:r>
            <w:r>
              <w:rPr>
                <w:b/>
                <w:i/>
              </w:rPr>
              <w:t>,</w:t>
            </w:r>
            <w:r>
              <w:t xml:space="preserve"> upevňuje důvěru v bankovní sektor </w:t>
            </w:r>
            <w:r>
              <w:rPr>
                <w:b/>
                <w:i/>
              </w:rPr>
              <w:t>a zlepšuje provozní a právní podmínky pro přechod ke společné unijní ochraně vkladatelů a daňových poplatníků</w:t>
            </w:r>
            <w:r>
              <w:t xml:space="preserve">; </w:t>
            </w:r>
            <w:r>
              <w:rPr>
                <w:b/>
                <w:i/>
              </w:rPr>
              <w:t>připomíná postoj tohoto výboru k systému EDIS z roku 2024;</w:t>
            </w:r>
            <w:r>
              <w:t xml:space="preserve"> </w:t>
            </w:r>
            <w:r>
              <w:rPr>
                <w:b/>
                <w:i/>
              </w:rPr>
              <w:t>důrazně vyzývá Radu, aby v jednáních pokročila;</w:t>
            </w:r>
          </w:p>
        </w:tc>
        <w:tc>
          <w:tcPr>
            <w:tcW w:w="4876" w:type="dxa"/>
            <w:tcBorders>
              <w:top w:val="nil"/>
              <w:left w:val="nil"/>
              <w:bottom w:val="nil"/>
              <w:right w:val="nil"/>
            </w:tcBorders>
          </w:tcPr>
          <w:p>
            <w:pPr>
              <w:pStyle w:val="Normal6a"/>
            </w:pPr>
            <w:r>
              <w:t>21.</w:t>
            </w:r>
            <w:r>
              <w:tab/>
            </w:r>
            <w:r>
              <w:t xml:space="preserve">vítá přijetí balíčku krizového řízení a pojištění vkladů jakožto pozitivní krok, který posiluje vnitrostátní systémy pojištění vkladů </w:t>
            </w:r>
            <w:r>
              <w:rPr>
                <w:b/>
                <w:i/>
              </w:rPr>
              <w:t>a</w:t>
            </w:r>
            <w:r>
              <w:t xml:space="preserve"> upevňuje důvěru v bankovní sektor;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Ralf Seekatz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 </w:t>
            </w:r>
            <w:r>
              <w:rPr>
                <w:b/>
                <w:i/>
              </w:rPr>
              <w:t>připomíná postoj tohoto výboru k systému EDIS z roku 2024;</w:t>
            </w:r>
            <w:r>
              <w:t xml:space="preserve"> </w:t>
            </w:r>
            <w:r>
              <w:rPr>
                <w:b/>
                <w:i/>
              </w:rPr>
              <w:t>důrazně vyzývá Radu, aby v jednáních pokročila;</w:t>
            </w:r>
          </w:p>
        </w:tc>
        <w:tc>
          <w:tcPr>
            <w:tcW w:w="4876" w:type="dxa"/>
            <w:tcBorders>
              <w:top w:val="nil"/>
              <w:left w:val="nil"/>
              <w:bottom w:val="nil"/>
              <w:right w:val="nil"/>
            </w:tcBorders>
          </w:tcPr>
          <w:p>
            <w:pPr>
              <w:pStyle w:val="Normal6a"/>
            </w:pPr>
            <w:r>
              <w:t>21.</w:t>
            </w:r>
            <w:r>
              <w:tab/>
            </w:r>
            <w:r>
              <w:t>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Marlena Maląg</w:t>
      </w:r>
      <w:r>
        <w:rPr>
          <w:rStyle w:val="HideTWBExt"/>
          <w:b w:val="0"/>
        </w:rPr>
        <w:t>&lt;/Members&gt;</w:t>
      </w:r>
    </w:p>
    <w:p>
      <w:r>
        <w:rPr>
          <w:rStyle w:val="HideTWBExt"/>
          <w:b w:val="0"/>
        </w:rPr>
        <w:t>&lt;AuNomDe&gt;</w:t>
      </w:r>
      <w:r>
        <w:rPr>
          <w:rStyle w:val="HideTWBInt"/>
        </w:rPr>
        <w:t>{ECR}</w:t>
      </w:r>
      <w:r>
        <w:t>za skupinu ECR</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 </w:t>
            </w:r>
            <w:r>
              <w:rPr>
                <w:b/>
                <w:i/>
              </w:rPr>
              <w:t>připomíná postoj tohoto výboru k systému EDIS z roku 2024;</w:t>
            </w:r>
            <w:r>
              <w:t xml:space="preserve"> </w:t>
            </w:r>
            <w:r>
              <w:rPr>
                <w:b/>
                <w:i/>
              </w:rPr>
              <w:t>důrazně vyzývá Radu, aby v jednáních pokročila;</w:t>
            </w:r>
          </w:p>
        </w:tc>
        <w:tc>
          <w:tcPr>
            <w:tcW w:w="4876" w:type="dxa"/>
            <w:tcBorders>
              <w:top w:val="nil"/>
              <w:left w:val="nil"/>
              <w:bottom w:val="nil"/>
              <w:right w:val="nil"/>
            </w:tcBorders>
          </w:tcPr>
          <w:p>
            <w:pPr>
              <w:pStyle w:val="Normal6a"/>
            </w:pPr>
            <w:r>
              <w:t>21.</w:t>
            </w:r>
            <w:r>
              <w:tab/>
            </w:r>
            <w:r>
              <w:t>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Angelika Winzig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 </w:t>
            </w:r>
            <w:r>
              <w:rPr>
                <w:b/>
                <w:i/>
              </w:rPr>
              <w:t>připomíná postoj tohoto výboru k systému EDIS z roku 2024;</w:t>
            </w:r>
            <w:r>
              <w:t xml:space="preserve"> důrazně vyzývá Radu, aby v jednáních pokročila;</w:t>
            </w:r>
          </w:p>
        </w:tc>
        <w:tc>
          <w:tcPr>
            <w:tcW w:w="4876" w:type="dxa"/>
            <w:tcBorders>
              <w:top w:val="nil"/>
              <w:left w:val="nil"/>
              <w:bottom w:val="nil"/>
              <w:right w:val="nil"/>
            </w:tcBorders>
          </w:tcPr>
          <w:p>
            <w:pPr>
              <w:pStyle w:val="Normal6a"/>
            </w:pPr>
            <w:r>
              <w:t>21.</w:t>
            </w:r>
            <w:r>
              <w:tab/>
            </w:r>
            <w:r>
              <w:t>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 důrazně vyzývá Radu, aby v jednáních pokročila;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Herbert Dorfmann, Marco Falcone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 </w:t>
            </w:r>
            <w:r>
              <w:rPr>
                <w:b/>
                <w:i/>
              </w:rPr>
              <w:t>připomíná postoj tohoto výboru k systému EDIS z roku 2024;</w:t>
            </w:r>
            <w:r>
              <w:t xml:space="preserve"> důrazně vyzývá Radu, aby v jednáních pokročila;</w:t>
            </w:r>
          </w:p>
        </w:tc>
        <w:tc>
          <w:tcPr>
            <w:tcW w:w="4876" w:type="dxa"/>
            <w:tcBorders>
              <w:top w:val="nil"/>
              <w:left w:val="nil"/>
              <w:bottom w:val="nil"/>
              <w:right w:val="nil"/>
            </w:tcBorders>
          </w:tcPr>
          <w:p>
            <w:pPr>
              <w:pStyle w:val="Normal6a"/>
            </w:pPr>
            <w:r>
              <w:t>21.</w:t>
            </w:r>
            <w:r>
              <w:tab/>
            </w:r>
            <w:r>
              <w:t>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 důrazně vyzývá Radu, aby v jednáních pokročila;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Virginijus Sinkevičius</w:t>
      </w:r>
      <w:r>
        <w:rPr>
          <w:rStyle w:val="HideTWBExt"/>
          <w:b w:val="0"/>
        </w:rPr>
        <w:t>&lt;/Members&gt;</w:t>
      </w:r>
    </w:p>
    <w:p>
      <w:r>
        <w:rPr>
          <w:rStyle w:val="HideTWBExt"/>
          <w:b w:val="0"/>
        </w:rPr>
        <w:t>&lt;AuNomDe&gt;</w:t>
      </w:r>
      <w:r>
        <w:rPr>
          <w:rStyle w:val="HideTWBInt"/>
        </w:rPr>
        <w:t>{Verts/ALE}</w:t>
      </w:r>
      <w:r>
        <w:t>za skupinu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vítá přijetí balíčku krizového řízení a pojištění vkladů jakožto pozitivní krok, který </w:t>
            </w:r>
            <w:r>
              <w:rPr>
                <w:b/>
                <w:i/>
              </w:rPr>
              <w:t>posiluje vnitrostátní systémy pojištění vkladů,</w:t>
            </w:r>
            <w:r>
              <w:t xml:space="preserve"> upevňuje důvěru v bankovní sektor a zlepšuje provozní a právní podmínky pro přechod ke společné unijní ochraně vkladatelů a daňových poplatníků; připomíná postoj tohoto výboru k systému EDIS z roku 2024; důrazně vyzývá Radu, aby v jednáních pokročila;</w:t>
            </w:r>
          </w:p>
        </w:tc>
        <w:tc>
          <w:tcPr>
            <w:tcW w:w="4876" w:type="dxa"/>
            <w:tcBorders>
              <w:top w:val="nil"/>
              <w:left w:val="nil"/>
              <w:bottom w:val="nil"/>
              <w:right w:val="nil"/>
            </w:tcBorders>
          </w:tcPr>
          <w:p>
            <w:pPr>
              <w:pStyle w:val="Normal6a"/>
            </w:pPr>
            <w:r>
              <w:t>21.</w:t>
            </w:r>
            <w:r>
              <w:tab/>
            </w:r>
            <w:r>
              <w:t xml:space="preserve">vítá přijetí balíčku krizového řízení a pojištění vkladů jakožto pozitivní krok, který upevňuje důvěru v bankovní sektor a zlepšuje provozní a právní podmínky pro přechod ke společné unijní ochraně vkladatelů a daňových poplatníků; připomíná postoj tohoto výboru k systému EDIS z roku 2024; důrazně vyzývá Radu, aby v jednáních pokročila; </w:t>
            </w:r>
            <w:r>
              <w:rPr>
                <w:b/>
                <w:i/>
              </w:rPr>
              <w:t>naléhavě vyzývá nového předsedu Euroskupiny, aby co nejdříve obnovil diskuse na toto téma;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Isabel Benjumea Benjumea, Fernando Navarrete Rojas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usnesení</w:t>
      </w:r>
      <w:r>
        <w:rPr>
          <w:rStyle w:val="HideTWBExt"/>
        </w:rPr>
        <w:t>&lt;/DocAmend&gt;</w:t>
      </w:r>
    </w:p>
    <w:p>
      <w:pPr>
        <w:pStyle w:val="NormalBold"/>
      </w:pPr>
      <w:r>
        <w:rPr>
          <w:rStyle w:val="HideTWBExt"/>
        </w:rPr>
        <w:t>&lt;Article&gt;</w:t>
      </w:r>
      <w:r>
        <w:t>Bod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Návrh usnesení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vítá přijetí balíčku krizového řízení a pojištění vkladů jakožto pozitivní krok, který posiluje vnitrostátní systémy pojištění vkladů, upevňuje důvěru v bankovní sektor a zlepšuje provozní a právní podmínky pro přechod ke společné unijní ochraně vkladatelů a daňových poplatníků; připomíná postoj tohoto výboru k systému EDIS z roku 2024; důrazně vyzývá Radu, aby v jednáních pokročila;</w:t>
            </w:r>
          </w:p>
        </w:tc>
        <w:tc>
          <w:tcPr>
            <w:tcW w:w="4876" w:type="dxa"/>
            <w:tcBorders>
              <w:top w:val="nil"/>
              <w:left w:val="nil"/>
              <w:bottom w:val="nil"/>
              <w:right w:val="nil"/>
            </w:tcBorders>
          </w:tcPr>
          <w:p>
            <w:pPr>
              <w:pStyle w:val="Normal6a"/>
            </w:pPr>
            <w:r>
              <w:t>21.</w:t>
            </w:r>
            <w:r>
              <w:tab/>
            </w:r>
            <w:r>
              <w:t xml:space="preserve">vítá přijetí balíčku krizového řízení a pojištění vkladů jakožto pozitivní krok, který posiluje vnitrostátní systémy pojištění vkladů, upevňuje důvěru v bankovní sektor a zlepšuje provozní a právní podmínky pro </w:t>
            </w:r>
            <w:r>
              <w:rPr>
                <w:b/>
                <w:i/>
              </w:rPr>
              <w:t>postupný a důvěryhodný</w:t>
            </w:r>
            <w:r>
              <w:t xml:space="preserve"> přechod ke společné unijní ochraně vkladatelů a daňových poplatníků; připomíná postoj tohoto výboru k systému EDIS z roku 2024; důrazně vyzývá Radu, aby v jednáních pokročila;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782.353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138</w:t>
    </w:r>
    <w:r>
      <w:fldChar w:fldCharType="end"/>
    </w:r>
    <w:r>
      <w:t>/</w:t>
    </w:r>
    <w:r>
      <w:fldChar w:fldCharType="begin"/>
    </w:r>
    <w:r>
      <w:instrText xml:space="preserve"> NUMPAGES </w:instrText>
    </w:r>
    <w:r>
      <w:fldChar w:fldCharType="separate"/>
    </w:r>
    <w:r>
      <w:t>139</w:t>
    </w:r>
    <w:r>
      <w:fldChar w:fldCharType="end"/>
    </w:r>
    <w:r>
      <w:tab/>
    </w:r>
    <w:r>
      <w:rPr>
        <w:rStyle w:val="HideTWBExt"/>
      </w:rPr>
      <w:t>&lt;PathFdR&gt;</w:t>
    </w:r>
    <w:r>
      <w:t>AM\1335561CS.docx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AM\1335561CS.docx</w:t>
    </w:r>
    <w:r>
      <w:rPr>
        <w:rStyle w:val="HideTWBExt"/>
      </w:rPr>
      <w:t>&lt;/PathFdR&gt;</w:t>
    </w:r>
    <w:r>
      <w:tab/>
    </w:r>
    <w:r>
      <w:fldChar w:fldCharType="begin"/>
    </w:r>
    <w:r>
      <w:instrText xml:space="preserve"> PAGE </w:instrText>
    </w:r>
    <w:r>
      <w:fldChar w:fldCharType="separate"/>
    </w:r>
    <w:r>
      <w:t>139</w:t>
    </w:r>
    <w:r>
      <w:fldChar w:fldCharType="end"/>
    </w:r>
    <w:r>
      <w:t>/</w:t>
    </w:r>
    <w:r>
      <w:fldChar w:fldCharType="begin"/>
    </w:r>
    <w:r>
      <w:instrText xml:space="preserve"> NUMPAGES </w:instrText>
    </w:r>
    <w:r>
      <w:fldChar w:fldCharType="separate"/>
    </w:r>
    <w:r>
      <w:t>139</w:t>
    </w:r>
    <w:r>
      <w:fldChar w:fldCharType="end"/>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AM\1335561CS.docx</w:t>
    </w:r>
    <w:r>
      <w:rPr>
        <w:rStyle w:val="HideTWBExt"/>
      </w:rPr>
      <w:t>&lt;/PathFdR&gt;</w:t>
    </w:r>
    <w:r>
      <w:tab/>
    </w:r>
    <w:r>
      <w:tab/>
    </w:r>
    <w:r>
      <w:t>PE</w:t>
    </w:r>
    <w:r>
      <w:rPr>
        <w:rStyle w:val="HideTWBExt"/>
      </w:rPr>
      <w:t>&lt;NoPE&gt;</w:t>
    </w:r>
    <w:r>
      <w:t>782.353</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139</Pages>
  <Words>27060</Words>
  <Characters>164351</Characters>
  <Application>Microsoft Office Word</Application>
  <DocSecurity>0</DocSecurity>
  <Lines>1</Lines>
  <Paragraphs>2618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1335561</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361101</vt:lpwstr>
  </property>
  <property fmtid="{D5CDD505-2E9C-101B-9397-08002B2CF9AE}" pid="7" name="dmxml.render.traceId">
    <vt:lpwstr>6981dad99e6492a6985df7d74ce3081e</vt:lpwstr>
  </property>
  <property fmtid="{D5CDD505-2E9C-101B-9397-08002B2CF9AE}" pid="8" name="FooterPath">
    <vt:lpwstr>AM\1335561CS.docx</vt:lpwstr>
  </property>
  <property fmtid="{D5CDD505-2E9C-101B-9397-08002B2CF9AE}" pid="9" name="PE Number">
    <vt:lpwstr>782.353</vt:lpwstr>
  </property>
  <property fmtid="{D5CDD505-2E9C-101B-9397-08002B2CF9AE}" pid="10" name="UID">
    <vt:lpwstr>eu.europa.europarl-DIN1-2026-0000006414_01.00-cs-01.00_text-xml</vt:lpwstr>
  </property>
</Properties>
</file>