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Ausschuss für Wirtschaft und Währung</w:t>
      </w:r>
      <w:r>
        <w:rPr>
          <w:rStyle w:val="HideTWBExt"/>
        </w:rPr>
        <w:t>&lt;/Commission&gt;</w:t>
      </w:r>
    </w:p>
    <w:p>
      <w:pPr>
        <w:pStyle w:val="LineBottom"/>
      </w:pPr>
      <w:r>
        <w:t xml:space="preserve"> </w:t>
      </w:r>
    </w:p>
    <w:p>
      <w:pPr>
        <w:pStyle w:val="CoverReference"/>
      </w:pPr>
      <w:r>
        <w:rPr>
          <w:rStyle w:val="HideTWBExt"/>
        </w:rPr>
        <w:t>&lt;RefProc&gt;</w:t>
      </w:r>
      <w:r>
        <w:t>2025/2136</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{19/01/2026}</w:t>
      </w:r>
      <w:r>
        <w:t>19.1.2026</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285</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Evelyn Regner</w:t>
      </w:r>
      <w:r>
        <w:rPr>
          <w:rStyle w:val="HideTWBExt"/>
        </w:rPr>
        <w:t>&lt;/Rapporteur&gt;</w:t>
      </w:r>
    </w:p>
    <w:p>
      <w:pPr>
        <w:pStyle w:val="CoverNormal24a"/>
      </w:pPr>
      <w:r>
        <w:rPr>
          <w:rStyle w:val="HideTWBExt"/>
        </w:rPr>
        <w:t>&lt;DocRefPE&gt;</w:t>
      </w:r>
      <w:r>
        <w:t>(PE779.660v01-00)</w:t>
      </w:r>
      <w:r>
        <w:rPr>
          <w:rStyle w:val="HideTWBExt"/>
        </w:rPr>
        <w:t>&lt;/DocRefPE&gt;</w:t>
      </w:r>
    </w:p>
    <w:p>
      <w:pPr>
        <w:pStyle w:val="CoverNormal"/>
      </w:pPr>
      <w:r>
        <w:rPr>
          <w:rStyle w:val="HideTWBExt"/>
        </w:rPr>
        <w:t>&lt;Titre&gt;</w:t>
      </w:r>
      <w:r>
        <w:t>Bankenunion – Jahresbericht 2025</w:t>
      </w:r>
      <w:r>
        <w:rPr>
          <w:rStyle w:val="HideTWBExt"/>
        </w:rPr>
        <w:t>&lt;/Titre&gt;</w:t>
      </w:r>
    </w:p>
    <w:p>
      <w:pPr>
        <w:pStyle w:val="CoverNormal24a"/>
      </w:pPr>
      <w:r>
        <w:rPr>
          <w:rStyle w:val="HideTWBExt"/>
        </w:rPr>
        <w:t>&lt;DocRef&gt;</w:t>
      </w:r>
      <w:r>
        <w:t>(2025/2136(INI))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Bericht des Ausschusses für Wirtschaft und Währung vom 23. April 2024 über den Vorschlag für eine Verordnung des Europäischen Parlaments und des Rates zur Änderung der Verordnung (EU) 806/2014 im Hinblick auf die Schaffung eines europäischen Einlagenversicherungssystems (EDIS),</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Bericht des Ausschusses für Wirtschaft und Währung vom 23. April 2024 über den Vorschlag für eine Verordnung des Europäischen Parlaments und des Rates zur Änderung der Verordnung (EU) 806/2014 im Hinblick auf die Schaffung eines europäischen Einlagenversicherungssystems (EDIS),</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Bericht der fünf Präsidenten vom 22. Juni 2015 mit dem Titel „Die Wirtschafts- und Währungsunion Europas vollenden“,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das Occasional Paper Nr. 328 der EZB von 2023 mit dem Titel „The Road to Paris: stress testing the transition towards a net-zero economy“ (Der Weg nach Paris:</w:t>
            </w:r>
            <w:r>
              <w:t xml:space="preserve"> </w:t>
            </w:r>
            <w:r>
              <w:rPr>
                <w:b/>
                <w:i/>
              </w:rPr>
              <w:t>Stresstests für den Übergang zu einer klimaneutralen Wirtschaft),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das Occasional Paper Nr. 328 der EZB von 2023 mit dem Titel „The Road to Paris: stress testing the transition towards a net-zero economy“ (Der Weg nach Paris:</w:t>
            </w:r>
            <w:r>
              <w:t xml:space="preserve"> </w:t>
            </w:r>
            <w:r>
              <w:rPr>
                <w:b/>
                <w:i/>
              </w:rPr>
              <w:t>Stresstests für den Übergang zu einer klimaneutralen Wirtschaft),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das Occasional Paper Nr. 376 der EZB aus dem Jahr 2025 mit dem Titel „Capital requirements: a pillar or a burden for bank competitiveness?“ (Kapitalanforderungen: Stütze oder Belastung für die Wettbewerbsfähigkeit der Banken?)“,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Bericht des Basler Ausschusses für Bankenaufsicht vom 10. Juli 2025 mit dem Titel „Banks interconnections with non-bank financial intermediaries“ (Verbindungen zwischen Banken und Nichtbanken-Finanzintermediären),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30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Bericht der Europäischen Aufsichtsbehörde für das Versicherungswesen und die betriebliche Altersversorgung vom 7. November 2024 über die aufsichtliche Behandlung von Nachhaltigkeitsrisiken,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34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Bericht der EZB vom Dezember 2025 über die Vereinfachung des europäischen Regulierungs-, Aufsichts- und Melderahmens,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34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Bericht der EBA vom 1. Oktober 2025 über die Effizienz des Regulierungs- und Aufsichtsrahmens,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die Bankenunion die Stabilität des </w:t>
            </w:r>
            <w:r>
              <w:rPr>
                <w:b/>
                <w:i/>
              </w:rPr>
              <w:t>Bankensektors</w:t>
            </w:r>
            <w:r>
              <w:t xml:space="preserve"> wahren, über Steuergelder finanzierte Bankenrettungen verhindern, die Resilienz stärken, eine geordnete Abwicklung ermöglichen, die Marktfragmentierung verringern und die Wettbewerbsfähigkeit, grenzüberschreitende Tätigkeiten sowie den Zugang zu Finanzmitteln verbessern soll</w:t>
            </w:r>
            <w:r>
              <w:rPr>
                <w:b/>
                <w:i/>
              </w:rPr>
              <w:t>, wobei das Problem der Systemrelevanz („too big to fail“) fortbesteht</w:t>
            </w:r>
            <w:r>
              <w:t>;</w:t>
            </w:r>
          </w:p>
        </w:tc>
        <w:tc>
          <w:tcPr>
            <w:tcW w:w="4876" w:type="dxa"/>
            <w:tcBorders>
              <w:top w:val="nil"/>
              <w:left w:val="nil"/>
              <w:bottom w:val="nil"/>
              <w:right w:val="nil"/>
            </w:tcBorders>
          </w:tcPr>
          <w:p>
            <w:pPr>
              <w:pStyle w:val="Normal6a"/>
            </w:pPr>
            <w:r>
              <w:t>A.</w:t>
            </w:r>
            <w:r>
              <w:tab/>
            </w:r>
            <w:r>
              <w:t xml:space="preserve">in der Erwägung, dass die Bankenunion die Stabilität des </w:t>
            </w:r>
            <w:r>
              <w:rPr>
                <w:b/>
                <w:i/>
              </w:rPr>
              <w:t>Finanzsystems</w:t>
            </w:r>
            <w:r>
              <w:t> wahren</w:t>
            </w:r>
            <w:r>
              <w:rPr>
                <w:b/>
                <w:i/>
              </w:rPr>
              <w:t> und eine geordnete Bewältigung der Bankenkrise garantieren</w:t>
            </w:r>
            <w:r>
              <w:t>, über Steuergelder finanzierte Bankenrettungen verhindern, die Resilienz stärken, eine geordnete Abwicklung ermöglichen, die Marktfragmentierung verringern und die Wettbewerbsfähigkeit, grenzüberschreitende Tätigkeiten sowie den Zugang zu Finanzmitteln verbessern soll;</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die Bankenunion die Stabilität des Bankensektors wahren, über Steuergelder finanzierte Bankenrettungen verhindern, die Resilienz stärken, eine geordnete Abwicklung ermöglichen, die Marktfragmentierung verringern und die Wettbewerbsfähigkeit, grenzüberschreitende Tätigkeiten sowie den Zugang zu Finanzmitteln verbessern soll</w:t>
            </w:r>
            <w:r>
              <w:rPr>
                <w:b/>
                <w:i/>
              </w:rPr>
              <w:t>, wobei das Problem der Systemrelevanz („too big to fail“) fortbesteht</w:t>
            </w:r>
            <w:r>
              <w:t>;</w:t>
            </w:r>
          </w:p>
        </w:tc>
        <w:tc>
          <w:tcPr>
            <w:tcW w:w="4876" w:type="dxa"/>
            <w:tcBorders>
              <w:top w:val="nil"/>
              <w:left w:val="nil"/>
              <w:bottom w:val="nil"/>
              <w:right w:val="nil"/>
            </w:tcBorders>
          </w:tcPr>
          <w:p>
            <w:pPr>
              <w:pStyle w:val="Normal6a"/>
            </w:pPr>
            <w:r>
              <w:t>A.</w:t>
            </w:r>
            <w:r>
              <w:tab/>
            </w:r>
            <w:r>
              <w:t xml:space="preserve">in der Erwägung, dass die Bankenunion die Stabilität des Bankensektors wahren, </w:t>
            </w:r>
            <w:r>
              <w:rPr>
                <w:b/>
                <w:i/>
              </w:rPr>
              <w:t>den Teufelskreis zwischen Staaten und Banken durchbrechen und</w:t>
            </w:r>
            <w:r>
              <w:t xml:space="preserve"> über Steuergelder finanzierte Bankenrettungen verhindern, die Resilienz stärken, eine geordnete Abwicklung ermöglichen, die Marktfragmentierung verringern und die Wettbewerbsfähigkeit, grenzüberschreitende Tätigkeiten sowie den Zugang zu Finanzmitteln verbessern soll;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die Bankenunion die Stabilität des Bankensektors wahren, über Steuergelder finanzierte Bankenrettungen verhindern, die Resilienz stärken, eine geordnete Abwicklung ermöglichen, die Marktfragmentierung verringern und die Wettbewerbsfähigkeit, grenzüberschreitende Tätigkeiten sowie den Zugang zu Finanzmitteln verbessern soll</w:t>
            </w:r>
            <w:r>
              <w:rPr>
                <w:b/>
                <w:i/>
              </w:rPr>
              <w:t>, wobei das Problem der Systemrelevanz („too big to fail“) fortbesteht</w:t>
            </w:r>
            <w:r>
              <w:t>;</w:t>
            </w:r>
          </w:p>
        </w:tc>
        <w:tc>
          <w:tcPr>
            <w:tcW w:w="4876" w:type="dxa"/>
            <w:tcBorders>
              <w:top w:val="nil"/>
              <w:left w:val="nil"/>
              <w:bottom w:val="nil"/>
              <w:right w:val="nil"/>
            </w:tcBorders>
          </w:tcPr>
          <w:p>
            <w:pPr>
              <w:pStyle w:val="Normal6a"/>
            </w:pPr>
            <w:r>
              <w:t>A.</w:t>
            </w:r>
            <w:r>
              <w:tab/>
            </w:r>
            <w:r>
              <w:t>in der Erwägung, dass die Bankenunion die Stabilität des Bankensektors wahren, über Steuergelder finanzierte Bankenrettungen verhindern, die Resilienz stärken, eine geordnete Abwicklung ermöglichen, die Marktfragmentierung verringern und die Wettbewerbsfähigkeit, grenzüberschreitende Tätigkeiten sowie den Zugang zu Finanzmitteln verbessern soll;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die Bankenunion die Stabilität des Bankensektors wahren, über Steuergelder finanzierte Bankenrettungen verhindern, die Resilienz stärken, eine geordnete Abwicklung ermöglichen, die Marktfragmentierung verringern und die Wettbewerbsfähigkeit, grenzüberschreitende Tätigkeiten sowie den Zugang zu Finanzmitteln verbessern soll, </w:t>
            </w:r>
            <w:r>
              <w:rPr>
                <w:b/>
                <w:i/>
              </w:rPr>
              <w:t>wobei das Problem der Systemrelevanz („too big to fail“) fortbesteht</w:t>
            </w:r>
            <w:r>
              <w:t>;</w:t>
            </w:r>
          </w:p>
        </w:tc>
        <w:tc>
          <w:tcPr>
            <w:tcW w:w="4876" w:type="dxa"/>
            <w:tcBorders>
              <w:top w:val="nil"/>
              <w:left w:val="nil"/>
              <w:bottom w:val="nil"/>
              <w:right w:val="nil"/>
            </w:tcBorders>
          </w:tcPr>
          <w:p>
            <w:pPr>
              <w:pStyle w:val="Normal6a"/>
            </w:pPr>
            <w:r>
              <w:t>A.</w:t>
            </w:r>
            <w:r>
              <w:tab/>
            </w:r>
            <w:r>
              <w:t xml:space="preserve">in der Erwägung, dass die Bankenunion die Stabilität des Bankensektors wahren, über Steuergelder finanzierte Bankenrettungen verhindern, die Resilienz stärken, eine geordnete Abwicklung ermöglichen, die Marktfragmentierung verringern und die Wettbewerbsfähigkeit, grenzüberschreitende Tätigkeiten sowie den Zugang zu Finanzmitteln verbessern soll, </w:t>
            </w:r>
            <w:r>
              <w:rPr>
                <w:b/>
                <w:i/>
              </w:rPr>
              <w:t>während die Bankenlandschaft der Europäischen Union vielfältig ist und unterschiedliche Bankenstrukturen den europäischen Bürgern und Unternehmen ein breites Spektrum an Dienstleistungen bieten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die Bankenunion die Stabilität des Bankensektors wahren, über Steuergelder finanzierte Bankenrettungen verhindern, die Resilienz stärken, eine geordnete Abwicklung ermöglichen, die Marktfragmentierung verringern und die Wettbewerbsfähigkeit, grenzüberschreitende Tätigkeiten sowie den Zugang zu Finanzmitteln verbessern soll, </w:t>
            </w:r>
            <w:r>
              <w:rPr>
                <w:b/>
                <w:i/>
              </w:rPr>
              <w:t>wobei das Problem</w:t>
            </w:r>
            <w:r>
              <w:t xml:space="preserve"> der Systemrelevanz („too big to fail“) </w:t>
            </w:r>
            <w:r>
              <w:rPr>
                <w:b/>
                <w:i/>
              </w:rPr>
              <w:t>fortbesteht</w:t>
            </w:r>
            <w:r>
              <w:t>;</w:t>
            </w:r>
          </w:p>
        </w:tc>
        <w:tc>
          <w:tcPr>
            <w:tcW w:w="4876" w:type="dxa"/>
            <w:tcBorders>
              <w:top w:val="nil"/>
              <w:left w:val="nil"/>
              <w:bottom w:val="nil"/>
              <w:right w:val="nil"/>
            </w:tcBorders>
          </w:tcPr>
          <w:p>
            <w:pPr>
              <w:pStyle w:val="Normal6a"/>
            </w:pPr>
            <w:r>
              <w:t>A.</w:t>
            </w:r>
            <w:r>
              <w:tab/>
            </w:r>
            <w:r>
              <w:t xml:space="preserve">in der Erwägung, dass die Bankenunion die Stabilität des Bankensektors wahren, über Steuergelder finanzierte Bankenrettungen verhindern, die Resilienz stärken, eine geordnete Abwicklung ermöglichen, die Marktfragmentierung verringern und die Wettbewerbsfähigkeit, grenzüberschreitende Tätigkeiten sowie den Zugang zu Finanzmitteln verbessern soll, </w:t>
            </w:r>
            <w:r>
              <w:rPr>
                <w:b/>
                <w:i/>
              </w:rPr>
              <w:t>während das Fortbestehen des Problems</w:t>
            </w:r>
            <w:r>
              <w:t xml:space="preserve"> der Systemrelevanz („too big to fail“) </w:t>
            </w:r>
            <w:r>
              <w:rPr>
                <w:b/>
                <w:i/>
              </w:rPr>
              <w:t>weiterhin Marktanreize verzerrt und implizite staatliche Garantien erhöht</w:t>
            </w:r>
            <w:r>
              <w:t xml:space="preserve">; </w:t>
            </w:r>
            <w:r>
              <w:rPr>
                <w:b/>
                <w:i/>
              </w:rPr>
              <w:t>in der Erwägung, dass eine stärkere Marktdisziplin einer weiteren Anhäufung von Regulierungen vorzuziehen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die Bankenunion die Stabilität des Bankensektors wahren, über Steuergelder finanzierte Bankenrettungen verhindern, die Resilienz stärken, eine geordnete Abwicklung ermöglichen, die Marktfragmentierung verringern und die Wettbewerbsfähigkeit, grenzüberschreitende Tätigkeiten sowie den Zugang zu Finanzmitteln verbessern soll, wobei das Problem der Systemrelevanz („too big to fail“) fortbesteht;</w:t>
            </w:r>
          </w:p>
        </w:tc>
        <w:tc>
          <w:tcPr>
            <w:tcW w:w="4876" w:type="dxa"/>
            <w:tcBorders>
              <w:top w:val="nil"/>
              <w:left w:val="nil"/>
              <w:bottom w:val="nil"/>
              <w:right w:val="nil"/>
            </w:tcBorders>
          </w:tcPr>
          <w:p>
            <w:pPr>
              <w:pStyle w:val="Normal6a"/>
            </w:pPr>
            <w:r>
              <w:t>A.</w:t>
            </w:r>
            <w:r>
              <w:tab/>
            </w:r>
            <w:r>
              <w:t xml:space="preserve">in der Erwägung, dass die Bankenunion die Stabilität des Bankensektors wahren, über Steuergelder finanzierte Bankenrettungen verhindern, die Resilienz stärken, eine geordnete Abwicklung ermöglichen, die Marktfragmentierung verringern und die Wettbewerbsfähigkeit, grenzüberschreitende Tätigkeiten sowie den Zugang zu Finanzmitteln verbessern soll, </w:t>
            </w:r>
            <w:r>
              <w:rPr>
                <w:b/>
                <w:i/>
              </w:rPr>
              <w:t>wodurch die Kosten für die Bankkunden verringert werden,</w:t>
            </w:r>
            <w:r>
              <w:t xml:space="preserve"> wobei das Problem der Systemrelevanz („too big to fail“) fortbesteht;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die Bankenunion die Stabilität des Bankensektors wahren, über Steuergelder finanzierte Bankenrettungen verhindern, die Resilienz stärken, eine geordnete Abwicklung ermöglichen, die Marktfragmentierung verringern und die Wettbewerbsfähigkeit, grenzüberschreitende Tätigkeiten sowie den Zugang zu Finanzmitteln verbessern soll, wobei das Problem der Systemrelevanz („too big to fail“) fortbesteht;</w:t>
            </w:r>
          </w:p>
        </w:tc>
        <w:tc>
          <w:tcPr>
            <w:tcW w:w="4876" w:type="dxa"/>
            <w:tcBorders>
              <w:top w:val="nil"/>
              <w:left w:val="nil"/>
              <w:bottom w:val="nil"/>
              <w:right w:val="nil"/>
            </w:tcBorders>
          </w:tcPr>
          <w:p>
            <w:pPr>
              <w:pStyle w:val="Normal6a"/>
            </w:pPr>
            <w:r>
              <w:t>A.</w:t>
            </w:r>
            <w:r>
              <w:tab/>
            </w:r>
            <w:r>
              <w:t>in der Erwägung, dass die Bankenunion die Stabilität des Bankensektors wahren, über Steuergelder finanzierte Bankenrettungen verhindern, die Resilienz stärken, eine geordnete Abwicklung ermöglichen, die Marktfragmentierung verringern</w:t>
            </w:r>
            <w:r>
              <w:rPr>
                <w:b/>
                <w:i/>
              </w:rPr>
              <w:t>, den Einlegerschutz stärken</w:t>
            </w:r>
            <w:r>
              <w:t xml:space="preserve"> und die Wettbewerbsfähigkeit, grenzüberschreitende Tätigkeiten sowie den Zugang zu Finanzmitteln verbessern soll, wobei das Problem der Systemrelevanz („too big to fail“) fortbesteht;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mit der Bankenunion folgende Ziele verfolgt werden:</w:t>
            </w:r>
            <w:r>
              <w:t xml:space="preserve"> </w:t>
            </w:r>
            <w:r>
              <w:rPr>
                <w:b/>
                <w:i/>
              </w:rPr>
              <w:t>i) Förderung der Solidität der Banken, damit sie künftigen Finanzkrisen standhalten können, ii) Sicherstellung der Abwicklung ausfallender Banken ohne Einsatz von Steuergeldern und mit möglichst geringen Auswirkungen auf die Realwirtschaft und iii) Verringerung der Marktfragmentierung durch Einführung harmonisierter Vorschriften für den Finanzsektor;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ein starker und diversifizierter Bankensektor von entscheidender Bedeutung für das Wirtschaftswachstum, die Finanzierung kleiner und mittlerer Unternehmen (KMU) und Start-up-Unternehmen und die Sicherstellung des Übergangs zu einer grünen und einer digitalen Wirtschaft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im Rahmen der Bankenunion, die aus dem SSM und dem einheitlichen Abwicklungsmechanismus (SRM) besteht, Aufsicht und Krisenmanagement </w:t>
            </w:r>
            <w:r>
              <w:rPr>
                <w:b/>
                <w:i/>
              </w:rPr>
              <w:t>aufeinander abgestimmt werden, sie jedoch in Ermangelung eines gänzlich umgesetzten EDIS nach wie vor unvollständig ist</w:t>
            </w:r>
            <w:r>
              <w:t>;</w:t>
            </w:r>
          </w:p>
        </w:tc>
        <w:tc>
          <w:tcPr>
            <w:tcW w:w="4876" w:type="dxa"/>
            <w:tcBorders>
              <w:top w:val="nil"/>
              <w:left w:val="nil"/>
              <w:bottom w:val="nil"/>
              <w:right w:val="nil"/>
            </w:tcBorders>
          </w:tcPr>
          <w:p>
            <w:pPr>
              <w:pStyle w:val="Normal6a"/>
            </w:pPr>
            <w:r>
              <w:t>B.</w:t>
            </w:r>
            <w:r>
              <w:tab/>
            </w:r>
            <w:r>
              <w:t xml:space="preserve">in der Erwägung, dass im Rahmen der Bankenunion, die aus dem SSM und dem einheitlichen Abwicklungsmechanismus (SRM) besteht, </w:t>
            </w:r>
            <w:r>
              <w:rPr>
                <w:b/>
                <w:i/>
              </w:rPr>
              <w:t>die Finanzstabilität verbessert und die Abstimmung zwischen</w:t>
            </w:r>
            <w:r>
              <w:t xml:space="preserve"> Aufsicht und Krisenmanagement </w:t>
            </w:r>
            <w:r>
              <w:rPr>
                <w:b/>
                <w:i/>
              </w:rPr>
              <w:t>verbessert wurde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im Rahmen der Bankenunion, die aus dem SSM </w:t>
            </w:r>
            <w:r>
              <w:rPr>
                <w:b/>
                <w:i/>
              </w:rPr>
              <w:t>und</w:t>
            </w:r>
            <w:r>
              <w:t xml:space="preserve"> dem einheitlichen Abwicklungsmechanismus (SRM) besteht, Aufsicht und Krisenmanagement aufeinander abgestimmt werden</w:t>
            </w:r>
            <w:r>
              <w:rPr>
                <w:b/>
                <w:i/>
              </w:rPr>
              <w:t>, sie jedoch in Ermangelung eines gänzlich umgesetzten EDIS nach wie vor unvollständig ist</w:t>
            </w:r>
            <w:r>
              <w:t>;</w:t>
            </w:r>
          </w:p>
        </w:tc>
        <w:tc>
          <w:tcPr>
            <w:tcW w:w="4876" w:type="dxa"/>
            <w:tcBorders>
              <w:top w:val="nil"/>
              <w:left w:val="nil"/>
              <w:bottom w:val="nil"/>
              <w:right w:val="nil"/>
            </w:tcBorders>
          </w:tcPr>
          <w:p>
            <w:pPr>
              <w:pStyle w:val="Normal6a"/>
            </w:pPr>
            <w:r>
              <w:t>B.</w:t>
            </w:r>
            <w:r>
              <w:tab/>
            </w:r>
            <w:r>
              <w:t>in der Erwägung, dass im Rahmen der Bankenunion, die aus dem SSM</w:t>
            </w:r>
            <w:r>
              <w:rPr>
                <w:b/>
                <w:i/>
              </w:rPr>
              <w:t>,</w:t>
            </w:r>
            <w:r>
              <w:t xml:space="preserve"> dem einheitlichen Abwicklungsmechanismus (SRM) </w:t>
            </w:r>
            <w:r>
              <w:rPr>
                <w:b/>
                <w:i/>
              </w:rPr>
              <w:t>und harmonisierten Vorschriften für die Einlagensicherung</w:t>
            </w:r>
            <w:r>
              <w:t xml:space="preserve"> besteht, Aufsicht und Krisenmanagement aufeinander abgestimmt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im Rahmen der Bankenunion, die aus dem SSM und dem einheitlichen Abwicklungsmechanismus (SRM) besteht, Aufsicht und Krisenmanagement aufeinander abgestimmt werden</w:t>
            </w:r>
            <w:r>
              <w:rPr>
                <w:b/>
                <w:i/>
              </w:rPr>
              <w:t>, sie jedoch in Ermangelung</w:t>
            </w:r>
            <w:r>
              <w:t xml:space="preserve"> eines </w:t>
            </w:r>
            <w:r>
              <w:rPr>
                <w:b/>
                <w:i/>
              </w:rPr>
              <w:t>gänzlich umgesetzten EDIS nach wie vor unvollständig ist</w:t>
            </w:r>
            <w:r>
              <w:t>;</w:t>
            </w:r>
          </w:p>
        </w:tc>
        <w:tc>
          <w:tcPr>
            <w:tcW w:w="4876" w:type="dxa"/>
            <w:tcBorders>
              <w:top w:val="nil"/>
              <w:left w:val="nil"/>
              <w:bottom w:val="nil"/>
              <w:right w:val="nil"/>
            </w:tcBorders>
          </w:tcPr>
          <w:p>
            <w:pPr>
              <w:pStyle w:val="Normal6a"/>
            </w:pPr>
            <w:r>
              <w:t>B.</w:t>
            </w:r>
            <w:r>
              <w:tab/>
            </w:r>
            <w:r>
              <w:t>in der Erwägung, dass im Rahmen der Bankenunion, die aus dem SSM und dem einheitlichen Abwicklungsmechanismus (SRM) besteht, Aufsicht und Krisenmanagement aufeinander abgestimmt werden</w:t>
            </w:r>
            <w:r>
              <w:rPr>
                <w:b/>
                <w:i/>
              </w:rPr>
              <w:t>;</w:t>
            </w:r>
            <w:r>
              <w:t xml:space="preserve"> </w:t>
            </w:r>
            <w:r>
              <w:rPr>
                <w:b/>
                <w:i/>
              </w:rPr>
              <w:t>in der Erwägung, dass nationale Einlagensicherungssysteme in einer Reihe von Fällen erfolgreich eingeführt wurden und ihre Funktionsfähigkeit unter Beweis gestellt haben;</w:t>
            </w:r>
            <w:r>
              <w:t xml:space="preserve"> </w:t>
            </w:r>
            <w:r>
              <w:rPr>
                <w:b/>
                <w:i/>
              </w:rPr>
              <w:t>in der Erwägung, dass bei einem neuen Vorschlag der Kommission zur Schaffung</w:t>
            </w:r>
            <w:r>
              <w:t xml:space="preserve"> eines </w:t>
            </w:r>
            <w:r>
              <w:rPr>
                <w:b/>
                <w:i/>
              </w:rPr>
              <w:t>europäischen Einlagenversicherungssystems den nationalen Besonderheiten besser Rechnung getragen werden sollte, um gut funktionierende Systeme für kleinere Banken, die es in einigen Mitgliedstaaten bereits gibt, zu erhalten und gleichzeitig gleiche Wettbewerbsbedingungen in der gesamten Bankenunion sicherzustellen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im Rahmen der Bankenunion, die aus dem SSM und dem einheitlichen Abwicklungsmechanismus (SRM) besteht, Aufsicht und Krisenmanagement aufeinander abgestimmt werden</w:t>
            </w:r>
            <w:r>
              <w:rPr>
                <w:b/>
                <w:i/>
              </w:rPr>
              <w:t>, sie jedoch in Ermangelung eines gänzlich umgesetzten EDIS nach wie vor unvollständig ist</w:t>
            </w:r>
            <w:r>
              <w:t>;</w:t>
            </w:r>
          </w:p>
        </w:tc>
        <w:tc>
          <w:tcPr>
            <w:tcW w:w="4876" w:type="dxa"/>
            <w:tcBorders>
              <w:top w:val="nil"/>
              <w:left w:val="nil"/>
              <w:bottom w:val="nil"/>
              <w:right w:val="nil"/>
            </w:tcBorders>
          </w:tcPr>
          <w:p>
            <w:pPr>
              <w:pStyle w:val="Normal6a"/>
            </w:pPr>
            <w:r>
              <w:t>B.</w:t>
            </w:r>
            <w:r>
              <w:tab/>
            </w:r>
            <w:r>
              <w:t xml:space="preserve">in der Erwägung, dass im Rahmen der Bankenunion, die aus dem SSM und dem einheitlichen Abwicklungsmechanismus (SRM) besteht, Aufsicht und Krisenmanagement aufeinander abgestimmt werden </w:t>
            </w:r>
            <w:r>
              <w:rPr>
                <w:b/>
                <w:i/>
              </w:rPr>
              <w:t>und ein hohes Maß an Einlagensicherung auf der Grundlage gemeinsamer europäischer Mindeststandards sichergestellt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im Rahmen der Bankenunion, die aus dem SSM und dem einheitlichen Abwicklungsmechanismus (SRM) besteht, Aufsicht und Krisenmanagement aufeinander abgestimmt werden</w:t>
            </w:r>
            <w:r>
              <w:rPr>
                <w:b/>
                <w:i/>
              </w:rPr>
              <w:t>, sie jedoch in Ermangelung eines gänzlich umgesetzten EDIS nach wie vor unvollständig ist</w:t>
            </w:r>
            <w:r>
              <w:t>;</w:t>
            </w:r>
          </w:p>
        </w:tc>
        <w:tc>
          <w:tcPr>
            <w:tcW w:w="4876" w:type="dxa"/>
            <w:tcBorders>
              <w:top w:val="nil"/>
              <w:left w:val="nil"/>
              <w:bottom w:val="nil"/>
              <w:right w:val="nil"/>
            </w:tcBorders>
          </w:tcPr>
          <w:p>
            <w:pPr>
              <w:pStyle w:val="Normal6a"/>
            </w:pPr>
            <w:r>
              <w:t>B.</w:t>
            </w:r>
            <w:r>
              <w:tab/>
            </w:r>
            <w:r>
              <w:t xml:space="preserve">in der Erwägung, dass im Rahmen der Bankenunion, die </w:t>
            </w:r>
            <w:r>
              <w:rPr>
                <w:b/>
                <w:i/>
              </w:rPr>
              <w:t>derzeit</w:t>
            </w:r>
            <w:r>
              <w:t xml:space="preserve"> aus dem SSM und dem einheitlichen Abwicklungsmechanismus (SRM) besteht, Aufsicht und Krisenmanagement aufeinander abgestimmt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im Rahmen der Bankenunion, die aus dem SSM und dem einheitlichen Abwicklungsmechanismus (SRM) besteht, Aufsicht und Krisenmanagement aufeinander abgestimmt werden</w:t>
            </w:r>
            <w:r>
              <w:rPr>
                <w:b/>
                <w:i/>
              </w:rPr>
              <w:t>, sie jedoch in Ermangelung eines gänzlich umgesetzten EDIS nach wie vor unvollständig ist</w:t>
            </w:r>
            <w:r>
              <w:t>;</w:t>
            </w:r>
          </w:p>
        </w:tc>
        <w:tc>
          <w:tcPr>
            <w:tcW w:w="4876" w:type="dxa"/>
            <w:tcBorders>
              <w:top w:val="nil"/>
              <w:left w:val="nil"/>
              <w:bottom w:val="nil"/>
              <w:right w:val="nil"/>
            </w:tcBorders>
          </w:tcPr>
          <w:p>
            <w:pPr>
              <w:pStyle w:val="Normal6a"/>
            </w:pPr>
            <w:r>
              <w:t>B.</w:t>
            </w:r>
            <w:r>
              <w:tab/>
            </w:r>
            <w:r>
              <w:t>in der Erwägung, dass im Rahmen der Bankenunion, die aus dem SSM und dem einheitlichen Abwicklungsmechanismus (SRM) besteht, Aufsicht und Krisenmanagement aufeinander abgestimmt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im Rahmen der Bankenunion, die aus dem SSM und dem einheitlichen Abwicklungsmechanismus (SRM) besteht, Aufsicht und Krisenmanagement aufeinander abgestimmt werden, sie jedoch </w:t>
            </w:r>
            <w:r>
              <w:rPr>
                <w:b/>
                <w:i/>
              </w:rPr>
              <w:t>in Ermangelung eines gänzlich umgesetzten EDIS</w:t>
            </w:r>
            <w:r>
              <w:t xml:space="preserve"> nach wie vor unvollständig </w:t>
            </w:r>
            <w:r>
              <w:rPr>
                <w:b/>
                <w:i/>
              </w:rPr>
              <w:t>ist;</w:t>
            </w:r>
          </w:p>
        </w:tc>
        <w:tc>
          <w:tcPr>
            <w:tcW w:w="4876" w:type="dxa"/>
            <w:tcBorders>
              <w:top w:val="nil"/>
              <w:left w:val="nil"/>
              <w:bottom w:val="nil"/>
              <w:right w:val="nil"/>
            </w:tcBorders>
          </w:tcPr>
          <w:p>
            <w:pPr>
              <w:pStyle w:val="Normal6a"/>
            </w:pPr>
            <w:r>
              <w:t>B.</w:t>
            </w:r>
            <w:r>
              <w:tab/>
            </w:r>
            <w:r>
              <w:t xml:space="preserve">in der Erwägung, dass im Rahmen der Bankenunion, die aus dem SSM und dem einheitlichen Abwicklungsmechanismus (SRM) besteht, Aufsicht und Krisenmanagement aufeinander abgestimmt werden, sie jedoch nach wie vor </w:t>
            </w:r>
            <w:r>
              <w:rPr>
                <w:b/>
                <w:i/>
              </w:rPr>
              <w:t>strukturell</w:t>
            </w:r>
            <w:r>
              <w:t xml:space="preserve"> unvollständig </w:t>
            </w:r>
            <w:r>
              <w:rPr>
                <w:b/>
                <w:i/>
              </w:rPr>
              <w:t>und ineffizient ist;</w:t>
            </w:r>
            <w:r>
              <w:t xml:space="preserve"> </w:t>
            </w:r>
            <w:r>
              <w:rPr>
                <w:b/>
                <w:i/>
              </w:rPr>
              <w:t>in der Erwägung, dass Risikoteilung ohne Marktverantwortung die Wettbewerbsneutralität verzerrt und die haushaltspolitisch verantwortlichen Mitgliedstaaten unangemessenen Eventualverbindlichkeiten aussetzt;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im Rahmen der Bankenunion, die aus dem SSM und dem einheitlichen Abwicklungsmechanismus (SRM) besteht, Aufsicht und Krisenmanagement aufeinander abgestimmt werden, sie jedoch in Ermangelung eines </w:t>
            </w:r>
            <w:r>
              <w:rPr>
                <w:b/>
                <w:i/>
              </w:rPr>
              <w:t>gänzlich umgesetzten</w:t>
            </w:r>
            <w:r>
              <w:t xml:space="preserve"> EDIS nach wie vor unvollständig ist;</w:t>
            </w:r>
          </w:p>
        </w:tc>
        <w:tc>
          <w:tcPr>
            <w:tcW w:w="4876" w:type="dxa"/>
            <w:tcBorders>
              <w:top w:val="nil"/>
              <w:left w:val="nil"/>
              <w:bottom w:val="nil"/>
              <w:right w:val="nil"/>
            </w:tcBorders>
          </w:tcPr>
          <w:p>
            <w:pPr>
              <w:pStyle w:val="Normal6a"/>
            </w:pPr>
            <w:r>
              <w:t>B.</w:t>
            </w:r>
            <w:r>
              <w:tab/>
            </w:r>
            <w:r>
              <w:t>in der Erwägung, dass im Rahmen der Bankenunion, die aus dem SSM und dem einheitlichen Abwicklungsmechanismus (SRM) besteht, Aufsicht und Krisenmanagement aufeinander abgestimmt werden, sie jedoch in Ermangelung eines EDIS</w:t>
            </w:r>
            <w:r>
              <w:rPr>
                <w:b/>
                <w:i/>
              </w:rPr>
              <w:t>, bei dem den nationalen Besonderheiten vollumfänglich Rechnung getragen wird,</w:t>
            </w:r>
            <w:r>
              <w:t xml:space="preserve"> nach wie vor unvollständig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im Rahmen der Bankenunion, die aus dem SSM und dem einheitlichen Abwicklungsmechanismus (SRM) besteht, Aufsicht und Krisenmanagement aufeinander abgestimmt werden, sie jedoch in Ermangelung eines gänzlich umgesetzten EDIS nach wie vor unvollständig ist;</w:t>
            </w:r>
          </w:p>
        </w:tc>
        <w:tc>
          <w:tcPr>
            <w:tcW w:w="4876" w:type="dxa"/>
            <w:tcBorders>
              <w:top w:val="nil"/>
              <w:left w:val="nil"/>
              <w:bottom w:val="nil"/>
              <w:right w:val="nil"/>
            </w:tcBorders>
          </w:tcPr>
          <w:p>
            <w:pPr>
              <w:pStyle w:val="Normal6a"/>
            </w:pPr>
            <w:r>
              <w:t>B.</w:t>
            </w:r>
            <w:r>
              <w:tab/>
            </w:r>
            <w:r>
              <w:t xml:space="preserve">in der Erwägung, dass im Rahmen der Bankenunion, die aus dem SSM und dem einheitlichen Abwicklungsmechanismus (SRM) besteht, Aufsicht und Krisenmanagement aufeinander abgestimmt werden, sie jedoch in Ermangelung eines gänzlich umgesetzten EDIS </w:t>
            </w:r>
            <w:r>
              <w:rPr>
                <w:b/>
                <w:i/>
              </w:rPr>
              <w:t>und der gemeinsamen Letztsicherung für den SRF, die von der Ratifizierung des überarbeiteten ESM-Vertrags abhängt,</w:t>
            </w:r>
            <w:r>
              <w:t xml:space="preserve"> nach wie vor unvollständig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im Rahmen der Bankenunion, die aus dem SSM und dem einheitlichen Abwicklungsmechanismus (SRM) besteht, Aufsicht und Krisenmanagement aufeinander abgestimmt werden, sie jedoch in Ermangelung eines gänzlich umgesetzten EDIS nach wie vor unvollständig ist;</w:t>
            </w:r>
          </w:p>
        </w:tc>
        <w:tc>
          <w:tcPr>
            <w:tcW w:w="4876" w:type="dxa"/>
            <w:tcBorders>
              <w:top w:val="nil"/>
              <w:left w:val="nil"/>
              <w:bottom w:val="nil"/>
              <w:right w:val="nil"/>
            </w:tcBorders>
          </w:tcPr>
          <w:p>
            <w:pPr>
              <w:pStyle w:val="Normal6a"/>
            </w:pPr>
            <w:r>
              <w:t>B.</w:t>
            </w:r>
            <w:r>
              <w:tab/>
            </w:r>
            <w:r>
              <w:t xml:space="preserve">in der Erwägung, dass im Rahmen der Bankenunion, die aus dem SSM und dem einheitlichen Abwicklungsmechanismus (SRM) besteht </w:t>
            </w:r>
            <w:r>
              <w:rPr>
                <w:b/>
                <w:i/>
              </w:rPr>
              <w:t>und deren Grundlage das einheitliche Regelwerk bildet</w:t>
            </w:r>
            <w:r>
              <w:t>, Aufsicht und Krisenmanagement aufeinander abgestimmt werden, sie jedoch in Ermangelung eines gänzlich umgesetzten EDIS nach wie vor unvollständig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eine vollendete Bankenunion eine positive Entwicklung für Bürgerinnen und Bürger und die EU-Wirtschaft darstellen und die Grundlage für ein stabileres Bankensystem, die Reduzierung von Systemrisiken, verbesserten Wettbewerb, bessere Wahlmöglichkeiten für Verbraucher, erweiterte Möglichkeiten für grenzüberschreitende Bankgeschäfte und den Zugang zu Finanzdienstleistungen für Kleinanleger, höhere Wirtschaftsinvestitionen, besseren Zugang zu Finanzmitteln für Haushalte und Unternehmen und die Reduzierung der Kosten für Bankkunden bieten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die EZB die Vollendung der Bankenunion unterstützt, um die grenzüberschreitende Integration zu fördern und eine effizientere Kapitalallokation zu ermöglichen, was notwendige Voraussetzungen sind, um den derzeitigen Wettbewerbsnachteil zu beseitigen, mit dem die Banken in der EU aufgrund mangelnder Größe konfrontiert sind; in der Erwägung, dass sie auch empfiehlt, den europäischen Aufsichts-, Aufsichts- und Melderahmen zu vereinfachen;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Finanzintermediäre aus dem Nichtbankensektor (NBFI oder „Schattenbanken“) nach wie vor nicht Teil der Architektur der Bankenunion sind, wodurch der EU-Bankensektor anfällig für Risiken ist, die sich aus den immer enger werdenden Verflechtungen zwischen NBFI und dem Bankensektor ergeben;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in der Erwägung, dass ein stabiler, widerstandsfähiger, dynamischer und wettbewerbsfähiger Bankensektor für wirtschaftliches Wachstum, die Unterstützung kleiner und mittlerer Unternehmen, die Verbesserung der Möglichkeit von Eigenheimbesitz, Innovationen, Investitionen und die Erweiterung der wirtschaftlichen Möglichkeiten für jedermann von entscheidender Bedeutung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in der Erwägung, dass laut der Literatur zu optimalen Währungsräumen eine vollendete Bankenunion von entscheidender Bedeutung ist, um asymmetrische Auswirkungen von Schocks in der gesamten EU zu vermeiden, was zu mehr finanzieller und wirtschaftlicher Stabilität und Widerstandsfähigkeit führt;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in der Erwägung, dass die EU die Basel-III-Standards unverzüglich vollständig umsetzen sollte;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 der Erwägung, dass die EU </w:t>
            </w:r>
            <w:r>
              <w:rPr>
                <w:b/>
                <w:i/>
              </w:rPr>
              <w:t>die Basel-III-Standards unverzüglich vollständig umsetzen sollte</w:t>
            </w:r>
            <w:r>
              <w:t>;</w:t>
            </w:r>
          </w:p>
        </w:tc>
        <w:tc>
          <w:tcPr>
            <w:tcW w:w="4876" w:type="dxa"/>
            <w:tcBorders>
              <w:top w:val="nil"/>
              <w:left w:val="nil"/>
              <w:bottom w:val="nil"/>
              <w:right w:val="nil"/>
            </w:tcBorders>
          </w:tcPr>
          <w:p>
            <w:pPr>
              <w:pStyle w:val="Normal6a"/>
            </w:pPr>
            <w:r>
              <w:t>C.</w:t>
            </w:r>
            <w:r>
              <w:tab/>
            </w:r>
            <w:r>
              <w:t xml:space="preserve">in der Erwägung, dass </w:t>
            </w:r>
            <w:r>
              <w:rPr>
                <w:b/>
                <w:i/>
              </w:rPr>
              <w:t>Finanzstabilität eine Voraussetzung für eine wirksame Geldpolitik und ein widerstandsfähiges Finanzsystem ist; in der Erwägung, dass sich</w:t>
            </w:r>
            <w:r>
              <w:t xml:space="preserve"> die EU </w:t>
            </w:r>
            <w:r>
              <w:rPr>
                <w:b/>
                <w:i/>
              </w:rPr>
              <w:t>bereits auf die Umsetzung des Basel-III-Rahmens geeinigt hat</w:t>
            </w:r>
            <w:r>
              <w:t xml:space="preserve">; </w:t>
            </w:r>
            <w:r>
              <w:rPr>
                <w:b/>
                <w:i/>
              </w:rPr>
              <w:t>in der Erwägung, dass es auch wichtig ist, ein ausgewogenes Verhältnis zwischen Finanzstabilität, der Einhaltung internationaler Rahmenwerke und gleichen Wettbewerbsbedingungen auf internationaler Ebene sicherzustellen, damit europäische Banken zu gleichen Bedingungen mit Banken aus anderen Ländern in den Wettbewerb treten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 der Erwägung, dass die </w:t>
            </w:r>
            <w:r>
              <w:rPr>
                <w:b/>
                <w:i/>
              </w:rPr>
              <w:t>EU die Basel-III-Standards unverzüglich vollständig umsetzen sollte</w:t>
            </w:r>
            <w:r>
              <w:t>;</w:t>
            </w:r>
          </w:p>
        </w:tc>
        <w:tc>
          <w:tcPr>
            <w:tcW w:w="4876" w:type="dxa"/>
            <w:tcBorders>
              <w:top w:val="nil"/>
              <w:left w:val="nil"/>
              <w:bottom w:val="nil"/>
              <w:right w:val="nil"/>
            </w:tcBorders>
          </w:tcPr>
          <w:p>
            <w:pPr>
              <w:pStyle w:val="Normal6a"/>
            </w:pPr>
            <w:r>
              <w:t>C.</w:t>
            </w:r>
            <w:r>
              <w:tab/>
            </w:r>
            <w:r>
              <w:t xml:space="preserve">in der Erwägung, dass die </w:t>
            </w:r>
            <w:r>
              <w:rPr>
                <w:b/>
                <w:i/>
              </w:rPr>
              <w:t>Basel-III-Vorschriften an die Besonderheiten des europäischen Bankensektors angepasst werden sollten, wobei das Kriterium der Verhältnismäßigkeit und eine Vereinfachung für kleinere Banken zu berücksichtigen sind, was im Einklang mit den Ergebnissen der vom EZB-Rat unterstützten hochrangigen Taskforce der Europäischen Zentralbank für Vereinfachung steht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 der Erwägung, dass die EU die Basel-III-Standards </w:t>
            </w:r>
            <w:r>
              <w:rPr>
                <w:b/>
                <w:i/>
              </w:rPr>
              <w:t>unverzüglich vollständig</w:t>
            </w:r>
            <w:r>
              <w:t xml:space="preserve"> umsetzen sollte;</w:t>
            </w:r>
          </w:p>
        </w:tc>
        <w:tc>
          <w:tcPr>
            <w:tcW w:w="4876" w:type="dxa"/>
            <w:tcBorders>
              <w:top w:val="nil"/>
              <w:left w:val="nil"/>
              <w:bottom w:val="nil"/>
              <w:right w:val="nil"/>
            </w:tcBorders>
          </w:tcPr>
          <w:p>
            <w:pPr>
              <w:pStyle w:val="Normal6a"/>
            </w:pPr>
            <w:r>
              <w:t>C.</w:t>
            </w:r>
            <w:r>
              <w:tab/>
            </w:r>
            <w:r>
              <w:t xml:space="preserve">in der Erwägung, dass die EU die Basel-III-Standards </w:t>
            </w:r>
            <w:r>
              <w:rPr>
                <w:b/>
                <w:i/>
              </w:rPr>
              <w:t>konsequent</w:t>
            </w:r>
            <w:r>
              <w:t xml:space="preserve"> umsetzen </w:t>
            </w:r>
            <w:r>
              <w:rPr>
                <w:b/>
                <w:i/>
              </w:rPr>
              <w:t>und gleichzeitig für eine verhältnismäßige, schrittweise und maßgeschneiderte Umsetzung entsprechend den Besonderheiten des europäischen Finanzsystems sorgen</w:t>
            </w:r>
            <w:r>
              <w:t xml:space="preserve"> sollte</w:t>
            </w:r>
            <w:r>
              <w:rPr>
                <w:b/>
                <w:i/>
              </w:rPr>
              <w:t>, ohne dass sich dies negativ auf die Wettbewerbsfähigkeit des Bankensystems der Union auswirkt</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 der Erwägung, dass die EU die Basel-III-Standards unverzüglich </w:t>
            </w:r>
            <w:r>
              <w:rPr>
                <w:b/>
                <w:i/>
              </w:rPr>
              <w:t>vollständig</w:t>
            </w:r>
            <w:r>
              <w:t xml:space="preserve"> umsetzen sollte;</w:t>
            </w:r>
          </w:p>
        </w:tc>
        <w:tc>
          <w:tcPr>
            <w:tcW w:w="4876" w:type="dxa"/>
            <w:tcBorders>
              <w:top w:val="nil"/>
              <w:left w:val="nil"/>
              <w:bottom w:val="nil"/>
              <w:right w:val="nil"/>
            </w:tcBorders>
          </w:tcPr>
          <w:p>
            <w:pPr>
              <w:pStyle w:val="Normal6a"/>
            </w:pPr>
            <w:r>
              <w:t>C.</w:t>
            </w:r>
            <w:r>
              <w:tab/>
            </w:r>
            <w:r>
              <w:t xml:space="preserve">in der Erwägung, dass die EU die Basel-III-Standards unverzüglich </w:t>
            </w:r>
            <w:r>
              <w:rPr>
                <w:b/>
                <w:i/>
              </w:rPr>
              <w:t>so</w:t>
            </w:r>
            <w:r>
              <w:t xml:space="preserve"> umsetzen sollte</w:t>
            </w:r>
            <w:r>
              <w:rPr>
                <w:b/>
                <w:i/>
              </w:rPr>
              <w:t>, dass die internationale Wettbewerbsfähigkeit des europäischen Bankensektors gewahrt wird und weltweit gleiche Wettbewerbsbedingungen sichergestellt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 der Erwägung, dass die EU die Basel-III-Standards </w:t>
            </w:r>
            <w:r>
              <w:rPr>
                <w:b/>
                <w:i/>
              </w:rPr>
              <w:t>unverzüglich</w:t>
            </w:r>
            <w:r>
              <w:t xml:space="preserve"> vollständig umsetzen sollte;</w:t>
            </w:r>
          </w:p>
        </w:tc>
        <w:tc>
          <w:tcPr>
            <w:tcW w:w="4876" w:type="dxa"/>
            <w:tcBorders>
              <w:top w:val="nil"/>
              <w:left w:val="nil"/>
              <w:bottom w:val="nil"/>
              <w:right w:val="nil"/>
            </w:tcBorders>
          </w:tcPr>
          <w:p>
            <w:pPr>
              <w:pStyle w:val="Normal6a"/>
            </w:pPr>
            <w:r>
              <w:t>C.</w:t>
            </w:r>
            <w:r>
              <w:tab/>
            </w:r>
            <w:r>
              <w:t>in der Erwägung, dass die EU die Basel-III-Standards vollständig umsetzen sollte</w:t>
            </w:r>
            <w:r>
              <w:rPr>
                <w:b/>
                <w:i/>
              </w:rPr>
              <w:t>, ohne dabei die internationale Wettbewerbsfähigkeit des Bankensektors zu beeinträchtigen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die EU die Basel-III-Standards unverzüglich vollständig umsetzen sollte;</w:t>
            </w:r>
          </w:p>
        </w:tc>
        <w:tc>
          <w:tcPr>
            <w:tcW w:w="4876" w:type="dxa"/>
            <w:tcBorders>
              <w:top w:val="nil"/>
              <w:left w:val="nil"/>
              <w:bottom w:val="nil"/>
              <w:right w:val="nil"/>
            </w:tcBorders>
          </w:tcPr>
          <w:p>
            <w:pPr>
              <w:pStyle w:val="Normal6a"/>
            </w:pPr>
            <w:r>
              <w:t>C.</w:t>
            </w:r>
            <w:r>
              <w:tab/>
            </w:r>
            <w:r>
              <w:t xml:space="preserve">in der Erwägung, dass die EU die Basel-III-Standards </w:t>
            </w:r>
            <w:r>
              <w:rPr>
                <w:b/>
                <w:i/>
              </w:rPr>
              <w:t>für alle Banken unabhängig von ihrer Größe und ihrem Tätigkeitsbereich umgesetzt hat;</w:t>
            </w:r>
            <w:r>
              <w:t xml:space="preserve"> </w:t>
            </w:r>
            <w:r>
              <w:rPr>
                <w:b/>
                <w:i/>
              </w:rPr>
              <w:t>in der Erwägung, dass die EU die Basel-III-Standards nur für international tätige europäische Banken</w:t>
            </w:r>
            <w:r>
              <w:t xml:space="preserve"> unverzüglich vollständig umsetzen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die EU die Basel-III-Standards unverzüglich vollständig umsetzen sollte;</w:t>
            </w:r>
          </w:p>
        </w:tc>
        <w:tc>
          <w:tcPr>
            <w:tcW w:w="4876" w:type="dxa"/>
            <w:tcBorders>
              <w:top w:val="nil"/>
              <w:left w:val="nil"/>
              <w:bottom w:val="nil"/>
              <w:right w:val="nil"/>
            </w:tcBorders>
          </w:tcPr>
          <w:p>
            <w:pPr>
              <w:pStyle w:val="Normal6a"/>
            </w:pPr>
            <w:r>
              <w:t>C.</w:t>
            </w:r>
            <w:r>
              <w:tab/>
            </w:r>
            <w:r>
              <w:t xml:space="preserve">in der Erwägung, dass die EU die Basel-III-Standards unverzüglich vollständig umsetzen </w:t>
            </w:r>
            <w:r>
              <w:rPr>
                <w:b/>
                <w:i/>
              </w:rPr>
              <w:t>und dabei der Bedeutung weltweit gleicher Wettbewerbsbedingungen und der entscheidenden Rolle der Banken in der EU für die Finanzierung der Wirtschaft, einschließlich der Haushalte und KMU, und die Sicherstellung der Wettbewerbsfähigkeit des Systems Rechnung tragen</w:t>
            </w:r>
            <w:r>
              <w:t xml:space="preserve"> sollte;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 der Erwägung, dass die EU die Basel-III-Standards </w:t>
            </w:r>
            <w:r>
              <w:rPr>
                <w:b/>
                <w:i/>
              </w:rPr>
              <w:t>unverzüglich</w:t>
            </w:r>
            <w:r>
              <w:t xml:space="preserve"> vollständig umsetzen sollte;</w:t>
            </w:r>
          </w:p>
        </w:tc>
        <w:tc>
          <w:tcPr>
            <w:tcW w:w="4876" w:type="dxa"/>
            <w:tcBorders>
              <w:top w:val="nil"/>
              <w:left w:val="nil"/>
              <w:bottom w:val="nil"/>
              <w:right w:val="nil"/>
            </w:tcBorders>
          </w:tcPr>
          <w:p>
            <w:pPr>
              <w:pStyle w:val="Normal6a"/>
            </w:pPr>
            <w:r>
              <w:t>C.</w:t>
            </w:r>
            <w:r>
              <w:tab/>
            </w:r>
            <w:r>
              <w:t>in der Erwägung, dass die EU die Basel-III-Standards</w:t>
            </w:r>
            <w:r>
              <w:rPr>
                <w:b/>
                <w:i/>
              </w:rPr>
              <w:t>, einschließlich des Rahmens für das Marktrisiko, ohne weitere Verzögerung</w:t>
            </w:r>
            <w:r>
              <w:t xml:space="preserve"> vollständig umsetzen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Auke Zijlstra,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die EU die Basel-III-Standards unverzüglich vollständig umsetzen sollte;</w:t>
            </w:r>
          </w:p>
        </w:tc>
        <w:tc>
          <w:tcPr>
            <w:tcW w:w="4876" w:type="dxa"/>
            <w:tcBorders>
              <w:top w:val="nil"/>
              <w:left w:val="nil"/>
              <w:bottom w:val="nil"/>
              <w:right w:val="nil"/>
            </w:tcBorders>
          </w:tcPr>
          <w:p>
            <w:pPr>
              <w:pStyle w:val="Normal6a"/>
            </w:pPr>
            <w:r>
              <w:t>C.</w:t>
            </w:r>
            <w:r>
              <w:tab/>
            </w:r>
            <w:r>
              <w:t xml:space="preserve">in der Erwägung, dass die EU die Basel-III-Standards unverzüglich vollständig umsetzen sollte; </w:t>
            </w:r>
            <w:r>
              <w:rPr>
                <w:b/>
                <w:i/>
              </w:rPr>
              <w:t>in der Erwägung, dass die wiederholten Verschiebungen und Abweichungen von den internationalen Basler Standards durch die EU, einschließlich der Verschiebung der Marktrisikovorschriften auf 2026, zu Aufsichtsarbitrage und Wettbewerbsnachteilen für EU-Banken auf den globalen Großkundenmärkten führen;</w:t>
            </w:r>
            <w:r>
              <w:t xml:space="preserve"> </w:t>
            </w:r>
            <w:r>
              <w:rPr>
                <w:b/>
                <w:i/>
              </w:rPr>
              <w:t>in der Erwägung, dass eine solche uneinheitliche Umsetzung die gleichen Wettbewerbsbedingungen verzerrt und durch Ineffizienzen bei der Risikokapitalzuweisung das Systemrisiko erhöht;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der Erwägung, dass sich die Aggression Russlands gegen die Ukraine und ihre wirtschaftlichen und sozialen Folgen direkt und indirekt auf den EU-Bankensektor auswirken und auswirken werden;</w:t>
            </w:r>
            <w:r>
              <w:t xml:space="preserve"> </w:t>
            </w:r>
            <w:r>
              <w:rPr>
                <w:b/>
                <w:i/>
              </w:rPr>
              <w:t>in der Erwägung, dass die Banken in der EU eine entscheidende Rolle dabei spielen, dass die Sanktionen, die von der EU aufgrund des Angriffs gegen Russland verhängt wurden, laufend umgesetzt und eingehalten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in der Erwägung, dass die Digitalisierung des Finanzwesens große Chancen für den Bankensektor birgt und wichtige technologische Fortschritte im EU-Bankensektor bewirkt hat, indem sie die Effizienz bei der Erbringung von Bankdienstleistungen erhöht und die Bereitschaft für Innovation und Datenaustausch gesteigert hat, aber auch Herausforderungen mit sich bringt, auch im Hinblick auf Cyberrisiken, Datenschutz, Reputationsrisiken, Risiken im Zusammenhang mit der Bekämpfung der Geldwäsche und Bedenken hinsichtlich des Verbraucherschutzes;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in der Erwägung, dass eines der Hauptziele der Bankenunion darin besteht, dass die Steuerzahler nicht die Kosten für Abhilfemaßnahmen tragen sollten, wenn eine Bank ausfällt;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in der Erwägung, dass bei der Bewertung der bilanziellen Risiken von Banken dem Klimawandel, Umweltrisiken sowie dem Übergang zu einer CO2-armen Wirtschaft Rechnung getragen werden sollte;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in der Erwägung, dass bei der Bewertung der bilanziellen Risiken von Banken dem Klimawandel, Umweltrisiken sowie dem Übergang zu einer CO2-armen Wirtschaft Rechnung getragen werden sollte;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in der Erwägung, dass bei der Bewertung der bilanziellen Risiken von Banken dem Klimawandel, Umweltrisiken sowie dem Übergang zu einer CO2-armen Wirtschaft Rechnung getragen werden sollte;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in der Erwägung, dass bei der Bewertung der bilanziellen Risiken von Banken dem Klimawandel, Umweltrisiken sowie dem Übergang zu einer CO2-armen Wirtschaft Rechnung getragen werden sollte;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 der Erwägung, dass </w:t>
            </w:r>
            <w:r>
              <w:rPr>
                <w:b/>
                <w:i/>
              </w:rPr>
              <w:t>bei der Bewertung der bilanziellen Risiken von Banken dem Klimawandel, Umweltrisiken sowie dem Übergang zu einer CO2-armen Wirtschaft Rechnung getragen</w:t>
            </w:r>
            <w:r>
              <w:t xml:space="preserve"> werden </w:t>
            </w:r>
            <w:r>
              <w:rPr>
                <w:b/>
                <w:i/>
              </w:rPr>
              <w:t>sollte</w:t>
            </w:r>
            <w:r>
              <w:t>;</w:t>
            </w:r>
          </w:p>
        </w:tc>
        <w:tc>
          <w:tcPr>
            <w:tcW w:w="4876" w:type="dxa"/>
            <w:tcBorders>
              <w:top w:val="nil"/>
              <w:left w:val="nil"/>
              <w:bottom w:val="nil"/>
              <w:right w:val="nil"/>
            </w:tcBorders>
          </w:tcPr>
          <w:p>
            <w:pPr>
              <w:pStyle w:val="Normal6a"/>
            </w:pPr>
            <w:r>
              <w:t>D.</w:t>
            </w:r>
            <w:r>
              <w:tab/>
            </w:r>
            <w:r>
              <w:t xml:space="preserve">in der Erwägung, dass </w:t>
            </w:r>
            <w:r>
              <w:rPr>
                <w:b/>
                <w:i/>
              </w:rPr>
              <w:t>es dringend dafür gesorgt</w:t>
            </w:r>
            <w:r>
              <w:t xml:space="preserve"> werden </w:t>
            </w:r>
            <w:r>
              <w:rPr>
                <w:b/>
                <w:i/>
              </w:rPr>
              <w:t>muss, dass traditionelle Risikoparameter nicht politischen Umweltzielen untergeordnet werden, die Kapitalkosten in die Höhe treiben und das Kreditangebot dort, wo es am produktivsten ist, einschränken können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 der Erwägung, dass bei der Bewertung der bilanziellen Risiken von Banken dem Klimawandel, Umweltrisiken sowie dem Übergang zu einer </w:t>
            </w:r>
            <w:r>
              <w:rPr>
                <w:b/>
                <w:i/>
              </w:rPr>
              <w:t>CO2</w:t>
            </w:r>
            <w:r>
              <w:t xml:space="preserve">-armen Wirtschaft Rechnung getragen werden </w:t>
            </w:r>
            <w:r>
              <w:rPr>
                <w:b/>
                <w:i/>
              </w:rPr>
              <w:t>sollte</w:t>
            </w:r>
            <w:r>
              <w:t>;</w:t>
            </w:r>
          </w:p>
        </w:tc>
        <w:tc>
          <w:tcPr>
            <w:tcW w:w="4876" w:type="dxa"/>
            <w:tcBorders>
              <w:top w:val="nil"/>
              <w:left w:val="nil"/>
              <w:bottom w:val="nil"/>
              <w:right w:val="nil"/>
            </w:tcBorders>
          </w:tcPr>
          <w:p>
            <w:pPr>
              <w:pStyle w:val="Normal6a"/>
            </w:pPr>
            <w:r>
              <w:t>D.</w:t>
            </w:r>
            <w:r>
              <w:tab/>
            </w:r>
            <w:r>
              <w:t xml:space="preserve">in der Erwägung, dass bei der Bewertung der bilanziellen Risiken von Banken dem Klimawandel, Umweltrisiken sowie dem Übergang zu einer </w:t>
            </w:r>
            <w:r>
              <w:rPr>
                <w:b/>
                <w:i/>
              </w:rPr>
              <w:t>CO</w:t>
            </w:r>
            <w:r>
              <w:rPr>
                <w:b/>
                <w:i/>
                <w:vertAlign w:val="subscript"/>
              </w:rPr>
              <w:t>2</w:t>
            </w:r>
            <w:r>
              <w:t xml:space="preserve">-armen Wirtschaft Rechnung getragen werden </w:t>
            </w:r>
            <w:r>
              <w:rPr>
                <w:b/>
                <w:i/>
              </w:rPr>
              <w:t>kann, allerdings nur, wenn sie Auswirkungen auf die Finanzstabilität haben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 der Erwägung, dass bei der Bewertung der bilanziellen Risiken von Banken dem Klimawandel, Umweltrisiken sowie dem Übergang zu einer </w:t>
            </w:r>
            <w:r>
              <w:rPr>
                <w:b/>
                <w:i/>
              </w:rPr>
              <w:t>CO2-armen</w:t>
            </w:r>
            <w:r>
              <w:t xml:space="preserve"> Wirtschaft Rechnung getragen werden sollte;</w:t>
            </w:r>
          </w:p>
        </w:tc>
        <w:tc>
          <w:tcPr>
            <w:tcW w:w="4876" w:type="dxa"/>
            <w:tcBorders>
              <w:top w:val="nil"/>
              <w:left w:val="nil"/>
              <w:bottom w:val="nil"/>
              <w:right w:val="nil"/>
            </w:tcBorders>
          </w:tcPr>
          <w:p>
            <w:pPr>
              <w:pStyle w:val="Normal6a"/>
            </w:pPr>
            <w:r>
              <w:t>D.</w:t>
            </w:r>
            <w:r>
              <w:tab/>
            </w:r>
            <w:r>
              <w:t xml:space="preserve">in der Erwägung, dass bei der Bewertung der bilanziellen Risiken von Banken dem Klimawandel, Umweltrisiken sowie dem Übergang zu einer </w:t>
            </w:r>
            <w:r>
              <w:rPr>
                <w:b/>
                <w:i/>
              </w:rPr>
              <w:t>klimaneutralen</w:t>
            </w:r>
            <w:r>
              <w:t xml:space="preserve"> Wirtschaft Rechnung getragen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in der Erwägung, dass </w:t>
            </w:r>
            <w:r>
              <w:rPr>
                <w:b/>
                <w:i/>
              </w:rPr>
              <w:t>ein digitaler Euro die Effizienz, Resilienz, finanzielle Inklusion, Innovation und das öffentliche Vertrauen in Bezug auf Zahlungen in der EU verbessern und die internationale Rolle des Euro stärken könnte</w:t>
            </w:r>
            <w:r>
              <w:t>;</w:t>
            </w:r>
          </w:p>
        </w:tc>
        <w:tc>
          <w:tcPr>
            <w:tcW w:w="4876" w:type="dxa"/>
            <w:tcBorders>
              <w:top w:val="nil"/>
              <w:left w:val="nil"/>
              <w:bottom w:val="nil"/>
              <w:right w:val="nil"/>
            </w:tcBorders>
          </w:tcPr>
          <w:p>
            <w:pPr>
              <w:pStyle w:val="Normal6a"/>
            </w:pPr>
            <w:r>
              <w:t>E.</w:t>
            </w:r>
            <w:r>
              <w:tab/>
            </w:r>
            <w:r>
              <w:t xml:space="preserve">in der Erwägung, dass </w:t>
            </w:r>
            <w:r>
              <w:rPr>
                <w:b/>
                <w:i/>
              </w:rPr>
              <w:t>das Projekt zum digitalen Euro Herausforderungen und potenzielle Bedrohungen für die Liquidität und Stabilität des EU-Bankensektors mit sich bringt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Auke Zijlstra, Sebastian Tynkkynen,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in der Erwägung, dass ein digitaler Euro die Effizienz</w:t>
            </w:r>
            <w:r>
              <w:rPr>
                <w:b/>
                <w:i/>
              </w:rPr>
              <w:t>,</w:t>
            </w:r>
            <w:r>
              <w:t xml:space="preserve"> Resilienz</w:t>
            </w:r>
            <w:r>
              <w:rPr>
                <w:b/>
                <w:i/>
              </w:rPr>
              <w:t>, finanzielle Inklusion, Innovation und das öffentliche Vertrauen in Bezug auf</w:t>
            </w:r>
            <w:r>
              <w:t xml:space="preserve"> Zahlungen in der EU verbessern und die </w:t>
            </w:r>
            <w:r>
              <w:rPr>
                <w:b/>
                <w:i/>
              </w:rPr>
              <w:t>internationale Rolle des Euro stärken</w:t>
            </w:r>
            <w:r>
              <w:t xml:space="preserve"> könnte;</w:t>
            </w:r>
          </w:p>
        </w:tc>
        <w:tc>
          <w:tcPr>
            <w:tcW w:w="4876" w:type="dxa"/>
            <w:tcBorders>
              <w:top w:val="nil"/>
              <w:left w:val="nil"/>
              <w:bottom w:val="nil"/>
              <w:right w:val="nil"/>
            </w:tcBorders>
          </w:tcPr>
          <w:p>
            <w:pPr>
              <w:pStyle w:val="Normal6a"/>
            </w:pPr>
            <w:r>
              <w:t>E.</w:t>
            </w:r>
            <w:r>
              <w:tab/>
            </w:r>
            <w:r>
              <w:t xml:space="preserve">in der Erwägung, dass ein digitaler Euro </w:t>
            </w:r>
            <w:r>
              <w:rPr>
                <w:b/>
                <w:i/>
              </w:rPr>
              <w:t>für die Offline-Nutzung und für Transaktionen zwischen Großkunden</w:t>
            </w:r>
            <w:r>
              <w:t xml:space="preserve"> die Effizienz </w:t>
            </w:r>
            <w:r>
              <w:rPr>
                <w:b/>
                <w:i/>
              </w:rPr>
              <w:t>und</w:t>
            </w:r>
            <w:r>
              <w:t xml:space="preserve"> Resilienz </w:t>
            </w:r>
            <w:r>
              <w:rPr>
                <w:b/>
                <w:i/>
              </w:rPr>
              <w:t>der</w:t>
            </w:r>
            <w:r>
              <w:t xml:space="preserve"> Zahlungen in der EU verbessern</w:t>
            </w:r>
            <w:r>
              <w:rPr>
                <w:b/>
                <w:i/>
              </w:rPr>
              <w:t>, aber auch die Einlagenbasis der Geschäftsbanken erheblich schwächen</w:t>
            </w:r>
            <w:r>
              <w:t xml:space="preserve"> und die </w:t>
            </w:r>
            <w:r>
              <w:rPr>
                <w:b/>
                <w:i/>
              </w:rPr>
              <w:t>Finanzstabilität untergraben könnte, indem Anreize für eine Flucht in Zentralbankeinlagen geschaffen werden, insbesondere in Stressphasen;</w:t>
            </w:r>
            <w:r>
              <w:t xml:space="preserve"> </w:t>
            </w:r>
            <w:r>
              <w:rPr>
                <w:b/>
                <w:i/>
              </w:rPr>
              <w:t>in der Erwägung, dass eine solche Verlagerung die Fähigkeit der Banken, Kredite an Haushalte und KMU zu vergeben, verringern und die Abhängigkeit von zentralisierten monetären Finanzierungsmechanismen anstelle einer diversifizierten Marktfinanzierung erhöhen</w:t>
            </w:r>
            <w:r>
              <w:t xml:space="preserve">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in der Erwägung, dass ein digitaler Euro die Effizienz, Resilienz, finanzielle Inklusion, Innovation und das öffentliche Vertrauen in Bezug auf Zahlungen in der EU verbessern und die internationale Rolle des Euro stärken </w:t>
            </w:r>
            <w:r>
              <w:rPr>
                <w:b/>
                <w:i/>
              </w:rPr>
              <w:t>könnte</w:t>
            </w:r>
            <w:r>
              <w:t>;</w:t>
            </w:r>
          </w:p>
        </w:tc>
        <w:tc>
          <w:tcPr>
            <w:tcW w:w="4876" w:type="dxa"/>
            <w:tcBorders>
              <w:top w:val="nil"/>
              <w:left w:val="nil"/>
              <w:bottom w:val="nil"/>
              <w:right w:val="nil"/>
            </w:tcBorders>
          </w:tcPr>
          <w:p>
            <w:pPr>
              <w:pStyle w:val="Normal6a"/>
            </w:pPr>
            <w:r>
              <w:t>E.</w:t>
            </w:r>
            <w:r>
              <w:tab/>
            </w:r>
            <w:r>
              <w:t>in der Erwägung, dass ein digitaler Euro die Effizienz</w:t>
            </w:r>
            <w:r>
              <w:rPr>
                <w:b/>
                <w:i/>
              </w:rPr>
              <w:t>, Wettbewerbsfähigkeit</w:t>
            </w:r>
            <w:r>
              <w:t xml:space="preserve">, Resilienz, finanzielle Inklusion, Innovation und das öffentliche Vertrauen in Bezug auf Zahlungen in der EU verbessern und die internationale Rolle des Euro stärken </w:t>
            </w:r>
            <w:r>
              <w:rPr>
                <w:b/>
                <w:i/>
              </w:rPr>
              <w:t>wird</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in der Erwägung, dass ein digitaler Euro die Effizienz, Resilienz, finanzielle Inklusion, Innovation und das öffentliche Vertrauen in Bezug auf Zahlungen in der EU verbessern und die internationale Rolle des Euro stärken </w:t>
            </w:r>
            <w:r>
              <w:rPr>
                <w:b/>
                <w:i/>
              </w:rPr>
              <w:t>könnte</w:t>
            </w:r>
            <w:r>
              <w:t>;</w:t>
            </w:r>
          </w:p>
        </w:tc>
        <w:tc>
          <w:tcPr>
            <w:tcW w:w="4876" w:type="dxa"/>
            <w:tcBorders>
              <w:top w:val="nil"/>
              <w:left w:val="nil"/>
              <w:bottom w:val="nil"/>
              <w:right w:val="nil"/>
            </w:tcBorders>
          </w:tcPr>
          <w:p>
            <w:pPr>
              <w:pStyle w:val="Normal6a"/>
            </w:pPr>
            <w:r>
              <w:t>E.</w:t>
            </w:r>
            <w:r>
              <w:tab/>
            </w:r>
            <w:r>
              <w:t xml:space="preserve">in der Erwägung, dass ein digitaler Euro die Effizienz, Resilienz, finanzielle Inklusion, Innovation und das öffentliche Vertrauen in Bezug auf Zahlungen in der EU verbessern und die internationale Rolle des Euro stärken </w:t>
            </w:r>
            <w:r>
              <w:rPr>
                <w:b/>
                <w:i/>
              </w:rPr>
              <w:t>würde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in der Erwägung, dass </w:t>
            </w:r>
            <w:r>
              <w:rPr>
                <w:b/>
                <w:i/>
              </w:rPr>
              <w:t>ein digitaler Euro</w:t>
            </w:r>
            <w:r>
              <w:t xml:space="preserve"> die Effizienz, Resilienz, finanzielle Inklusion, Innovation und das öffentliche Vertrauen in Bezug auf Zahlungen in der EU verbessern und die internationale Rolle des Euro stärken könnte;</w:t>
            </w:r>
          </w:p>
        </w:tc>
        <w:tc>
          <w:tcPr>
            <w:tcW w:w="4876" w:type="dxa"/>
            <w:tcBorders>
              <w:top w:val="nil"/>
              <w:left w:val="nil"/>
              <w:bottom w:val="nil"/>
              <w:right w:val="nil"/>
            </w:tcBorders>
          </w:tcPr>
          <w:p>
            <w:pPr>
              <w:pStyle w:val="Normal6a"/>
            </w:pPr>
            <w:r>
              <w:t>E.</w:t>
            </w:r>
            <w:r>
              <w:tab/>
            </w:r>
            <w:r>
              <w:t xml:space="preserve">in der Erwägung, dass </w:t>
            </w:r>
            <w:r>
              <w:rPr>
                <w:b/>
                <w:i/>
              </w:rPr>
              <w:t>eine hoheitlicher Kontrolle unterstehende europaweite Lösung für den Massenzahlungsverkehr</w:t>
            </w:r>
            <w:r>
              <w:t xml:space="preserve"> die Effizienz, Resilienz, finanzielle Inklusion, Innovation und das öffentliche Vertrauen in Bezug auf Zahlungen in der EU verbessern und die internationale Rolle des Euro stärken könnte; </w:t>
            </w:r>
            <w:r>
              <w:rPr>
                <w:b/>
                <w:i/>
              </w:rPr>
              <w:t>in der Erwägung, dass eine Lösung, bei der die Marktteilnehmer vollständig integriert werden, kontinuierliche Innovation, Vertrauen und Finanzstabilität durch tiefere und liquidere Märkte fördern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in der Erwägung, dass ein digitaler Euro die Effizienz, Resilienz, finanzielle Inklusion, Innovation und das öffentliche Vertrauen in Bezug auf Zahlungen in der EU verbessern und die internationale Rolle des Euro stärken könnte;</w:t>
            </w:r>
          </w:p>
        </w:tc>
        <w:tc>
          <w:tcPr>
            <w:tcW w:w="4876" w:type="dxa"/>
            <w:tcBorders>
              <w:top w:val="nil"/>
              <w:left w:val="nil"/>
              <w:bottom w:val="nil"/>
              <w:right w:val="nil"/>
            </w:tcBorders>
          </w:tcPr>
          <w:p>
            <w:pPr>
              <w:pStyle w:val="Normal6a"/>
            </w:pPr>
            <w:r>
              <w:t>E.</w:t>
            </w:r>
            <w:r>
              <w:tab/>
            </w:r>
            <w:r>
              <w:t xml:space="preserve">in der Erwägung, dass ein digitaler Euro </w:t>
            </w:r>
            <w:r>
              <w:rPr>
                <w:b/>
                <w:i/>
              </w:rPr>
              <w:t>für den Massenzahlungsverkehr</w:t>
            </w:r>
            <w:r>
              <w:t xml:space="preserve"> die Effizienz, Resilienz, finanzielle Inklusion, Innovation und </w:t>
            </w:r>
            <w:r>
              <w:rPr>
                <w:b/>
                <w:i/>
              </w:rPr>
              <w:t>Wettbewerbsfähigkeit,</w:t>
            </w:r>
            <w:r>
              <w:t xml:space="preserve"> das öffentliche Vertrauen </w:t>
            </w:r>
            <w:r>
              <w:rPr>
                <w:b/>
                <w:i/>
              </w:rPr>
              <w:t>und den Datenschutz der Verbraucher</w:t>
            </w:r>
            <w:r>
              <w:t xml:space="preserve"> in Bezug auf </w:t>
            </w:r>
            <w:r>
              <w:rPr>
                <w:b/>
                <w:i/>
              </w:rPr>
              <w:t>digitale</w:t>
            </w:r>
            <w:r>
              <w:t xml:space="preserve"> Zahlungen in der EU verbessern und die internationale Rolle des Euro stärken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der Erwägung, dass die Effizienz, Widerstandsfähigkeit und strategische Autonomie der Finanzmarktinfrastrukturen der Union für das ordnungsgemäße Funktionieren der Bankenunion und für die Wettbewerbsfähigkeit des Finanzsystems der EU von wesentlicher Bedeutung sind;</w:t>
            </w:r>
            <w:r>
              <w:t xml:space="preserve"> </w:t>
            </w:r>
            <w:r>
              <w:rPr>
                <w:b/>
                <w:i/>
              </w:rPr>
              <w:t>in der Erwägung, dass die Entwicklung einer digitalen Zentralbankwährung für den Großkundenbereich, die ausschließlich für die Abwicklung zwischen regulierten Finanzinstituten konzipiert ist, das Potenzial hat, grenzüberschreitende Zahlungen, die Wertpapierabwicklung und das Liquiditätsmanagement erheblich zu verbessern, unter anderem durch eine verbesserte Interoperabilität zwischen Zahlungssystemen und Marktinfrastrukturen;</w:t>
            </w:r>
            <w:r>
              <w:t xml:space="preserve"> </w:t>
            </w:r>
            <w:r>
              <w:rPr>
                <w:b/>
                <w:i/>
              </w:rPr>
              <w:t>in der Erwägung, dass die laufenden Initiativen des Eurosystems wichtige Schritte im Hinblick darauf darstellen, diese Vorteile auf kontrollierte und marktorientierte Weise auszuloten;</w:t>
            </w:r>
            <w:r>
              <w:t xml:space="preserve"> </w:t>
            </w:r>
            <w:r>
              <w:rPr>
                <w:b/>
                <w:i/>
              </w:rPr>
              <w:t>in der Erwägung, dass eine Beschleunigung im Hinblick auf einen umfassenden Einsatz dazu beitragen könnte, die internationale Rolle des Euro zu stärken, die Fragmentierung der EU-Finanzmärkte zu verringern und die Finanzstabilität zu unterstützen und gleichzeitig die Einheitlichkeit des Geldes und die Rolle der Intermediäre des Privatsektors in vollem Umfang zu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der Erwägung, dass die EZB mit ihrem digitalen Euro für Großkunden mit den laufenden kurzfristigen (Pontes) und langfristigen (Appia) Projekten für Distributed-Ledger-Technologien für die Abwicklung von Wholesale-Transaktionen mit Zentralbankgeld rasch voranschreitet;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in der Erwägung, dass die Banken in der EU seit 2022 dank der verzögerten Transmission der Maßnahmen zur Verschärfung des geldpolitischen Kurses Rekordgewinne erzielt haben;</w:t>
            </w:r>
            <w:r>
              <w:t xml:space="preserve"> </w:t>
            </w:r>
            <w:r>
              <w:rPr>
                <w:b/>
                <w:i/>
              </w:rPr>
              <w:t>in der Erwägung, dass mehrere Mitgliedstaaten befristete Bankenabgaben eingeführt haben, um sicherzustellen, dass Banken einen fairen Beitrag leisten, und gleichzeitig die Stabilität und den sozialen Zusammenhalt zu wahren;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in der Erwägung, dass die Banken in der EU seit 2022 dank der verzögerten Transmission der Maßnahmen zur Verschärfung des geldpolitischen Kurses Rekordgewinne erzielt haben;</w:t>
            </w:r>
            <w:r>
              <w:t xml:space="preserve"> </w:t>
            </w:r>
            <w:r>
              <w:rPr>
                <w:b/>
                <w:i/>
              </w:rPr>
              <w:t>in der Erwägung, dass mehrere Mitgliedstaaten befristete Bankenabgaben eingeführt haben, um sicherzustellen, dass Banken einen fairen Beitrag leisten, und gleichzeitig die Stabilität und den sozialen Zusammenhalt zu wahren;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in der Erwägung, dass die Banken in der EU seit 2022 dank der verzögerten Transmission der Maßnahmen zur Verschärfung des geldpolitischen Kurses Rekordgewinne erzielt haben; in der Erwägung, dass mehrere Mitgliedstaaten befristete Bankenabgaben eingeführt haben, </w:t>
            </w:r>
            <w:r>
              <w:rPr>
                <w:b/>
                <w:i/>
              </w:rPr>
              <w:t>um sicherzustellen, dass Banken einen fairen Beitrag leisten, und gleichzeitig die Stabilität und den sozialen Zusammenhalt zu wahren</w:t>
            </w:r>
            <w:r>
              <w:t>;</w:t>
            </w:r>
          </w:p>
        </w:tc>
        <w:tc>
          <w:tcPr>
            <w:tcW w:w="4876" w:type="dxa"/>
            <w:tcBorders>
              <w:top w:val="nil"/>
              <w:left w:val="nil"/>
              <w:bottom w:val="nil"/>
              <w:right w:val="nil"/>
            </w:tcBorders>
          </w:tcPr>
          <w:p>
            <w:pPr>
              <w:pStyle w:val="Normal6a"/>
            </w:pPr>
            <w:r>
              <w:t>F.</w:t>
            </w:r>
            <w:r>
              <w:tab/>
            </w:r>
            <w:r>
              <w:t>in der Erwägung, dass die Banken in der EU seit 2022 dank der verzögerten Transmission der Maßnahmen zur Verschärfung des geldpolitischen Kurses Rekordgewinne erzielt haben</w:t>
            </w:r>
            <w:r>
              <w:rPr>
                <w:b/>
                <w:i/>
              </w:rPr>
              <w:t>, was dazu beigetragen hat, die Lücke bei der Eigenkapitalrendite zwischen Banken in der EU und in den USA nach mehr als 15 Jahren zu schließen</w:t>
            </w:r>
            <w:r>
              <w:t xml:space="preserve">; in der Erwägung, dass mehrere Mitgliedstaaten befristete Bankenabgaben eingeführt haben, </w:t>
            </w:r>
            <w:r>
              <w:rPr>
                <w:b/>
                <w:i/>
              </w:rPr>
              <w:t>obwohl Institutionen wie die EZB in ihren Stellungnahmen wiederholt erklärt haben, dass Abgaben auf Finanzinstitute aus allgemeinen haushaltspolitischen Erwägungen unerwünscht wären und dass ihre Anwendung den Wettbewerb auf dem Markt verzerren und gleiche Wettbewerbsbedingungen sowohl innerhalb des Landes als auch in der gesamten Bankenunion beeinträchtigen könnte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in der Erwägung, dass die Banken in der EU seit 2022 dank der verzögerten Transmission der Maßnahmen zur Verschärfung des geldpolitischen Kurses Rekordgewinne erzielt haben; in der Erwägung, dass mehrere Mitgliedstaaten befristete Bankenabgaben eingeführt haben</w:t>
            </w:r>
            <w:r>
              <w:rPr>
                <w:b/>
                <w:i/>
              </w:rPr>
              <w:t>, um sicherzustellen, dass Banken einen fairen Beitrag leisten, und gleichzeitig die Stabilität und den sozialen Zusammenhalt zu wahren</w:t>
            </w:r>
            <w:r>
              <w:t>;</w:t>
            </w:r>
          </w:p>
        </w:tc>
        <w:tc>
          <w:tcPr>
            <w:tcW w:w="4876" w:type="dxa"/>
            <w:tcBorders>
              <w:top w:val="nil"/>
              <w:left w:val="nil"/>
              <w:bottom w:val="nil"/>
              <w:right w:val="nil"/>
            </w:tcBorders>
          </w:tcPr>
          <w:p>
            <w:pPr>
              <w:pStyle w:val="Normal6a"/>
            </w:pPr>
            <w:r>
              <w:t>F.</w:t>
            </w:r>
            <w:r>
              <w:tab/>
            </w:r>
            <w:r>
              <w:t>in der Erwägung, dass die Banken in der EU seit 2022 dank der verzögerten Transmission der Maßnahmen zur Verschärfung des geldpolitischen Kurses Rekordgewinne erzielt haben; in der Erwägung, dass mehrere Mitgliedstaaten befristete Bankenabgaben eingeführt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in der Erwägung, dass die Banken in der EU seit 2022 dank der verzögerten Transmission der Maßnahmen zur Verschärfung des geldpolitischen Kurses Rekordgewinne erzielt haben; in der Erwägung, dass mehrere Mitgliedstaaten befristete Bankenabgaben eingeführt haben, um sicherzustellen, dass Banken einen fairen Beitrag leisten, und gleichzeitig die Stabilität und den sozialen Zusammenhalt zu wahren;</w:t>
            </w:r>
          </w:p>
        </w:tc>
        <w:tc>
          <w:tcPr>
            <w:tcW w:w="4876" w:type="dxa"/>
            <w:tcBorders>
              <w:top w:val="nil"/>
              <w:left w:val="nil"/>
              <w:bottom w:val="nil"/>
              <w:right w:val="nil"/>
            </w:tcBorders>
          </w:tcPr>
          <w:p>
            <w:pPr>
              <w:pStyle w:val="Normal6a"/>
            </w:pPr>
            <w:r>
              <w:t>F.</w:t>
            </w:r>
            <w:r>
              <w:tab/>
            </w:r>
            <w:r>
              <w:t xml:space="preserve">in der Erwägung, dass die Banken in der EU seit 2022 dank der verzögerten Transmission der Maßnahmen zur Verschärfung des geldpolitischen Kurses Rekordgewinne erzielt haben; in der Erwägung, dass mehrere Mitgliedstaaten befristete Bankenabgaben eingeführt haben, um sicherzustellen, dass Banken einen fairen Beitrag leisten, und gleichzeitig die Stabilität und den sozialen Zusammenhalt zu wahren; </w:t>
            </w:r>
            <w:r>
              <w:rPr>
                <w:b/>
                <w:i/>
              </w:rPr>
              <w:t>in der Erwägung, dass die Rentabilität der Banken in der EU seit 2022 vor dem Hintergrund einer Restriktion der Geldpolitik gestiegen, wodurch zu Kapitalgenerierung und Finanzstabilität beigetragen wurde;</w:t>
            </w:r>
            <w:r>
              <w:t xml:space="preserve"> </w:t>
            </w:r>
            <w:r>
              <w:rPr>
                <w:b/>
                <w:i/>
              </w:rPr>
              <w:t>in der Erwägung, dass die Rentabilität der Banken nach wie vor zyklisch ist und dem gesamten Zinszyklus unterliegt;</w:t>
            </w:r>
            <w:r>
              <w:t xml:space="preserve"> </w:t>
            </w:r>
            <w:r>
              <w:rPr>
                <w:b/>
                <w:i/>
              </w:rPr>
              <w:t>in der Erwägung, dass mehrere Mitgliedstaaten befristete Bankenabgaben eingeführt haben, die Ausnahmecharakter haben, verhältnismäßig bleiben und sorgfältig geprüft werden sollten, um nachteilige Auswirkungen auf die Kapitalposition der Banken, die Kreditvergabekapazität, die Finanzstabilität und gleiche Wettbewerbsbedingungen innerhalb der Bankenunion zu vermeiden;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in der Erwägung, dass die Banken in der EU seit 2022 dank der verzögerten Transmission der Maßnahmen zur Verschärfung des geldpolitischen Kurses Rekordgewinne erzielt haben; in der Erwägung, dass mehrere Mitgliedstaaten befristete Bankenabgaben eingeführt haben, um sicherzustellen, dass Banken einen fairen Beitrag leisten, und gleichzeitig die Stabilität und den sozialen Zusammenhalt zu wahren;</w:t>
            </w:r>
          </w:p>
        </w:tc>
        <w:tc>
          <w:tcPr>
            <w:tcW w:w="4876" w:type="dxa"/>
            <w:tcBorders>
              <w:top w:val="nil"/>
              <w:left w:val="nil"/>
              <w:bottom w:val="nil"/>
              <w:right w:val="nil"/>
            </w:tcBorders>
          </w:tcPr>
          <w:p>
            <w:pPr>
              <w:pStyle w:val="Normal6a"/>
            </w:pPr>
            <w:r>
              <w:t>F.</w:t>
            </w:r>
            <w:r>
              <w:tab/>
            </w:r>
            <w:r>
              <w:t xml:space="preserve">in der Erwägung, dass die Banken in der EU seit 2022 dank der verzögerten Transmission der Maßnahmen zur Verschärfung des geldpolitischen Kurses Rekordgewinne erzielt haben; in der Erwägung, dass mehrere Mitgliedstaaten befristete Bankenabgaben eingeführt haben, um sicherzustellen, dass Banken einen fairen Beitrag leisten, und gleichzeitig die Stabilität und den sozialen Zusammenhalt zu wahren; </w:t>
            </w:r>
            <w:r>
              <w:rPr>
                <w:b/>
                <w:i/>
              </w:rPr>
              <w:t>in der Erwägung, dass die hohen einbehaltenen Gewinne weitgehend durch steigende Kapitalanforderungen und überhöhte Befolgungskosten, einschließlich für die Nachhaltigkeitsberichterstattung, absorbiert wurden, wodurch die Fähigkeit der Banken eingeschränkt wird, die Realwirtschaft zu unterstützen, und dass die Straffung der Geldpolitik die Nettozinsmargen gedrückt hat, was den allgemeinen makroprudenziellen Druck auf die Rentabilität widerspiegelt;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der Erwägung, dass die Erhebung branchenspezifischer Steuern auf Kreditinstitute – selbst als zeitlich befristete Maßnahme – zu Verzerrungen im Binnenmarkt führen, sich nachteilig auf die Fähigkeit der Institute, Kredite an Haushalte und Unternehmen zu vergeben, auswirken und die Vorhersehbarkeit des Steuerrahmens herabsetzen kann;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der Erwägung, dass sich die Kommission in ihrer Mitteilung über die „Spar- und Investitionsunion“ vom März 2025 verpflichtet hat, „entscheidende Schritte zur Weiterentwicklung der Bankenunion [zu] unternehmen, unter anderem indem sie prüft, wie [...] Fortschritte in Bezug auf das europäische Einlagenversicherungssystem erzielt werden können“, aber seitdem noch keinen Vorschlag im Zusammenhang mit der Vollendung der Bankenunion vorgelegt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der Erwägung, dass Banken ein Grundpfeiler unserer Wirtschaft sind und zu den strategisch wichtigsten Wirtschaftszweigen gehören;</w:t>
            </w:r>
            <w:r>
              <w:t xml:space="preserve"> </w:t>
            </w:r>
            <w:r>
              <w:rPr>
                <w:b/>
                <w:i/>
              </w:rPr>
              <w:t>in der Erwägung, dass Stabilität, Widerstandsfähigkeit und Wettbewerbsfähigkeit von grundlegender Bedeutung sind, um sicherzustellen, dass sich das Finanzsystem an globale Herausforderungen anpassen, Innovationen fördern und den Bedürfnissen von Unternehmen und Bürgern wirksam gerecht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der Erwägung, dass sich die Überschussliquidität im Euro-Währungsgebiet im Jahr 2022 auf 4,7 Billionen EUR belief, während sie sich heute auf 2,8 Billionen EUR beläuft;</w:t>
            </w:r>
            <w:r>
              <w:t xml:space="preserve"> </w:t>
            </w:r>
            <w:r>
              <w:rPr>
                <w:b/>
                <w:i/>
              </w:rPr>
              <w:t>in der Erwägung, dass die Liquiditätsdeckungsquote der Banken des Euro-Währungsgebiets ebenfalls im Jahr 2022 ihren Höchststand erreichte, als sie 170 % überstieg, während sie im dritten Quartal 2025 bei 156 % lag;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der Erwägung, dass E-Geld-Token zunehmend genutzt werden und immer enger mit Banken innerhalb der Bankenunion verflochten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in der Erwägung, dass die Banken ein Eckpfeiler unserer Wirtschaft und einer der wichtigsten strategischen Sektoren sind und es von entscheidender Bedeutung ist, dass sie in einem Umfeld arbeiten, das Stabilität, Widerstandsfähigkeit, Dynamik und Wettbewerbsfähigkeit fördert;</w:t>
            </w:r>
            <w:r>
              <w:t xml:space="preserve"> </w:t>
            </w:r>
            <w:r>
              <w:rPr>
                <w:b/>
                <w:i/>
              </w:rPr>
              <w:t>in der Erwägung, dass diese Grundsätze nicht nur für ein nachhaltiges Wirtschaftswachstum von grundlegender Bedeutung sind, sondern auch für die Fähigkeit des Finanzsystems, sich an globale Herausforderungen anzupassen, Innovationen zu erleichtern und den Bedürfnissen von Unternehmen und Bürgern wirksam zu entsprechen;</w:t>
            </w:r>
            <w:r>
              <w:t xml:space="preserve"> </w:t>
            </w:r>
            <w:r>
              <w:rPr>
                <w:b/>
                <w:i/>
              </w:rPr>
              <w:t>in der Erwägung, dass eine dynamische Wirtschaft einen Bankensektor erfordert, der Solidität mit Flexibilität verbindet, Investitionen fördert und Kapital effizient lenkt, um die Wettbewerbsfähigkeit der EU in einem sich ständig wandelnden globalen Markt zu stärken;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in der Erwägung, dass in der Verordnung (EU) 2023/1114 (MiCA) differenzierte Marktzugangsanforderungen, Rücktauschverpflichtungen und Aufsichtsrahmen für Emittenten von vermögenswertereferenzierten Token und E-Geld-Token festgelegt sind, die deren unterschiedlichen Risikoprofilen und monetären Auswirkungen Rechnung 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in der Erwägung, dass ein starker Bankensektor für Wirtschaftswachstum und die Finanzierung von kleinen und mittleren Unternehmen (KMU) und Start-up-Unternehmen von entscheidender Bedeutung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begrüßt die Fortschritte, die</w:t>
            </w:r>
            <w:r>
              <w:t xml:space="preserve"> in den letzten zehn Jahren </w:t>
            </w:r>
            <w:r>
              <w:rPr>
                <w:b/>
                <w:i/>
              </w:rPr>
              <w:t>beim SSM und beim SRM erzielt wurden</w:t>
            </w:r>
            <w:r>
              <w:t xml:space="preserve">; fordert </w:t>
            </w:r>
            <w:r>
              <w:rPr>
                <w:b/>
                <w:i/>
              </w:rPr>
              <w:t>eine uneingeschränkte und zügige Vollendung der Bankenunion, einschließlich eines vollwertigen EDIS</w:t>
            </w:r>
            <w:r>
              <w:t xml:space="preserve">; betont, dass </w:t>
            </w:r>
            <w:r>
              <w:rPr>
                <w:b/>
                <w:i/>
              </w:rPr>
              <w:t>die Bankenunion ein inklusiveres und nachhaltigeres Finanzsystem stützen muss, das mit dem sozialen Zusammenhalt und dem europäischen Grünen Deal im Einklang steht</w:t>
            </w:r>
            <w:r>
              <w:t>;</w:t>
            </w:r>
          </w:p>
        </w:tc>
        <w:tc>
          <w:tcPr>
            <w:tcW w:w="4876" w:type="dxa"/>
            <w:tcBorders>
              <w:top w:val="nil"/>
              <w:left w:val="nil"/>
              <w:bottom w:val="nil"/>
              <w:right w:val="nil"/>
            </w:tcBorders>
          </w:tcPr>
          <w:p>
            <w:pPr>
              <w:pStyle w:val="Normal6a"/>
            </w:pPr>
            <w:r>
              <w:t>1.</w:t>
            </w:r>
            <w:r>
              <w:tab/>
            </w:r>
            <w:r>
              <w:rPr>
                <w:b/>
                <w:i/>
              </w:rPr>
              <w:t>nimmt die Entwicklungen im Zusammenhang mit dem SSM und dem SRM</w:t>
            </w:r>
            <w:r>
              <w:t xml:space="preserve"> in den letzten zehn Jahren </w:t>
            </w:r>
            <w:r>
              <w:rPr>
                <w:b/>
                <w:i/>
              </w:rPr>
              <w:t>zur Kenntnis</w:t>
            </w:r>
            <w:r>
              <w:t xml:space="preserve">; fordert </w:t>
            </w:r>
            <w:r>
              <w:rPr>
                <w:b/>
                <w:i/>
              </w:rPr>
              <w:t>Reformen, die die Marktdisziplin verbessern, anstelle einer bürokratischen Expansion</w:t>
            </w:r>
            <w:r>
              <w:t xml:space="preserve">; betont, dass </w:t>
            </w:r>
            <w:r>
              <w:rPr>
                <w:b/>
                <w:i/>
              </w:rPr>
              <w:t>bei Vorschlägen, mit denen das Risiko weiter zentralisiert wird, im Gegenzug eine angemessene Rechenschaftspflicht vorgesehen werden sollte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begrüßt die Fortschritte, die in den letzten zehn Jahren beim SSM und beim SRM erzielt wurden; </w:t>
            </w:r>
            <w:r>
              <w:rPr>
                <w:b/>
                <w:i/>
              </w:rPr>
              <w:t>fordert eine uneingeschränkte und zügige Vollendung der Bankenunion, einschließlich eines vollwertigen EDIS;</w:t>
            </w:r>
            <w:r>
              <w:t xml:space="preserve"> </w:t>
            </w:r>
            <w:r>
              <w:rPr>
                <w:b/>
                <w:i/>
              </w:rPr>
              <w:t>betont, dass die Bankenunion ein inklusiveres und nachhaltigeres Finanzsystem stützen muss, das mit dem sozialen Zusammenhalt und dem europäischen Grünen Deal im Einklang steht;</w:t>
            </w:r>
          </w:p>
        </w:tc>
        <w:tc>
          <w:tcPr>
            <w:tcW w:w="4876" w:type="dxa"/>
            <w:tcBorders>
              <w:top w:val="nil"/>
              <w:left w:val="nil"/>
              <w:bottom w:val="nil"/>
              <w:right w:val="nil"/>
            </w:tcBorders>
          </w:tcPr>
          <w:p>
            <w:pPr>
              <w:pStyle w:val="Normal6a"/>
            </w:pPr>
            <w:r>
              <w:t>1.</w:t>
            </w:r>
            <w:r>
              <w:tab/>
            </w:r>
            <w:r>
              <w:t>begrüßt die Fortschritte, die in den letzten zehn Jahren beim SSM und beim SRM erzielt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begrüßt die Fortschritte, die in den letzten zehn Jahren beim SSM und beim SRM erzielt wurden; fordert eine </w:t>
            </w:r>
            <w:r>
              <w:rPr>
                <w:b/>
                <w:i/>
              </w:rPr>
              <w:t>uneingeschränkte und zügige Vollendung</w:t>
            </w:r>
            <w:r>
              <w:t xml:space="preserve"> der Bankenunion</w:t>
            </w:r>
            <w:r>
              <w:rPr>
                <w:b/>
                <w:i/>
              </w:rPr>
              <w:t>, einschließlich eines vollwertigen EDIS;</w:t>
            </w:r>
            <w:r>
              <w:t xml:space="preserve"> </w:t>
            </w:r>
            <w:r>
              <w:rPr>
                <w:b/>
                <w:i/>
              </w:rPr>
              <w:t>betont, dass die Bankenunion ein inklusiveres und nachhaltigeres Finanzsystem stützen muss, das mit dem sozialen Zusammenhalt und dem europäischen Grünen Deal im Einklang steht</w:t>
            </w:r>
            <w:r>
              <w:t>;</w:t>
            </w:r>
          </w:p>
        </w:tc>
        <w:tc>
          <w:tcPr>
            <w:tcW w:w="4876" w:type="dxa"/>
            <w:tcBorders>
              <w:top w:val="nil"/>
              <w:left w:val="nil"/>
              <w:bottom w:val="nil"/>
              <w:right w:val="nil"/>
            </w:tcBorders>
          </w:tcPr>
          <w:p>
            <w:pPr>
              <w:pStyle w:val="Normal6a"/>
            </w:pPr>
            <w:r>
              <w:t>1.</w:t>
            </w:r>
            <w:r>
              <w:tab/>
            </w:r>
            <w:r>
              <w:t xml:space="preserve">begrüßt die Fortschritte, die in den letzten zehn Jahren beim SSM und beim SRM erzielt wurden; fordert eine </w:t>
            </w:r>
            <w:r>
              <w:rPr>
                <w:b/>
                <w:i/>
              </w:rPr>
              <w:t>Weiterentwicklung</w:t>
            </w:r>
            <w:r>
              <w:t xml:space="preserve"> der Bankenunion </w:t>
            </w:r>
            <w:r>
              <w:rPr>
                <w:b/>
                <w:i/>
              </w:rPr>
              <w:t>unter Berücksichtigung der besonderen Merkmale der nationalen Bankensektoren und unter Gewährleistung der Autonomie und des wirksamen Funktionierens institutsbezogener Sicherungssysteme, ohne den im Rahmen der CMDI-Überprüfung vereinbarten spezifischen Bestimmungen für institutsbezogene Sicherungssysteme entgegenzuwirken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begrüßt die Fortschritte, die in den letzten zehn Jahren beim SSM und beim SRM erzielt wurden; fordert eine </w:t>
            </w:r>
            <w:r>
              <w:rPr>
                <w:b/>
                <w:i/>
              </w:rPr>
              <w:t>uneingeschränkte und zügige Vollendung</w:t>
            </w:r>
            <w:r>
              <w:t xml:space="preserve"> der Bankenunion</w:t>
            </w:r>
            <w:r>
              <w:rPr>
                <w:b/>
                <w:i/>
              </w:rPr>
              <w:t>, einschließlich eines vollwertigen EDIS;</w:t>
            </w:r>
            <w:r>
              <w:t xml:space="preserve"> </w:t>
            </w:r>
            <w:r>
              <w:rPr>
                <w:b/>
                <w:i/>
              </w:rPr>
              <w:t>betont, dass die Bankenunion ein inklusiveres und nachhaltigeres Finanzsystem stützen muss, das mit dem sozialen Zusammenhalt und dem europäischen Grünen Deal im Einklang steht</w:t>
            </w:r>
            <w:r>
              <w:t>;</w:t>
            </w:r>
          </w:p>
        </w:tc>
        <w:tc>
          <w:tcPr>
            <w:tcW w:w="4876" w:type="dxa"/>
            <w:tcBorders>
              <w:top w:val="nil"/>
              <w:left w:val="nil"/>
              <w:bottom w:val="nil"/>
              <w:right w:val="nil"/>
            </w:tcBorders>
          </w:tcPr>
          <w:p>
            <w:pPr>
              <w:pStyle w:val="Normal6a"/>
            </w:pPr>
            <w:r>
              <w:t>1.</w:t>
            </w:r>
            <w:r>
              <w:tab/>
            </w:r>
            <w:r>
              <w:t xml:space="preserve">begrüßt die Fortschritte, die in den letzten zehn Jahren beim SSM und beim SRM erzielt wurden; fordert eine </w:t>
            </w:r>
            <w:r>
              <w:rPr>
                <w:b/>
                <w:i/>
              </w:rPr>
              <w:t>schrittweise Weiterentwicklung</w:t>
            </w:r>
            <w:r>
              <w:t xml:space="preserve"> der Bankenunion </w:t>
            </w:r>
            <w:r>
              <w:rPr>
                <w:b/>
                <w:i/>
              </w:rPr>
              <w:t>unter gebührender Berücksichtigung der nationalen Besonderheiten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begrüßt die Fortschritte, die in den letzten zehn Jahren beim SSM und beim SRM erzielt wurden; fordert eine uneingeschränkte und zügige Vollendung der Bankenunion, einschließlich eines </w:t>
            </w:r>
            <w:r>
              <w:rPr>
                <w:b/>
                <w:i/>
              </w:rPr>
              <w:t>vollwertigen EDIS;</w:t>
            </w:r>
            <w:r>
              <w:t xml:space="preserve"> </w:t>
            </w:r>
            <w:r>
              <w:rPr>
                <w:b/>
                <w:i/>
              </w:rPr>
              <w:t>betont, dass die Bankenunion ein inklusiveres und nachhaltigeres Finanzsystem stützen muss, das mit dem sozialen Zusammenhalt und dem europäischen Grünen Deal im Einklang steht</w:t>
            </w:r>
            <w:r>
              <w:t>;</w:t>
            </w:r>
          </w:p>
        </w:tc>
        <w:tc>
          <w:tcPr>
            <w:tcW w:w="4876" w:type="dxa"/>
            <w:tcBorders>
              <w:top w:val="nil"/>
              <w:left w:val="nil"/>
              <w:bottom w:val="nil"/>
              <w:right w:val="nil"/>
            </w:tcBorders>
          </w:tcPr>
          <w:p>
            <w:pPr>
              <w:pStyle w:val="Normal6a"/>
            </w:pPr>
            <w:r>
              <w:t>1.</w:t>
            </w:r>
            <w:r>
              <w:tab/>
            </w:r>
            <w:r>
              <w:t xml:space="preserve">begrüßt die Fortschritte, die in den letzten zehn Jahren beim SSM und beim SRM erzielt wurden; fordert eine uneingeschränkte und zügige Vollendung der Bankenunion, einschließlich eines </w:t>
            </w:r>
            <w:r>
              <w:rPr>
                <w:b/>
                <w:i/>
              </w:rPr>
              <w:t>EDIS, bei dem den nationalen Besonderheiten Rechnung getragen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begrüßt die Fortschritte, die in den letzten zehn Jahren beim SSM und beim SRM erzielt wurden</w:t>
            </w:r>
            <w:r>
              <w:rPr>
                <w:b/>
                <w:i/>
              </w:rPr>
              <w:t>;</w:t>
            </w:r>
            <w:r>
              <w:t xml:space="preserve"> </w:t>
            </w:r>
            <w:r>
              <w:rPr>
                <w:b/>
                <w:i/>
              </w:rPr>
              <w:t>fordert eine uneingeschränkte und zügige Vollendung der Bankenunion, einschließlich eines vollwertigen EDIS</w:t>
            </w:r>
            <w:r>
              <w:t xml:space="preserve">; betont, dass die Bankenunion ein inklusiveres und nachhaltigeres Finanzsystem stützen muss, das mit dem </w:t>
            </w:r>
            <w:r>
              <w:rPr>
                <w:b/>
                <w:i/>
              </w:rPr>
              <w:t>sozialen Zusammenhalt</w:t>
            </w:r>
            <w:r>
              <w:t xml:space="preserve"> und dem </w:t>
            </w:r>
            <w:r>
              <w:rPr>
                <w:b/>
                <w:i/>
              </w:rPr>
              <w:t>europäischen Grünen Deal</w:t>
            </w:r>
            <w:r>
              <w:t xml:space="preserve"> im Einklang steht;</w:t>
            </w:r>
          </w:p>
        </w:tc>
        <w:tc>
          <w:tcPr>
            <w:tcW w:w="4876" w:type="dxa"/>
            <w:tcBorders>
              <w:top w:val="nil"/>
              <w:left w:val="nil"/>
              <w:bottom w:val="nil"/>
              <w:right w:val="nil"/>
            </w:tcBorders>
          </w:tcPr>
          <w:p>
            <w:pPr>
              <w:pStyle w:val="Normal6a"/>
            </w:pPr>
            <w:r>
              <w:t>1.</w:t>
            </w:r>
            <w:r>
              <w:tab/>
            </w:r>
            <w:r>
              <w:t xml:space="preserve">begrüßt die Fortschritte, die in den letzten zehn Jahren beim SSM und beim SRM erzielt wurden; betont, dass die Bankenunion ein inklusiveres und nachhaltigeres Finanzsystem stützen muss, das mit dem </w:t>
            </w:r>
            <w:r>
              <w:rPr>
                <w:b/>
                <w:i/>
              </w:rPr>
              <w:t>ökologischen</w:t>
            </w:r>
            <w:r>
              <w:t xml:space="preserve"> und dem </w:t>
            </w:r>
            <w:r>
              <w:rPr>
                <w:b/>
                <w:i/>
              </w:rPr>
              <w:t>digitalen Wandel</w:t>
            </w:r>
            <w:r>
              <w:t xml:space="preserve"> im Einklang steht;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begrüßt die Fortschritte, die in den letzten zehn Jahren beim SSM und beim SRM erzielt wurden; fordert eine uneingeschränkte und zügige Vollendung der Bankenunion, einschließlich eines vollwertigen EDIS; </w:t>
            </w:r>
            <w:r>
              <w:rPr>
                <w:b/>
                <w:i/>
              </w:rPr>
              <w:t>betont, dass die Bankenunion ein inklusiveres und nachhaltigeres Finanzsystem stützen muss, das mit dem sozialen Zusammenhalt und dem europäischen Grünen Deal im Einklang steht;</w:t>
            </w:r>
          </w:p>
        </w:tc>
        <w:tc>
          <w:tcPr>
            <w:tcW w:w="4876" w:type="dxa"/>
            <w:tcBorders>
              <w:top w:val="nil"/>
              <w:left w:val="nil"/>
              <w:bottom w:val="nil"/>
              <w:right w:val="nil"/>
            </w:tcBorders>
          </w:tcPr>
          <w:p>
            <w:pPr>
              <w:pStyle w:val="Normal6a"/>
            </w:pPr>
            <w:r>
              <w:t>1.</w:t>
            </w:r>
            <w:r>
              <w:tab/>
            </w:r>
            <w:r>
              <w:t>begrüßt die Fortschritte, die in den letzten zehn Jahren beim SSM und beim SRM erzielt wurden; fordert eine uneingeschränkte und zügige Vollendung der Bankenunion, einschließlich eines vollwertigen EDIS;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begrüßt die Fortschritte, die in den letzten zehn Jahren beim SSM und beim SRM erzielt wurden; fordert eine uneingeschränkte und zügige Vollendung der Bankenunion, einschließlich eines vollwertigen EDIS; </w:t>
            </w:r>
            <w:r>
              <w:rPr>
                <w:b/>
                <w:i/>
              </w:rPr>
              <w:t>betont, dass die Bankenunion ein inklusiveres und nachhaltigeres Finanzsystem stützen muss, das mit dem sozialen Zusammenhalt und dem europäischen Grünen Deal im Einklang steht;</w:t>
            </w:r>
          </w:p>
        </w:tc>
        <w:tc>
          <w:tcPr>
            <w:tcW w:w="4876" w:type="dxa"/>
            <w:tcBorders>
              <w:top w:val="nil"/>
              <w:left w:val="nil"/>
              <w:bottom w:val="nil"/>
              <w:right w:val="nil"/>
            </w:tcBorders>
          </w:tcPr>
          <w:p>
            <w:pPr>
              <w:pStyle w:val="Normal6a"/>
            </w:pPr>
            <w:r>
              <w:t>1.</w:t>
            </w:r>
            <w:r>
              <w:tab/>
            </w:r>
            <w:r>
              <w:t>begrüßt die Fortschritte, die in den letzten zehn Jahren beim SSM und beim SRM erzielt wurden; fordert eine uneingeschränkte und zügige Vollendung der Bankenunion, einschließlich eines vollwertigen EDIS;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begrüßt die Fortschritte, die in den letzten zehn Jahren beim SSM und beim SRM erzielt wurden; </w:t>
            </w:r>
            <w:r>
              <w:rPr>
                <w:b/>
                <w:i/>
              </w:rPr>
              <w:t>fordert eine uneingeschränkte und zügige</w:t>
            </w:r>
            <w:r>
              <w:t xml:space="preserve"> Vollendung der Bankenunion</w:t>
            </w:r>
            <w:r>
              <w:rPr>
                <w:b/>
                <w:i/>
              </w:rPr>
              <w:t>, einschließlich eines vollwertigen EDIS</w:t>
            </w:r>
            <w:r>
              <w:t xml:space="preserve">; betont, dass die Bankenunion ein </w:t>
            </w:r>
            <w:r>
              <w:rPr>
                <w:b/>
                <w:i/>
              </w:rPr>
              <w:t>inklusiveres und nachhaltigeres</w:t>
            </w:r>
            <w:r>
              <w:t xml:space="preserve"> Finanzsystem stützen muss, das mit dem sozialen Zusammenhalt und dem europäischen Grünen Deal im Einklang steht;</w:t>
            </w:r>
          </w:p>
        </w:tc>
        <w:tc>
          <w:tcPr>
            <w:tcW w:w="4876" w:type="dxa"/>
            <w:tcBorders>
              <w:top w:val="nil"/>
              <w:left w:val="nil"/>
              <w:bottom w:val="nil"/>
              <w:right w:val="nil"/>
            </w:tcBorders>
          </w:tcPr>
          <w:p>
            <w:pPr>
              <w:pStyle w:val="Normal6a"/>
            </w:pPr>
            <w:r>
              <w:t>1.</w:t>
            </w:r>
            <w:r>
              <w:tab/>
            </w:r>
            <w:r>
              <w:t xml:space="preserve">begrüßt die Fortschritte, die in den letzten zehn Jahren beim SSM und beim SRM erzielt wurden; </w:t>
            </w:r>
            <w:r>
              <w:rPr>
                <w:b/>
                <w:i/>
              </w:rPr>
              <w:t>unterstützt die</w:t>
            </w:r>
            <w:r>
              <w:t xml:space="preserve"> Vollendung der Bankenunion; betont, dass die Bankenunion ein </w:t>
            </w:r>
            <w:r>
              <w:rPr>
                <w:b/>
                <w:i/>
              </w:rPr>
              <w:t>inklusives und nachhaltiges</w:t>
            </w:r>
            <w:r>
              <w:t xml:space="preserve"> Finanzsystem stützen muss, das mit dem sozialen Zusammenhalt und dem europäischen Grünen Deal im Einklang steht;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begrüßt die Fortschritte, die in den letzten zehn Jahren beim SSM und beim SRM erzielt wurden; fordert eine uneingeschränkte und zügige Vollendung der Bankenunion, einschließlich </w:t>
            </w:r>
            <w:r>
              <w:rPr>
                <w:b/>
                <w:i/>
              </w:rPr>
              <w:t>eines vollwertigen EDIS</w:t>
            </w:r>
            <w:r>
              <w:t>; betont, dass die Bankenunion ein inklusiveres und nachhaltigeres Finanzsystem stützen muss, das mit dem sozialen Zusammenhalt und dem europäischen Grünen Deal im Einklang steht;</w:t>
            </w:r>
          </w:p>
        </w:tc>
        <w:tc>
          <w:tcPr>
            <w:tcW w:w="4876" w:type="dxa"/>
            <w:tcBorders>
              <w:top w:val="nil"/>
              <w:left w:val="nil"/>
              <w:bottom w:val="nil"/>
              <w:right w:val="nil"/>
            </w:tcBorders>
          </w:tcPr>
          <w:p>
            <w:pPr>
              <w:pStyle w:val="Normal6a"/>
            </w:pPr>
            <w:r>
              <w:t>1.</w:t>
            </w:r>
            <w:r>
              <w:tab/>
            </w:r>
            <w:r>
              <w:t xml:space="preserve">begrüßt die Fortschritte, die in den letzten zehn Jahren beim SSM und beim SRM erzielt wurden; fordert eine uneingeschränkte und zügige Vollendung der Bankenunion, einschließlich </w:t>
            </w:r>
            <w:r>
              <w:rPr>
                <w:b/>
                <w:i/>
              </w:rPr>
              <w:t>der Fortsetzung der Arbeit am EDIS, und Maßnahmen zur Vertiefung der Marktintegration und zur Erleichterung des wirksamen Umlaufs von Kapital und Liquidität innerhalb von Bankengruppen</w:t>
            </w:r>
            <w:r>
              <w:t>; betont, dass die Bankenunion ein inklusiveres und nachhaltigeres Finanzsystem stützen muss, das mit dem sozialen Zusammenhalt und dem europäischen Grünen Deal im Einklang steht;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begrüßt die Fortschritte, die in den letzten zehn Jahren beim SSM und beim SRM erzielt wurden; fordert eine uneingeschränkte und zügige Vollendung der Bankenunion, einschließlich eines </w:t>
            </w:r>
            <w:r>
              <w:rPr>
                <w:b/>
                <w:i/>
              </w:rPr>
              <w:t>vollwertigen</w:t>
            </w:r>
            <w:r>
              <w:t xml:space="preserve"> EDIS; betont, dass die Bankenunion ein inklusiveres und nachhaltigeres Finanzsystem stützen muss, das mit dem sozialen Zusammenhalt und dem europäischen Grünen Deal im Einklang steht;</w:t>
            </w:r>
          </w:p>
        </w:tc>
        <w:tc>
          <w:tcPr>
            <w:tcW w:w="4876" w:type="dxa"/>
            <w:tcBorders>
              <w:top w:val="nil"/>
              <w:left w:val="nil"/>
              <w:bottom w:val="nil"/>
              <w:right w:val="nil"/>
            </w:tcBorders>
          </w:tcPr>
          <w:p>
            <w:pPr>
              <w:pStyle w:val="Normal6a"/>
            </w:pPr>
            <w:r>
              <w:t>1.</w:t>
            </w:r>
            <w:r>
              <w:tab/>
            </w:r>
            <w:r>
              <w:t>begrüßt die Fortschritte, die in den letzten zehn Jahren beim SSM und beim SRM erzielt wurden; fordert eine uneingeschränkte und zügige Vollendung der Bankenunion, einschließlich eines EDIS</w:t>
            </w:r>
            <w:r>
              <w:rPr>
                <w:b/>
                <w:i/>
              </w:rPr>
              <w:t>, bei dem den nationalen Besonderheiten Rechnung getragen wird</w:t>
            </w:r>
            <w:r>
              <w:t>; betont, dass die Bankenunion ein inklusiveres und nachhaltigeres Finanzsystem stützen muss, das mit dem sozialen Zusammenhalt und dem europäischen Grünen Deal im Einklang steht;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begrüßt die Fortschritte, die in den letzten zehn Jahren beim SSM und beim SRM erzielt wurden; fordert eine uneingeschränkte und zügige Vollendung der Bankenunion, einschließlich eines vollwertigen EDIS; betont, dass die Bankenunion ein inklusiveres und nachhaltigeres Finanzsystem stützen muss</w:t>
            </w:r>
            <w:r>
              <w:rPr>
                <w:b/>
                <w:i/>
              </w:rPr>
              <w:t>, das mit dem sozialen Zusammenhalt und dem europäischen Grünen Deal im Einklang steht</w:t>
            </w:r>
            <w:r>
              <w:t>;</w:t>
            </w:r>
          </w:p>
        </w:tc>
        <w:tc>
          <w:tcPr>
            <w:tcW w:w="4876" w:type="dxa"/>
            <w:tcBorders>
              <w:top w:val="nil"/>
              <w:left w:val="nil"/>
              <w:bottom w:val="nil"/>
              <w:right w:val="nil"/>
            </w:tcBorders>
          </w:tcPr>
          <w:p>
            <w:pPr>
              <w:pStyle w:val="Normal6a"/>
            </w:pPr>
            <w:r>
              <w:t>1.</w:t>
            </w:r>
            <w:r>
              <w:tab/>
            </w:r>
            <w:r>
              <w:t>begrüßt die Fortschritte, die in den letzten zehn Jahren beim SSM und beim SRM erzielt wurden; fordert eine uneingeschränkte und zügige Vollendung der Bankenunion, einschließlich eines vollwertigen</w:t>
            </w:r>
            <w:r>
              <w:rPr>
                <w:b/>
                <w:i/>
              </w:rPr>
              <w:t>, auf Gegenseitigkeit beruhenden</w:t>
            </w:r>
            <w:r>
              <w:t xml:space="preserve"> EDIS; betont, dass die Bankenunion ein </w:t>
            </w:r>
            <w:r>
              <w:rPr>
                <w:b/>
                <w:i/>
              </w:rPr>
              <w:t>wettbewerbsfähigeres,</w:t>
            </w:r>
            <w:r>
              <w:t xml:space="preserve"> inklusiveres und nachhaltigeres Finanzsystem stützen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begrüßt die Fortschritte, die in den letzten zehn Jahren beim SSM und beim SRM erzielt wurden; fordert eine uneingeschränkte und zügige Vollendung der Bankenunion, einschließlich eines vollwertigen EDIS; betont, dass die Bankenunion ein inklusiveres und nachhaltigeres Finanzsystem stützen muss, das mit dem sozialen Zusammenhalt und </w:t>
            </w:r>
            <w:r>
              <w:rPr>
                <w:b/>
                <w:i/>
              </w:rPr>
              <w:t>dem europäischen Grünen Deal</w:t>
            </w:r>
            <w:r>
              <w:t xml:space="preserve"> im Einklang steht;</w:t>
            </w:r>
          </w:p>
        </w:tc>
        <w:tc>
          <w:tcPr>
            <w:tcW w:w="4876" w:type="dxa"/>
            <w:tcBorders>
              <w:top w:val="nil"/>
              <w:left w:val="nil"/>
              <w:bottom w:val="nil"/>
              <w:right w:val="nil"/>
            </w:tcBorders>
          </w:tcPr>
          <w:p>
            <w:pPr>
              <w:pStyle w:val="Normal6a"/>
            </w:pPr>
            <w:r>
              <w:t>1.</w:t>
            </w:r>
            <w:r>
              <w:tab/>
            </w:r>
            <w:r>
              <w:t xml:space="preserve">begrüßt die Fortschritte, die in den letzten zehn Jahren beim SSM und beim SRM erzielt wurden; fordert eine uneingeschränkte und zügige Vollendung der Bankenunion, einschließlich eines vollwertigen EDIS; betont, dass die Bankenunion ein inklusiveres und nachhaltigeres Finanzsystem stützen muss, das mit dem sozialen Zusammenhalt und </w:t>
            </w:r>
            <w:r>
              <w:rPr>
                <w:b/>
                <w:i/>
              </w:rPr>
              <w:t>der Wettbewerbsfähigkeit</w:t>
            </w:r>
            <w:r>
              <w:t xml:space="preserve"> im Einklang steht;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begrüßt die Fortschritte, die in den letzten zehn Jahren beim SSM und beim SRM erzielt wurden; fordert eine uneingeschränkte und zügige Vollendung der Bankenunion, einschließlich eines vollwertigen EDIS; betont, dass die Bankenunion ein inklusiveres und nachhaltigeres Finanzsystem stützen muss, das mit dem sozialen Zusammenhalt und dem europäischen Grünen Deal im Einklang steht;</w:t>
            </w:r>
          </w:p>
        </w:tc>
        <w:tc>
          <w:tcPr>
            <w:tcW w:w="4876" w:type="dxa"/>
            <w:tcBorders>
              <w:top w:val="nil"/>
              <w:left w:val="nil"/>
              <w:bottom w:val="nil"/>
              <w:right w:val="nil"/>
            </w:tcBorders>
          </w:tcPr>
          <w:p>
            <w:pPr>
              <w:pStyle w:val="Normal6a"/>
            </w:pPr>
            <w:r>
              <w:t>1.</w:t>
            </w:r>
            <w:r>
              <w:tab/>
            </w:r>
            <w:r>
              <w:t>begrüßt die Fortschritte, die in den letzten zehn Jahren beim SSM und beim SRM erzielt wurden; fordert eine uneingeschränkte und zügige Vollendung der Bankenunion, einschließlich eines vollwertigen EDIS</w:t>
            </w:r>
            <w:r>
              <w:rPr>
                <w:b/>
                <w:i/>
              </w:rPr>
              <w:t>, das eine Verlustdeckung bietet</w:t>
            </w:r>
            <w:r>
              <w:t>; betont, dass die Bankenunion ein inklusiveres und nachhaltigeres Finanzsystem stützen muss, das mit dem sozialen Zusammenhalt und dem europäischen Grünen Deal im Einklang steht;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stellt fest, dass eine stärker integrierte Bankenunion dazu beitragen würde, die Widerstandsfähigkeit des EU-Bankensektors zu erhöhen, und den Kunden Vorteile bringen würde;</w:t>
            </w:r>
            <w:r>
              <w:t xml:space="preserve"> </w:t>
            </w:r>
            <w:r>
              <w:rPr>
                <w:b/>
                <w:i/>
              </w:rPr>
              <w:t>stellt in diesem Zusammenhang fest, dass die Probleme und Herausforderungen im Zusammenhang mit der Thematik Herkunftsland/Aufnahmeland angegangen werden müssen, insbesondere durch glaubwürdige Garantien für die Aufnahmeländer, die sich im EU-Recht niederschlagen;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fordert die Kommission auf, vorrangig auf die Vollendung der Bankenunion und der Spar- und Investitionsunion hinzuarbeiten;</w:t>
            </w:r>
            <w:r>
              <w:t xml:space="preserve"> </w:t>
            </w:r>
            <w:r>
              <w:rPr>
                <w:b/>
                <w:i/>
              </w:rPr>
              <w:t>betont, dass diese für die Bürgerinnen und Bürger, für KMU und für die Realwirtschaft von großer Bedeutung sind, da sie zu nachhaltigem Wohlstand, hochwertigen Arbeitsplätzen und Finanzstabilität beitragen;</w:t>
            </w:r>
            <w:r>
              <w:t xml:space="preserve"> </w:t>
            </w:r>
            <w:r>
              <w:rPr>
                <w:b/>
                <w:i/>
              </w:rPr>
              <w:t>betont, dass es eines starken solidarischen Rahmens bedarf, mit dem Anstürme auf Banken verhindert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fordert die</w:t>
            </w:r>
            <w:r>
              <w:t xml:space="preserve"> Kommission </w:t>
            </w:r>
            <w:r>
              <w:rPr>
                <w:b/>
                <w:i/>
              </w:rPr>
              <w:t>auf, vorrangig auf die Vollendung der Bankenunion und</w:t>
            </w:r>
            <w:r>
              <w:t xml:space="preserve"> der Spar- und Investitionsunion </w:t>
            </w:r>
            <w:r>
              <w:rPr>
                <w:b/>
                <w:i/>
              </w:rPr>
              <w:t>hinzuarbeiten;</w:t>
            </w:r>
            <w:r>
              <w:t xml:space="preserve"> </w:t>
            </w:r>
            <w:r>
              <w:rPr>
                <w:b/>
                <w:i/>
              </w:rPr>
              <w:t>betont, dass diese für die Bürgerinnen und Bürger, für KMU und für die Realwirtschaft von großer Bedeutung sind, da sie zu nachhaltigem Wohlstand, hochwertigen Arbeitsplätzen und Finanzstabilität beitragen;</w:t>
            </w:r>
            <w:r>
              <w:t xml:space="preserve"> </w:t>
            </w:r>
            <w:r>
              <w:rPr>
                <w:b/>
                <w:i/>
              </w:rPr>
              <w:t>betont, dass es eines starken solidarischen Rahmens bedarf, mit dem Anstürme auf Banken verhindert</w:t>
            </w:r>
            <w:r>
              <w:t xml:space="preserve"> werden;</w:t>
            </w:r>
          </w:p>
        </w:tc>
        <w:tc>
          <w:tcPr>
            <w:tcW w:w="4876" w:type="dxa"/>
            <w:tcBorders>
              <w:top w:val="nil"/>
              <w:left w:val="nil"/>
              <w:bottom w:val="nil"/>
              <w:right w:val="nil"/>
            </w:tcBorders>
          </w:tcPr>
          <w:p>
            <w:pPr>
              <w:pStyle w:val="Normal6a"/>
            </w:pPr>
            <w:r>
              <w:t>2.</w:t>
            </w:r>
            <w:r>
              <w:tab/>
            </w:r>
            <w:r>
              <w:rPr>
                <w:b/>
                <w:i/>
              </w:rPr>
              <w:t>nimmt die Vorschläge der</w:t>
            </w:r>
            <w:r>
              <w:t xml:space="preserve"> Kommission </w:t>
            </w:r>
            <w:r>
              <w:rPr>
                <w:b/>
                <w:i/>
              </w:rPr>
              <w:t>zur Spar- und Investitionsunion zur Kenntnis;</w:t>
            </w:r>
            <w:r>
              <w:t xml:space="preserve"> </w:t>
            </w:r>
            <w:r>
              <w:rPr>
                <w:b/>
                <w:i/>
              </w:rPr>
              <w:t>stellt fest, dass die derzeitige Gestaltung</w:t>
            </w:r>
            <w:r>
              <w:t xml:space="preserve"> der Spar- und Investitionsunion </w:t>
            </w:r>
            <w:r>
              <w:rPr>
                <w:b/>
                <w:i/>
              </w:rPr>
              <w:t>die Gefahr birgt, dass Ersparnisse ohne angemessenen Anlegerschutz oder klare Marktanreize in Risikokapitalmärkte umgelenkt</w:t>
            </w:r>
            <w:r>
              <w:t xml:space="preserve"> werden; </w:t>
            </w:r>
            <w:r>
              <w:rPr>
                <w:b/>
                <w:i/>
              </w:rPr>
              <w:t>weist darauf hin, dass eine solche zentrale Planung die Allokation von Ersparnissen verzerren und Kleinanleger Volatilität aussetzen kann, wenn es keine robusten Sicherheitsmechanismen gibt;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fordert die Kommission auf, vorrangig auf die </w:t>
            </w:r>
            <w:r>
              <w:rPr>
                <w:b/>
                <w:i/>
              </w:rPr>
              <w:t>Vollendung</w:t>
            </w:r>
            <w:r>
              <w:t xml:space="preserve"> der Bankenunion und der Spar- und Investitionsunion hinzuarbeiten; betont, dass diese für die Bürgerinnen und Bürger, für KMU und für die Realwirtschaft von großer Bedeutung sind, da sie zu nachhaltigem Wohlstand, hochwertigen Arbeitsplätzen und Finanzstabilität beitragen; </w:t>
            </w:r>
            <w:r>
              <w:rPr>
                <w:b/>
                <w:i/>
              </w:rPr>
              <w:t>betont, dass es eines starken solidarischen Rahmens bedarf, mit dem Anstürme auf Banken verhindert werden;</w:t>
            </w:r>
          </w:p>
        </w:tc>
        <w:tc>
          <w:tcPr>
            <w:tcW w:w="4876" w:type="dxa"/>
            <w:tcBorders>
              <w:top w:val="nil"/>
              <w:left w:val="nil"/>
              <w:bottom w:val="nil"/>
              <w:right w:val="nil"/>
            </w:tcBorders>
          </w:tcPr>
          <w:p>
            <w:pPr>
              <w:pStyle w:val="Normal6a"/>
            </w:pPr>
            <w:r>
              <w:t>2.</w:t>
            </w:r>
            <w:r>
              <w:tab/>
            </w:r>
            <w:r>
              <w:t xml:space="preserve">fordert die Kommission auf, vorrangig auf die </w:t>
            </w:r>
            <w:r>
              <w:rPr>
                <w:b/>
                <w:i/>
              </w:rPr>
              <w:t>Weiterentwicklung</w:t>
            </w:r>
            <w:r>
              <w:t xml:space="preserve"> der Bankenunion und der Spar- und Investitionsunion hinzuarbeiten; betont, dass diese für die Bürgerinnen und Bürger, für KMU und für die Realwirtschaft von großer Bedeutung sind, da sie zu nachhaltigem Wohlstand, hochwertigen Arbeitsplätzen und Finanzstabilität beitragen;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fordert die Kommission auf, vorrangig auf die Vollendung der Bankenunion und der Spar- und Investitionsunion hinzuarbeiten; betont, dass diese für die Bürgerinnen und Bürger, für KMU und für die </w:t>
            </w:r>
            <w:r>
              <w:rPr>
                <w:b/>
                <w:i/>
              </w:rPr>
              <w:t>Realwirtschaft</w:t>
            </w:r>
            <w:r>
              <w:t xml:space="preserve"> von großer Bedeutung sind, da sie zu </w:t>
            </w:r>
            <w:r>
              <w:rPr>
                <w:b/>
                <w:i/>
              </w:rPr>
              <w:t>nachhaltigem</w:t>
            </w:r>
            <w:r>
              <w:t xml:space="preserve"> Wohlstand, hochwertigen Arbeitsplätzen und Finanzstabilität beitragen; betont, dass es eines starken </w:t>
            </w:r>
            <w:r>
              <w:rPr>
                <w:b/>
                <w:i/>
              </w:rPr>
              <w:t>solidarischen</w:t>
            </w:r>
            <w:r>
              <w:t xml:space="preserve"> Rahmens bedarf, </w:t>
            </w:r>
            <w:r>
              <w:rPr>
                <w:b/>
                <w:i/>
              </w:rPr>
              <w:t>mit dem Anstürme auf Banken</w:t>
            </w:r>
            <w:r>
              <w:t xml:space="preserve"> verhindert </w:t>
            </w:r>
            <w:r>
              <w:rPr>
                <w:b/>
                <w:i/>
              </w:rPr>
              <w:t>werden</w:t>
            </w:r>
            <w:r>
              <w:t>;</w:t>
            </w:r>
          </w:p>
        </w:tc>
        <w:tc>
          <w:tcPr>
            <w:tcW w:w="4876" w:type="dxa"/>
            <w:tcBorders>
              <w:top w:val="nil"/>
              <w:left w:val="nil"/>
              <w:bottom w:val="nil"/>
              <w:right w:val="nil"/>
            </w:tcBorders>
          </w:tcPr>
          <w:p>
            <w:pPr>
              <w:pStyle w:val="Normal6a"/>
            </w:pPr>
            <w:r>
              <w:t>2.</w:t>
            </w:r>
            <w:r>
              <w:tab/>
            </w:r>
            <w:r>
              <w:t>fordert die Kommission auf, vorrangig auf die Vollendung der Bankenunion und der Spar- und Investitionsunion hinzuarbeiten</w:t>
            </w:r>
            <w:r>
              <w:rPr>
                <w:b/>
                <w:i/>
              </w:rPr>
              <w:t>, da es sich hierbei um wesentliche Instrumente zur Lenkung von Ersparnissen in Richtung Investitionen handelt</w:t>
            </w:r>
            <w:r>
              <w:t xml:space="preserve">; betont, dass diese für die Bürgerinnen und Bürger, für KMU und für die </w:t>
            </w:r>
            <w:r>
              <w:rPr>
                <w:b/>
                <w:i/>
              </w:rPr>
              <w:t>Wirtschaft</w:t>
            </w:r>
            <w:r>
              <w:t xml:space="preserve"> von großer Bedeutung sind, da sie zu Wohlstand, hochwertigen Arbeitsplätzen und Finanzstabilität beitragen; betont, dass es eines starken Rahmens bedarf, </w:t>
            </w:r>
            <w:r>
              <w:rPr>
                <w:b/>
                <w:i/>
              </w:rPr>
              <w:t>der auf klaren Regeln und wirksamen Mechanismen beruht, mit denen das Vertrauen der Einleger gestärkt und</w:t>
            </w:r>
            <w:r>
              <w:t xml:space="preserve"> verhindert </w:t>
            </w:r>
            <w:r>
              <w:rPr>
                <w:b/>
                <w:i/>
              </w:rPr>
              <w:t>wird, dass es zu Anstürmen auf Banken kommt</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fordert die Kommission auf, vorrangig auf die Vollendung der Bankenunion und der Spar- und Investitionsunion hinzuarbeiten; betont, dass diese für die Bürgerinnen und Bürger, für KMU und für die Realwirtschaft von großer Bedeutung sind, da sie zu nachhaltigem Wohlstand, hochwertigen Arbeitsplätzen und Finanzstabilität beitragen; betont, dass es eines starken </w:t>
            </w:r>
            <w:r>
              <w:rPr>
                <w:b/>
                <w:i/>
              </w:rPr>
              <w:t>solidarischen</w:t>
            </w:r>
            <w:r>
              <w:t xml:space="preserve"> Rahmens bedarf, </w:t>
            </w:r>
            <w:r>
              <w:rPr>
                <w:b/>
                <w:i/>
              </w:rPr>
              <w:t>mit dem</w:t>
            </w:r>
            <w:r>
              <w:t xml:space="preserve"> Anstürme auf Banken </w:t>
            </w:r>
            <w:r>
              <w:rPr>
                <w:b/>
                <w:i/>
              </w:rPr>
              <w:t>verhindert werden</w:t>
            </w:r>
            <w:r>
              <w:t>;</w:t>
            </w:r>
          </w:p>
        </w:tc>
        <w:tc>
          <w:tcPr>
            <w:tcW w:w="4876" w:type="dxa"/>
            <w:tcBorders>
              <w:top w:val="nil"/>
              <w:left w:val="nil"/>
              <w:bottom w:val="nil"/>
              <w:right w:val="nil"/>
            </w:tcBorders>
          </w:tcPr>
          <w:p>
            <w:pPr>
              <w:pStyle w:val="Normal6a"/>
            </w:pPr>
            <w:r>
              <w:t>2.</w:t>
            </w:r>
            <w:r>
              <w:tab/>
            </w:r>
            <w:r>
              <w:t xml:space="preserve">fordert die Kommission auf, vorrangig auf die Vollendung der Bankenunion und der Spar- und Investitionsunion hinzuarbeiten; betont, dass diese für die Bürgerinnen und Bürger, für KMU und für die Realwirtschaft von großer Bedeutung sind, da sie zu nachhaltigem Wohlstand, hochwertigen Arbeitsplätzen und Finanzstabilität beitragen; betont, dass </w:t>
            </w:r>
            <w:r>
              <w:rPr>
                <w:b/>
                <w:i/>
              </w:rPr>
              <w:t>eine stärker integrierte Bankenunion das Wachstum und die Wettbewerbsfähigkeit der europäischen Banken fördern würde;</w:t>
            </w:r>
            <w:r>
              <w:t xml:space="preserve"> </w:t>
            </w:r>
            <w:r>
              <w:rPr>
                <w:b/>
                <w:i/>
              </w:rPr>
              <w:t>betont, dass</w:t>
            </w:r>
            <w:r>
              <w:t xml:space="preserve"> es eines starken Rahmens bedarf, </w:t>
            </w:r>
            <w:r>
              <w:rPr>
                <w:b/>
                <w:i/>
              </w:rPr>
              <w:t>um</w:t>
            </w:r>
            <w:r>
              <w:t xml:space="preserve"> Anstürme auf Banken </w:t>
            </w:r>
            <w:r>
              <w:rPr>
                <w:b/>
                <w:i/>
              </w:rPr>
              <w:t>zu verhindern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fordert die Kommission auf, vorrangig auf die Vollendung der Bankenunion und der Spar- und Investitionsunion hinzuarbeiten; betont, dass diese für die Bürgerinnen und Bürger, für KMU und für die Realwirtschaft von großer Bedeutung sind, da sie zu nachhaltigem Wohlstand, hochwertigen Arbeitsplätzen und Finanzstabilität beitragen; betont, dass es eines starken </w:t>
            </w:r>
            <w:r>
              <w:rPr>
                <w:b/>
                <w:i/>
              </w:rPr>
              <w:t>solidarischen</w:t>
            </w:r>
            <w:r>
              <w:t xml:space="preserve"> Rahmens bedarf, </w:t>
            </w:r>
            <w:r>
              <w:rPr>
                <w:b/>
                <w:i/>
              </w:rPr>
              <w:t>mit dem</w:t>
            </w:r>
            <w:r>
              <w:t xml:space="preserve"> Anstürme auf Banken verhindert </w:t>
            </w:r>
            <w:r>
              <w:rPr>
                <w:b/>
                <w:i/>
              </w:rPr>
              <w:t>werden</w:t>
            </w:r>
            <w:r>
              <w:t>;</w:t>
            </w:r>
          </w:p>
        </w:tc>
        <w:tc>
          <w:tcPr>
            <w:tcW w:w="4876" w:type="dxa"/>
            <w:tcBorders>
              <w:top w:val="nil"/>
              <w:left w:val="nil"/>
              <w:bottom w:val="nil"/>
              <w:right w:val="nil"/>
            </w:tcBorders>
          </w:tcPr>
          <w:p>
            <w:pPr>
              <w:pStyle w:val="Normal6a"/>
            </w:pPr>
            <w:r>
              <w:t>2.</w:t>
            </w:r>
            <w:r>
              <w:tab/>
            </w:r>
            <w:r>
              <w:t xml:space="preserve">fordert die Kommission auf, vorrangig auf die Vollendung der Bankenunion und der Spar- und Investitionsunion hinzuarbeiten; betont, dass diese für die Bürgerinnen und Bürger, für KMU und für die Realwirtschaft von großer Bedeutung sind, da sie zu nachhaltigem Wohlstand, hochwertigen Arbeitsplätzen und Finanzstabilität beitragen; betont, dass es eines starken </w:t>
            </w:r>
            <w:r>
              <w:rPr>
                <w:b/>
                <w:i/>
              </w:rPr>
              <w:t>und soliden</w:t>
            </w:r>
            <w:r>
              <w:t xml:space="preserve"> Rahmens bedarf, </w:t>
            </w:r>
            <w:r>
              <w:rPr>
                <w:b/>
                <w:i/>
              </w:rPr>
              <w:t>der auf klaren Regeln und Verpflichtungen beruht und</w:t>
            </w:r>
            <w:r>
              <w:t xml:space="preserve"> Anstürme auf Banken verhindert</w:t>
            </w:r>
            <w:r>
              <w:rPr>
                <w:b/>
                <w:i/>
              </w:rPr>
              <w:t>, die Finanzstabilität und Wettbewerbsfähigkeit verbessert und den Bankensektor der EU stärkt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fordert die Kommission auf, vorrangig auf die Vollendung der Bankenunion </w:t>
            </w:r>
            <w:r>
              <w:rPr>
                <w:b/>
                <w:i/>
              </w:rPr>
              <w:t>und</w:t>
            </w:r>
            <w:r>
              <w:t xml:space="preserve"> der Spar- und Investitionsunion hinzuarbeiten; betont, dass diese für die Bürgerinnen und Bürger, für KMU und für die Realwirtschaft von großer Bedeutung sind, da sie zu nachhaltigem Wohlstand, hochwertigen Arbeitsplätzen und Finanzstabilität beitragen; betont, dass es eines starken solidarischen Rahmens bedarf, mit dem Anstürme auf Banken verhindert werden;</w:t>
            </w:r>
          </w:p>
        </w:tc>
        <w:tc>
          <w:tcPr>
            <w:tcW w:w="4876" w:type="dxa"/>
            <w:tcBorders>
              <w:top w:val="nil"/>
              <w:left w:val="nil"/>
              <w:bottom w:val="nil"/>
              <w:right w:val="nil"/>
            </w:tcBorders>
          </w:tcPr>
          <w:p>
            <w:pPr>
              <w:pStyle w:val="Normal6a"/>
            </w:pPr>
            <w:r>
              <w:t>2.</w:t>
            </w:r>
            <w:r>
              <w:tab/>
            </w:r>
            <w:r>
              <w:t xml:space="preserve">fordert die Kommission auf, vorrangig auf die Vollendung der Bankenunion </w:t>
            </w:r>
            <w:r>
              <w:rPr>
                <w:b/>
                <w:i/>
              </w:rPr>
              <w:t>als Teil</w:t>
            </w:r>
            <w:r>
              <w:t xml:space="preserve"> der Spar- und Investitionsunion hinzuarbeiten; betont, dass diese für die Bürgerinnen und Bürger, für KMU und für die Realwirtschaft von großer Bedeutung sind, da sie zu nachhaltigem Wohlstand, hochwertigen Arbeitsplätzen und Finanzstabilität beitragen; betont, dass es eines starken solidarischen Rahmens bedarf, mit dem Anstürme auf Banken verhindert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fordert die Kommission auf, vorrangig auf die Vollendung der Bankenunion und der Spar- und Investitionsunion hinzuarbeiten; betont, dass diese für die Bürgerinnen und Bürger, für KMU und für die Realwirtschaft von großer Bedeutung sind, da sie zu nachhaltigem Wohlstand, hochwertigen Arbeitsplätzen und Finanzstabilität beitragen; betont, dass es eines starken solidarischen Rahmens bedarf, mit dem Anstürme auf Banken verhindert werden;</w:t>
            </w:r>
          </w:p>
        </w:tc>
        <w:tc>
          <w:tcPr>
            <w:tcW w:w="4876" w:type="dxa"/>
            <w:tcBorders>
              <w:top w:val="nil"/>
              <w:left w:val="nil"/>
              <w:bottom w:val="nil"/>
              <w:right w:val="nil"/>
            </w:tcBorders>
          </w:tcPr>
          <w:p>
            <w:pPr>
              <w:pStyle w:val="Normal6a"/>
            </w:pPr>
            <w:r>
              <w:t>2.</w:t>
            </w:r>
            <w:r>
              <w:tab/>
            </w:r>
            <w:r>
              <w:t xml:space="preserve">fordert die Kommission auf, vorrangig auf die Vollendung der Bankenunion und der Spar- und Investitionsunion hinzuarbeiten; betont, dass diese für die Bürgerinnen und Bürger, für KMU und für die Realwirtschaft von großer Bedeutung sind, da sie zu </w:t>
            </w:r>
            <w:r>
              <w:rPr>
                <w:b/>
                <w:i/>
              </w:rPr>
              <w:t>Resilienz, Wettbewerbsfähigkeit,</w:t>
            </w:r>
            <w:r>
              <w:t xml:space="preserve"> nachhaltigem Wohlstand, hochwertigen Arbeitsplätzen und Finanzstabilität beitragen; betont, dass es eines starken solidarischen Rahmens bedarf, mit dem Anstürme auf Banken verhindert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fordert die Kommission auf, vorrangig auf die Vollendung der Bankenunion und der Spar- und Investitionsunion hinzuarbeiten; betont, dass diese für die Bürgerinnen und Bürger, für KMU und für die Realwirtschaft von großer Bedeutung sind, da sie zu nachhaltigem Wohlstand, hochwertigen Arbeitsplätzen und Finanzstabilität beitragen; betont, dass es eines starken solidarischen Rahmens bedarf, mit dem Anstürme auf Banken verhindert werden;</w:t>
            </w:r>
          </w:p>
        </w:tc>
        <w:tc>
          <w:tcPr>
            <w:tcW w:w="4876" w:type="dxa"/>
            <w:tcBorders>
              <w:top w:val="nil"/>
              <w:left w:val="nil"/>
              <w:bottom w:val="nil"/>
              <w:right w:val="nil"/>
            </w:tcBorders>
          </w:tcPr>
          <w:p>
            <w:pPr>
              <w:pStyle w:val="Normal6a"/>
            </w:pPr>
            <w:r>
              <w:t>2.</w:t>
            </w:r>
            <w:r>
              <w:tab/>
            </w:r>
            <w:r>
              <w:t xml:space="preserve">fordert die Kommission auf, vorrangig auf die Vollendung der Bankenunion und der Spar- und Investitionsunion hinzuarbeiten; betont, dass diese für die Bürgerinnen und Bürger, für KMU und für die Realwirtschaft von großer Bedeutung sind, da sie zu nachhaltigem Wohlstand, hochwertigen Arbeitsplätzen und Finanzstabilität beitragen; betont, dass es eines starken solidarischen Rahmens bedarf, mit dem Anstürme auf Banken verhindert werden; </w:t>
            </w:r>
            <w:r>
              <w:rPr>
                <w:b/>
                <w:i/>
              </w:rPr>
              <w:t>hebt hervor, dass die Vollendung der Kapitalmarktunion neben der Entwicklung der Bankenunion bessere Bedingungen für die Finanzierung der europäischen Wirtschaft schaffen wird, und zwar sowohl für Haushalte als auch für Unternehmen, die immer noch weitgehend auf Bankkredite angewiesen sind, um Investitionen und die Schaffung von Arbeitsplätzen zu fördern, und gleichzeitig zur Widerstandsfähigkeit der europäischen Wirtschaft beitragen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betont, dass die Zinssätze, die privaten Haushalten und KMU in den Mitgliedstaaten angeboten werden, stark voneinander abweichen;</w:t>
            </w:r>
            <w:r>
              <w:t xml:space="preserve"> </w:t>
            </w:r>
            <w:r>
              <w:rPr>
                <w:b/>
                <w:i/>
              </w:rPr>
              <w:t>fordert die Kommission und die Bankenaufsichtsbehörden nachdrücklich auf, Maßnahmen in Erwägung zu ziehen, mit denen sichergestellt wird, dass alle Bürgerinnen und Bürger und Unternehmen zu fairen und wettbewerbsfähigen Zinssätzen Zugang zu dringend benötigtem Kapital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betont, dass dem Bankensektor bei der Finanzierung des Übergangs zu einer CO2-neutralen Wirtschaft eine entscheidende Rolle zukommt;</w:t>
            </w:r>
            <w:r>
              <w:t xml:space="preserve"> </w:t>
            </w:r>
            <w:r>
              <w:rPr>
                <w:b/>
                <w:i/>
              </w:rPr>
              <w:t>fordert strengere aufsichtsrechtliche Leitlinien, um Finanzinstitute an den Klimazielen der EU auszurichten;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betont, dass dem Bankensektor bei der Finanzierung des Übergangs zu einer CO2-neutralen Wirtschaft eine entscheidende Rolle zukommt;</w:t>
            </w:r>
            <w:r>
              <w:t xml:space="preserve"> </w:t>
            </w:r>
            <w:r>
              <w:rPr>
                <w:b/>
                <w:i/>
              </w:rPr>
              <w:t>fordert strengere aufsichtsrechtliche Leitlinien, um Finanzinstitute an den Klimazielen der EU auszurichten;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betont, dass dem Bankensektor bei der Finanzierung des Übergangs zu einer CO2-neutralen Wirtschaft eine entscheidende Rolle zukommt;</w:t>
            </w:r>
            <w:r>
              <w:t xml:space="preserve"> </w:t>
            </w:r>
            <w:r>
              <w:rPr>
                <w:b/>
                <w:i/>
              </w:rPr>
              <w:t>fordert strengere aufsichtsrechtliche Leitlinien, um Finanzinstitute an den Klimazielen der EU auszurichten;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betont, dass dem Bankensektor bei der Finanzierung des Übergangs zu einer CO2-neutralen Wirtschaft eine entscheidende Rolle zukommt;</w:t>
            </w:r>
            <w:r>
              <w:t xml:space="preserve"> </w:t>
            </w:r>
            <w:r>
              <w:rPr>
                <w:b/>
                <w:i/>
              </w:rPr>
              <w:t>fordert strengere aufsichtsrechtliche Leitlinien, um Finanzinstitute an den Klimazielen der EU auszurichten;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betont, dass dem Bankensektor bei der Finanzierung des </w:t>
            </w:r>
            <w:r>
              <w:rPr>
                <w:b/>
                <w:i/>
              </w:rPr>
              <w:t>Übergangs zu einer CO2-neutralen Wirtschaft</w:t>
            </w:r>
            <w:r>
              <w:t xml:space="preserve"> eine entscheidende Rolle zukommt; </w:t>
            </w:r>
            <w:r>
              <w:rPr>
                <w:b/>
                <w:i/>
              </w:rPr>
              <w:t>fordert strengere aufsichtsrechtliche Leitlinien, um Finanzinstitute an den Klimazielen der EU auszurichten;</w:t>
            </w:r>
          </w:p>
        </w:tc>
        <w:tc>
          <w:tcPr>
            <w:tcW w:w="4876" w:type="dxa"/>
            <w:tcBorders>
              <w:top w:val="nil"/>
              <w:left w:val="nil"/>
              <w:bottom w:val="nil"/>
              <w:right w:val="nil"/>
            </w:tcBorders>
          </w:tcPr>
          <w:p>
            <w:pPr>
              <w:pStyle w:val="Normal6a"/>
            </w:pPr>
            <w:r>
              <w:t>3.</w:t>
            </w:r>
            <w:r>
              <w:tab/>
            </w:r>
            <w:r>
              <w:t xml:space="preserve">betont, dass dem Bankensektor bei der Finanzierung des </w:t>
            </w:r>
            <w:r>
              <w:rPr>
                <w:b/>
                <w:i/>
              </w:rPr>
              <w:t>digitalen Wandels</w:t>
            </w:r>
            <w:r>
              <w:t xml:space="preserve"> eine entscheidende Rolle zukommt;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betont, dass </w:t>
            </w:r>
            <w:r>
              <w:rPr>
                <w:b/>
                <w:i/>
              </w:rPr>
              <w:t>dem Bankensektor bei der Finanzierung des Übergangs zu einer CO2-neutralen Wirtschaft eine entscheidende Rolle zukommt;</w:t>
            </w:r>
            <w:r>
              <w:t xml:space="preserve"> </w:t>
            </w:r>
            <w:r>
              <w:rPr>
                <w:b/>
                <w:i/>
              </w:rPr>
              <w:t>fordert strengere aufsichtsrechtliche Leitlinien, um Finanzinstitute an den Klimazielen der EU auszurichten</w:t>
            </w:r>
            <w:r>
              <w:t>;</w:t>
            </w:r>
          </w:p>
        </w:tc>
        <w:tc>
          <w:tcPr>
            <w:tcW w:w="4876" w:type="dxa"/>
            <w:tcBorders>
              <w:top w:val="nil"/>
              <w:left w:val="nil"/>
              <w:bottom w:val="nil"/>
              <w:right w:val="nil"/>
            </w:tcBorders>
          </w:tcPr>
          <w:p>
            <w:pPr>
              <w:pStyle w:val="Normal6a"/>
            </w:pPr>
            <w:r>
              <w:t>3.</w:t>
            </w:r>
            <w:r>
              <w:tab/>
            </w:r>
            <w:r>
              <w:t xml:space="preserve">betont, dass </w:t>
            </w:r>
            <w:r>
              <w:rPr>
                <w:b/>
                <w:i/>
              </w:rPr>
              <w:t>eine grüne Finanzgesetzgebung die Kreditwürdigkeit, traditionelle Risikobewertungen oder Preisfindungsmechanismen, die soliden Kreditvergabeentscheidungen zugrunde liegen, nicht verdrängen sollte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betont, dass dem Bankensektor bei der Finanzierung des </w:t>
            </w:r>
            <w:r>
              <w:rPr>
                <w:b/>
                <w:i/>
              </w:rPr>
              <w:t>Übergangs zu einer CO2-neutralen Wirtschaft</w:t>
            </w:r>
            <w:r>
              <w:t xml:space="preserve"> eine entscheidende Rolle zukommt; </w:t>
            </w:r>
            <w:r>
              <w:rPr>
                <w:b/>
                <w:i/>
              </w:rPr>
              <w:t>fordert strengere aufsichtsrechtliche Leitlinien, um Finanzinstitute an den Klimazielen der EU auszurichten</w:t>
            </w:r>
            <w:r>
              <w:t>;</w:t>
            </w:r>
          </w:p>
        </w:tc>
        <w:tc>
          <w:tcPr>
            <w:tcW w:w="4876" w:type="dxa"/>
            <w:tcBorders>
              <w:top w:val="nil"/>
              <w:left w:val="nil"/>
              <w:bottom w:val="nil"/>
              <w:right w:val="nil"/>
            </w:tcBorders>
          </w:tcPr>
          <w:p>
            <w:pPr>
              <w:pStyle w:val="Normal6a"/>
            </w:pPr>
            <w:r>
              <w:t>3.</w:t>
            </w:r>
            <w:r>
              <w:tab/>
            </w:r>
            <w:r>
              <w:t>betont, dass dem Bankensektor bei der Finanzierung des </w:t>
            </w:r>
            <w:r>
              <w:rPr>
                <w:b/>
                <w:i/>
              </w:rPr>
              <w:t>grünen und des digitalen Wandels</w:t>
            </w:r>
            <w:r>
              <w:t xml:space="preserve"> eine entscheidende Rolle zukommt; </w:t>
            </w:r>
            <w:r>
              <w:rPr>
                <w:b/>
                <w:i/>
              </w:rPr>
              <w:t>betont, dass der EU-Rahmen für ein nachhaltiges Finanzwesen vereinfacht werden muss, um Kohärenz zu gewährleisten, Doppelarbeit zu verringern und die Verpflichtungen in Bezug auf Banken-, Offenlegungs- und Risikomanagementvorschriften anzugleichen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betont, dass dem Bankensektor bei der Finanzierung des </w:t>
            </w:r>
            <w:r>
              <w:rPr>
                <w:b/>
                <w:i/>
              </w:rPr>
              <w:t>Übergangs zu einer CO2-neutralen Wirtschaft</w:t>
            </w:r>
            <w:r>
              <w:t xml:space="preserve"> eine entscheidende Rolle zukommt; </w:t>
            </w:r>
            <w:r>
              <w:rPr>
                <w:b/>
                <w:i/>
              </w:rPr>
              <w:t>fordert strengere aufsichtsrechtliche Leitlinien, um Finanzinstitute an den Klimazielen der EU auszurichten;</w:t>
            </w:r>
          </w:p>
        </w:tc>
        <w:tc>
          <w:tcPr>
            <w:tcW w:w="4876" w:type="dxa"/>
            <w:tcBorders>
              <w:top w:val="nil"/>
              <w:left w:val="nil"/>
              <w:bottom w:val="nil"/>
              <w:right w:val="nil"/>
            </w:tcBorders>
          </w:tcPr>
          <w:p>
            <w:pPr>
              <w:pStyle w:val="Normal6a"/>
            </w:pPr>
            <w:r>
              <w:t>3.</w:t>
            </w:r>
            <w:r>
              <w:tab/>
            </w:r>
            <w:r>
              <w:t>betont, dass dem Bankensektor bei der Finanzierung des </w:t>
            </w:r>
            <w:r>
              <w:rPr>
                <w:b/>
                <w:i/>
              </w:rPr>
              <w:t>grünen und des digitalen Wandels</w:t>
            </w:r>
            <w:r>
              <w:t> eine entscheidende Rolle zukommt;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betont, dass dem Bankensektor</w:t>
            </w:r>
            <w:r>
              <w:t xml:space="preserve"> bei der </w:t>
            </w:r>
            <w:r>
              <w:rPr>
                <w:b/>
                <w:i/>
              </w:rPr>
              <w:t>Finanzierung des Übergangs</w:t>
            </w:r>
            <w:r>
              <w:t xml:space="preserve"> zu einer </w:t>
            </w:r>
            <w:r>
              <w:rPr>
                <w:b/>
                <w:i/>
              </w:rPr>
              <w:t>CO2-neutralen</w:t>
            </w:r>
            <w:r>
              <w:t xml:space="preserve"> Wirtschaft </w:t>
            </w:r>
            <w:r>
              <w:rPr>
                <w:b/>
                <w:i/>
              </w:rPr>
              <w:t>eine entscheidende Rolle zukommt</w:t>
            </w:r>
            <w:r>
              <w:t xml:space="preserve">; fordert strengere aufsichtsrechtliche Leitlinien, um Finanzinstitute </w:t>
            </w:r>
            <w:r>
              <w:rPr>
                <w:b/>
                <w:i/>
              </w:rPr>
              <w:t>an den Klimazielen</w:t>
            </w:r>
            <w:r>
              <w:t xml:space="preserve"> der EU auszurichten;</w:t>
            </w:r>
          </w:p>
        </w:tc>
        <w:tc>
          <w:tcPr>
            <w:tcW w:w="4876" w:type="dxa"/>
            <w:tcBorders>
              <w:top w:val="nil"/>
              <w:left w:val="nil"/>
              <w:bottom w:val="nil"/>
              <w:right w:val="nil"/>
            </w:tcBorders>
          </w:tcPr>
          <w:p>
            <w:pPr>
              <w:pStyle w:val="Normal6a"/>
            </w:pPr>
            <w:r>
              <w:t>3.</w:t>
            </w:r>
            <w:r>
              <w:tab/>
            </w:r>
            <w:r>
              <w:rPr>
                <w:b/>
                <w:i/>
              </w:rPr>
              <w:t>erkennt die Rolle des Bankensektors</w:t>
            </w:r>
            <w:r>
              <w:t xml:space="preserve"> bei der </w:t>
            </w:r>
            <w:r>
              <w:rPr>
                <w:b/>
                <w:i/>
              </w:rPr>
              <w:t>Unterstützung des Finanzierungsbedarfs der Realwirtschaft an, einschließlich Investitionen im Zusammenhang mit dem Übergang</w:t>
            </w:r>
            <w:r>
              <w:t xml:space="preserve"> zu einer </w:t>
            </w:r>
            <w:r>
              <w:rPr>
                <w:b/>
                <w:i/>
              </w:rPr>
              <w:t>wettbewerbsfähigeren</w:t>
            </w:r>
            <w:r>
              <w:t xml:space="preserve"> Wirtschaft; fordert strengere aufsichtsrechtliche Leitlinien, um Finanzinstitute </w:t>
            </w:r>
            <w:r>
              <w:rPr>
                <w:b/>
                <w:i/>
              </w:rPr>
              <w:t>auf die Agenda für wirtschaftliche Wettbewerbsfähigkeit</w:t>
            </w:r>
            <w:r>
              <w:t xml:space="preserve"> der EU auszurichten; </w:t>
            </w:r>
            <w:r>
              <w:rPr>
                <w:b/>
                <w:i/>
              </w:rPr>
              <w:t>betont, dass Aufsichtsmaßnahmen im Bereich der Nachhaltigkeit weiterhin eindeutig auf einem risikobasierten Ansatz basieren und im Aufsichtsmandat verankert sein sollten, wobei der Schwerpunkt auf der Ermittlung, der Bewertung und dem Management wesentlicher klimabezogener finanzieller Risiken liegen sollte, ohne die Marktneutralität oder die vorrangigen Ziele der Finanzstabilität und eines soliden Risikomanagements zu untergraben;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betont, dass dem Bankensektor bei der Finanzierung des Übergangs zu einer </w:t>
            </w:r>
            <w:r>
              <w:rPr>
                <w:b/>
                <w:i/>
              </w:rPr>
              <w:t>CO2</w:t>
            </w:r>
            <w:r>
              <w:t>-neutralen Wirtschaft eine entscheidende Rolle zukommt; fordert strengere aufsichtsrechtliche Leitlinien, um Finanzinstitute an den Klimazielen der EU auszurichten;</w:t>
            </w:r>
          </w:p>
        </w:tc>
        <w:tc>
          <w:tcPr>
            <w:tcW w:w="4876" w:type="dxa"/>
            <w:tcBorders>
              <w:top w:val="nil"/>
              <w:left w:val="nil"/>
              <w:bottom w:val="nil"/>
              <w:right w:val="nil"/>
            </w:tcBorders>
          </w:tcPr>
          <w:p>
            <w:pPr>
              <w:pStyle w:val="Normal6a"/>
            </w:pPr>
            <w:r>
              <w:t>3.</w:t>
            </w:r>
            <w:r>
              <w:tab/>
            </w:r>
            <w:r>
              <w:t xml:space="preserve">betont, dass dem Bankensektor bei der Finanzierung des Übergangs zu einer </w:t>
            </w:r>
            <w:r>
              <w:rPr>
                <w:b/>
                <w:i/>
              </w:rPr>
              <w:t>CO</w:t>
            </w:r>
            <w:r>
              <w:rPr>
                <w:b/>
                <w:i/>
                <w:vertAlign w:val="subscript"/>
              </w:rPr>
              <w:t>2</w:t>
            </w:r>
            <w:r>
              <w:t>-neutralen Wirtschaft eine entscheidende Rolle zukommt</w:t>
            </w:r>
            <w:r>
              <w:rPr>
                <w:b/>
                <w:i/>
              </w:rPr>
              <w:t>;</w:t>
            </w:r>
            <w:r>
              <w:t xml:space="preserve"> </w:t>
            </w:r>
            <w:r>
              <w:rPr>
                <w:b/>
                <w:i/>
              </w:rPr>
              <w:t>fordert die Kommission auf, einen Vorschlag zur vollständigen Einbeziehung von Nachhaltigkeitsrisiken in den Aufsichtsrahmen vorzulegen, unter anderem durch die Festlegung höherer Eigenkapitalanforderungen für Risikopositionen gegenüber fossilen Brennstoffen, wie von der Europäischen Aufsichtsbehörde für das Versicherungswesen und die betriebliche Altersversorgung empfohlen</w:t>
            </w:r>
            <w:r>
              <w:t>; fordert strengere aufsichtsrechtliche Leitlinien, um Finanzinstitute an den Klimazielen der EU auszurichten</w:t>
            </w:r>
            <w:r>
              <w:rPr>
                <w:b/>
                <w:i/>
              </w:rPr>
              <w:t>, unter anderem durch Verwendung der Säule-2-Anforderungen</w:t>
            </w:r>
            <w:r>
              <w:t xml:space="preserve">; </w:t>
            </w:r>
            <w:r>
              <w:rPr>
                <w:b/>
                <w:i/>
              </w:rPr>
              <w:t>betont, dass ein glaubwürdiger Taxonomierahmen unerlässlich ist, um diese Ziele zu erreichen;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ist der Auffassung, dass eine integrierte Bankenunion einen gut funktionierenden Binnenmarkt für Finanzdienstleistungen für Privatkunden voraussetzt;</w:t>
            </w:r>
            <w:r>
              <w:t xml:space="preserve"> </w:t>
            </w:r>
            <w:r>
              <w:rPr>
                <w:b/>
                <w:i/>
              </w:rPr>
              <w:t>fordert die Kommission auf, die Hindernisse und Barrieren zu bewerten, die sich für Verbraucher bei der Nutzung von Bankprodukten für Privatkunden – etwa bei Hypothekarkrediten – auf grenzüberschreitender Ebene ergeben, und Lösungen vorzuschlagen, damit Verbraucher grenzüberschreitend Finanzdienstleistungen für Privatkunden in Anspruch nehmen können;</w:t>
            </w:r>
            <w:r>
              <w:t xml:space="preserve"> </w:t>
            </w:r>
            <w:r>
              <w:rPr>
                <w:b/>
                <w:i/>
              </w:rPr>
              <w:t>weist darüber hinaus auf die großen Unterschiede bei den Zinssätzen für Hypothekarkredite in der Union 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hebt hervor, dass der Bankensektor als wichtigster Kreditgeber in der EU eine zentrale Rolle spielt, wenn es darum geht, die wachsende Kluft bei der Wettbewerbsfähigkeit gegenüber anderen Regionen zu schließen;</w:t>
            </w:r>
            <w:r>
              <w:t xml:space="preserve"> </w:t>
            </w:r>
            <w:r>
              <w:rPr>
                <w:b/>
                <w:i/>
              </w:rPr>
              <w:t>weist erneut darauf hin, dass der Bankensektor für die Finanzierung europäischer KMU von großer Bedeutung ist, während die Entwicklung der Kapitalmärkte voranschreitet;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bedauert die nach wie vor bestehenden Hindernisse für grenzüberschreitende Bankdienstleistungen für Privatkunden;</w:t>
            </w:r>
            <w:r>
              <w:t xml:space="preserve"> </w:t>
            </w:r>
            <w:r>
              <w:rPr>
                <w:b/>
                <w:i/>
              </w:rPr>
              <w:t>betont das Potenzial einer integrierten Bankenunion, den Wettbewerb und die Wahlmöglichkeiten der Verbraucher bei Bankdienstleistungen für Privatkunden zu verbessern, unter anderem durch bessere Möglichkeiten für die Erbringung von grenzüberschreitenden Bankdienstleistungen für Privatkunden;</w:t>
            </w:r>
            <w:r>
              <w:t xml:space="preserve"> </w:t>
            </w:r>
            <w:r>
              <w:rPr>
                <w:b/>
                <w:i/>
              </w:rPr>
              <w:t>unterstreicht die Vorteile eines diversifizierten und wettbewerbsfähigen Bankensektors in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begrüßt die Fortschritte beim</w:t>
            </w:r>
            <w:r>
              <w:t xml:space="preserve"> digitalen Euro </w:t>
            </w:r>
            <w:r>
              <w:rPr>
                <w:b/>
                <w:i/>
              </w:rPr>
              <w:t>sowie dessen Potenzial, das Bargeld zu ergänzen und gleichzeitig für eine bessere finanzielle Souveränität und Autonomie der EU zu sorgen</w:t>
            </w:r>
            <w:r>
              <w:t>;</w:t>
            </w:r>
          </w:p>
        </w:tc>
        <w:tc>
          <w:tcPr>
            <w:tcW w:w="4876" w:type="dxa"/>
            <w:tcBorders>
              <w:top w:val="nil"/>
              <w:left w:val="nil"/>
              <w:bottom w:val="nil"/>
              <w:right w:val="nil"/>
            </w:tcBorders>
          </w:tcPr>
          <w:p>
            <w:pPr>
              <w:pStyle w:val="Normal6a"/>
            </w:pPr>
            <w:r>
              <w:t>4.</w:t>
            </w:r>
            <w:r>
              <w:tab/>
            </w:r>
            <w:r>
              <w:rPr>
                <w:b/>
                <w:i/>
              </w:rPr>
              <w:t>bringt seine starke Skepsis hinsichtlich der Auswirkungen des</w:t>
            </w:r>
            <w:r>
              <w:t xml:space="preserve"> digitalen Euro </w:t>
            </w:r>
            <w:r>
              <w:rPr>
                <w:b/>
                <w:i/>
              </w:rPr>
              <w:t>auf die Einlagenbasis von Banken und die Finanzintermediation zum Ausdruck;</w:t>
            </w:r>
            <w:r>
              <w:t xml:space="preserve"> </w:t>
            </w:r>
            <w:r>
              <w:rPr>
                <w:b/>
                <w:i/>
              </w:rPr>
              <w:t>fordert strenge Verfügungsrahmen und Schutzvorkehrungen, um die Verlagerung privater Bankeinlagen zu verhindern und die Kapazitäten von Banken bei der Kreditvermittlung zu erhalten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begrüßt</w:t>
            </w:r>
            <w:r>
              <w:t xml:space="preserve"> die Fortschritte beim digitalen Euro </w:t>
            </w:r>
            <w:r>
              <w:rPr>
                <w:b/>
                <w:i/>
              </w:rPr>
              <w:t>sowie dessen Potenzial, das Bargeld zu ergänzen und gleichzeitig für eine bessere finanzielle Souveränität und Autonomie der EU zu sorgen</w:t>
            </w:r>
            <w:r>
              <w:t>;</w:t>
            </w:r>
          </w:p>
        </w:tc>
        <w:tc>
          <w:tcPr>
            <w:tcW w:w="4876" w:type="dxa"/>
            <w:tcBorders>
              <w:top w:val="nil"/>
              <w:left w:val="nil"/>
              <w:bottom w:val="nil"/>
              <w:right w:val="nil"/>
            </w:tcBorders>
          </w:tcPr>
          <w:p>
            <w:pPr>
              <w:pStyle w:val="Normal6a"/>
            </w:pPr>
            <w:r>
              <w:t>4.</w:t>
            </w:r>
            <w:r>
              <w:tab/>
            </w:r>
            <w:r>
              <w:rPr>
                <w:b/>
                <w:i/>
              </w:rPr>
              <w:t>nimmt</w:t>
            </w:r>
            <w:r>
              <w:t xml:space="preserve"> die Fortschritte beim digitalen Euro </w:t>
            </w:r>
            <w:r>
              <w:rPr>
                <w:b/>
                <w:i/>
              </w:rPr>
              <w:t>zur Kenntnis und ist sich der Herausforderungen und potenziellen Bedrohungen dieses Projekts mit Blick auf die Liquidität und Stabilität des EU-Bankensektors bewusst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begrüßt</w:t>
            </w:r>
            <w:r>
              <w:t xml:space="preserve"> die Fortschritte beim digitalen Euro sowie dessen Potenzial, das Bargeld zu ergänzen und gleichzeitig für eine bessere finanzielle Souveränität und Autonomie der EU zu sorgen;</w:t>
            </w:r>
          </w:p>
        </w:tc>
        <w:tc>
          <w:tcPr>
            <w:tcW w:w="4876" w:type="dxa"/>
            <w:tcBorders>
              <w:top w:val="nil"/>
              <w:left w:val="nil"/>
              <w:bottom w:val="nil"/>
              <w:right w:val="nil"/>
            </w:tcBorders>
          </w:tcPr>
          <w:p>
            <w:pPr>
              <w:pStyle w:val="Normal6a"/>
            </w:pPr>
            <w:r>
              <w:t>4.</w:t>
            </w:r>
            <w:r>
              <w:tab/>
            </w:r>
            <w:r>
              <w:rPr>
                <w:b/>
                <w:i/>
              </w:rPr>
              <w:t>nimmt</w:t>
            </w:r>
            <w:r>
              <w:t xml:space="preserve"> die Fortschritte beim digitalen Euro sowie dessen Potenzial </w:t>
            </w:r>
            <w:r>
              <w:rPr>
                <w:b/>
                <w:i/>
              </w:rPr>
              <w:t>zur Kenntnis</w:t>
            </w:r>
            <w:r>
              <w:t>, das Bargeld zu ergänzen und gleichzeitig für eine bessere finanzielle Souveränität und Autonomie der EU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begrüßt die Fortschritte beim digitalen Euro </w:t>
            </w:r>
            <w:r>
              <w:rPr>
                <w:b/>
                <w:i/>
              </w:rPr>
              <w:t>sowie dessen Potenzial</w:t>
            </w:r>
            <w:r>
              <w:t xml:space="preserve">, das Bargeld </w:t>
            </w:r>
            <w:r>
              <w:rPr>
                <w:b/>
                <w:i/>
              </w:rPr>
              <w:t>zu ergänzen und</w:t>
            </w:r>
            <w:r>
              <w:t xml:space="preserve"> gleichzeitig </w:t>
            </w:r>
            <w:r>
              <w:rPr>
                <w:b/>
                <w:i/>
              </w:rPr>
              <w:t>für eine bessere</w:t>
            </w:r>
            <w:r>
              <w:t xml:space="preserve"> finanzielle Souveränität und Autonomie der EU </w:t>
            </w:r>
            <w:r>
              <w:rPr>
                <w:b/>
                <w:i/>
              </w:rPr>
              <w:t>zu sorgen</w:t>
            </w:r>
            <w:r>
              <w:t>;</w:t>
            </w:r>
          </w:p>
        </w:tc>
        <w:tc>
          <w:tcPr>
            <w:tcW w:w="4876" w:type="dxa"/>
            <w:tcBorders>
              <w:top w:val="nil"/>
              <w:left w:val="nil"/>
              <w:bottom w:val="nil"/>
              <w:right w:val="nil"/>
            </w:tcBorders>
          </w:tcPr>
          <w:p>
            <w:pPr>
              <w:pStyle w:val="Normal6a"/>
            </w:pPr>
            <w:r>
              <w:t>4.</w:t>
            </w:r>
            <w:r>
              <w:tab/>
            </w:r>
            <w:r>
              <w:t xml:space="preserve">begrüßt die Fortschritte beim digitalen Euro </w:t>
            </w:r>
            <w:r>
              <w:rPr>
                <w:b/>
                <w:i/>
              </w:rPr>
              <w:t>für den Großkundenbereich</w:t>
            </w:r>
            <w:r>
              <w:t xml:space="preserve">, </w:t>
            </w:r>
            <w:r>
              <w:rPr>
                <w:b/>
                <w:i/>
              </w:rPr>
              <w:t>da dieser Vorteile im Hinblick auf Effizienz, grenzüberschreitende Abwicklung und die Integration der Finanzmärkte bietet;</w:t>
            </w:r>
            <w:r>
              <w:t xml:space="preserve"> </w:t>
            </w:r>
            <w:r>
              <w:rPr>
                <w:b/>
                <w:i/>
              </w:rPr>
              <w:t>betont, dass durch jegliche Form des digitalen Euro für den Massenzahlungsverkehr</w:t>
            </w:r>
            <w:r>
              <w:t xml:space="preserve"> das Bargeld </w:t>
            </w:r>
            <w:r>
              <w:rPr>
                <w:b/>
                <w:i/>
              </w:rPr>
              <w:t>strikt ergänzt werden, die bestehende Marktstruktur geachtet und eine Verdrängung privater Zahlungslösungen, welche bereits in der gesamten Union für Innovation und Effizienz sorgen, vermieden werden sollten, wobei</w:t>
            </w:r>
            <w:r>
              <w:t xml:space="preserve"> gleichzeitig </w:t>
            </w:r>
            <w:r>
              <w:rPr>
                <w:b/>
                <w:i/>
              </w:rPr>
              <w:t>die</w:t>
            </w:r>
            <w:r>
              <w:t xml:space="preserve"> finanzielle Souveränität und Autonomie der EU </w:t>
            </w:r>
            <w:r>
              <w:rPr>
                <w:b/>
                <w:i/>
              </w:rPr>
              <w:t>gestärkt werden sollte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begrüßt die Fortschritte beim digitalen Euro </w:t>
            </w:r>
            <w:r>
              <w:rPr>
                <w:b/>
                <w:i/>
              </w:rPr>
              <w:t>sowie dessen</w:t>
            </w:r>
            <w:r>
              <w:t xml:space="preserve"> Potenzial, das Bargeld zu ergänzen und gleichzeitig für eine bessere finanzielle Souveränität und Autonomie der EU zu sorgen;</w:t>
            </w:r>
          </w:p>
        </w:tc>
        <w:tc>
          <w:tcPr>
            <w:tcW w:w="4876" w:type="dxa"/>
            <w:tcBorders>
              <w:top w:val="nil"/>
              <w:left w:val="nil"/>
              <w:bottom w:val="nil"/>
              <w:right w:val="nil"/>
            </w:tcBorders>
          </w:tcPr>
          <w:p>
            <w:pPr>
              <w:pStyle w:val="Normal6a"/>
            </w:pPr>
            <w:r>
              <w:t>4.</w:t>
            </w:r>
            <w:r>
              <w:tab/>
            </w:r>
            <w:r>
              <w:t xml:space="preserve">begrüßt die Fortschritte </w:t>
            </w:r>
            <w:r>
              <w:rPr>
                <w:b/>
                <w:i/>
              </w:rPr>
              <w:t>sowohl</w:t>
            </w:r>
            <w:r>
              <w:t xml:space="preserve"> beim digitalen Euro </w:t>
            </w:r>
            <w:r>
              <w:rPr>
                <w:b/>
                <w:i/>
              </w:rPr>
              <w:t>für den Großkundenbereich als auch beim digitalen Euro für den Massenzahlungsverkehr;</w:t>
            </w:r>
            <w:r>
              <w:t xml:space="preserve"> </w:t>
            </w:r>
            <w:r>
              <w:rPr>
                <w:b/>
                <w:i/>
              </w:rPr>
              <w:t>begrüßt das</w:t>
            </w:r>
            <w:r>
              <w:t xml:space="preserve"> Potenzial </w:t>
            </w:r>
            <w:r>
              <w:rPr>
                <w:b/>
                <w:i/>
              </w:rPr>
              <w:t>des digitalen Euro für den Massenzahlungsverkehr</w:t>
            </w:r>
            <w:r>
              <w:t xml:space="preserve">, das Bargeld zu ergänzen und gleichzeitig für eine bessere finanzielle Souveränität und Autonomie der EU zu sorgen; </w:t>
            </w:r>
            <w:r>
              <w:rPr>
                <w:b/>
                <w:i/>
              </w:rPr>
              <w:t>begrüßt die Fertigstellung der allgemeinen Ausrichtung des Rates zum digitalen Euro für den Massenzahlungsverkehr im Dezember 2025 und fordert das Parlament auf, seinen ehrgeizigen Standpunkt so zeitnah wie möglich fertigzustellen;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begrüßt die Fortschritte beim digitalen Euro sowie dessen Potenzial, das Bargeld zu ergänzen und gleichzeitig für eine bessere finanzielle Souveränität und Autonomie der EU zu sorgen;</w:t>
            </w:r>
          </w:p>
        </w:tc>
        <w:tc>
          <w:tcPr>
            <w:tcW w:w="4876" w:type="dxa"/>
            <w:tcBorders>
              <w:top w:val="nil"/>
              <w:left w:val="nil"/>
              <w:bottom w:val="nil"/>
              <w:right w:val="nil"/>
            </w:tcBorders>
          </w:tcPr>
          <w:p>
            <w:pPr>
              <w:pStyle w:val="Normal6a"/>
            </w:pPr>
            <w:r>
              <w:t>4.</w:t>
            </w:r>
            <w:r>
              <w:tab/>
            </w:r>
            <w:r>
              <w:t xml:space="preserve">begrüßt die Fortschritte beim digitalen Euro sowie dessen Potenzial, das Bargeld zu ergänzen und gleichzeitig für eine bessere finanzielle Souveränität und Autonomie der EU zu sorgen </w:t>
            </w:r>
            <w:r>
              <w:rPr>
                <w:b/>
                <w:i/>
              </w:rPr>
              <w:t>und zu finanzieller Teilhabe beizutragen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begrüßt, dass sich der Bankensektor an die Herausforderungen und Chancen der Digitalisierung anpasst, was dafür sorgt, dass die Banken bessere Dienste für ihre Kunden erbringen können;</w:t>
            </w:r>
            <w:r>
              <w:t xml:space="preserve"> </w:t>
            </w:r>
            <w:r>
              <w:rPr>
                <w:b/>
                <w:i/>
              </w:rPr>
              <w:t>fordert die Banken auf, die durch die Digitalisierung gebotenen Chancen weiter zu nutzen und gleichzeitig für ein hohes Maß an Verbraucher- und Anlegerschutz zu sorgen, und zwar durch Investitionen in IT-Systeme, Forschung und Entwicklung, die vollständige Umsetzung der Anforderungen der DORA-Verordnung und die Entwicklung eines Regulierungsrahmens, der geeignet ist, auf die Entwicklungen im Rahmen der Digitalisierung zu reagieren, und auf technologischer Neutralität basiert;</w:t>
            </w:r>
            <w:r>
              <w:t xml:space="preserve"> </w:t>
            </w:r>
            <w:r>
              <w:rPr>
                <w:b/>
                <w:i/>
              </w:rPr>
              <w:t>begrüßt die beim Paket zur Digitalisierung des Finanzsektors erzielten Fortschritte;</w:t>
            </w:r>
            <w:r>
              <w:t xml:space="preserve"> </w:t>
            </w:r>
            <w:r>
              <w:rPr>
                <w:b/>
                <w:i/>
              </w:rPr>
              <w:t>ist der Auffassung, dass der Verbraucherschutz im digitalen Kontext gestärkt werden muss und dass vorrangig auf finanzielle Inklusion hingearbeitet werden sollte, insbesondere durch eine bessere digitale und finanzielle Bildung;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bedauert das nach wie vor unausgewogene Geschlechterverhältnis in Finanzinstituten, insbesondere auf der Führungsebene;</w:t>
            </w:r>
            <w:r>
              <w:t xml:space="preserve"> </w:t>
            </w:r>
            <w:r>
              <w:rPr>
                <w:b/>
                <w:i/>
              </w:rPr>
              <w:t>betont, dass durch vielfältige Führungsstrategien und einen besseren Zugang zu Finanzmitteln für von Frauen geführte Unternehmen</w:t>
            </w:r>
            <w:r>
              <w:rPr>
                <w:b/>
                <w:i/>
                <w:vertAlign w:val="superscript"/>
              </w:rPr>
              <w:t>13</w:t>
            </w:r>
            <w:r>
              <w:rPr>
                <w:b/>
                <w:i/>
              </w:rPr>
              <w:t>Governance, Innovation und Wirtschaftsleistung verbessert werden können;</w:t>
            </w:r>
            <w:r>
              <w:t xml:space="preserve"> </w:t>
            </w:r>
            <w:r>
              <w:rPr>
                <w:b/>
                <w:i/>
              </w:rPr>
              <w:t>fordert Finanzinstitute, Interessenträger, die Kommission und die Mitgliedstaaten auf, wirksame Strategien zur Förderung der Vielfalt anzunehmen, geschlechtsspezifische Unterschiede zu überwachen und den Aspekt der Gleichstellung der Geschlechter in Aufsichts- und Investitionsrahmen zu integrieren, um in der gesamten EU einen inklusiven Zugang zu Kapital sicherzustellen;</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Europäisches Institut für Gleichstellungsfragen, „Gender in entrepreneurship“ (Gleichstellungsfragen im Unternehmertum), 2017, S. 5 f.</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bedauert das nach wie vor unausgewogene Geschlechterverhältnis in Finanzinstituten, insbesondere auf der Führungsebene;</w:t>
            </w:r>
            <w:r>
              <w:t xml:space="preserve"> </w:t>
            </w:r>
            <w:r>
              <w:rPr>
                <w:b/>
                <w:i/>
              </w:rPr>
              <w:t>betont, dass durch vielfältige Führungsstrategien und einen besseren Zugang zu Finanzmitteln für von Frauen geführte Unternehmen</w:t>
            </w:r>
            <w:r>
              <w:rPr>
                <w:b/>
                <w:i/>
                <w:vertAlign w:val="superscript"/>
              </w:rPr>
              <w:t>13</w:t>
            </w:r>
            <w:r>
              <w:rPr>
                <w:b/>
                <w:i/>
              </w:rPr>
              <w:t>Governance, Innovation und Wirtschaftsleistung verbessert werden können;</w:t>
            </w:r>
            <w:r>
              <w:t xml:space="preserve"> </w:t>
            </w:r>
            <w:r>
              <w:rPr>
                <w:b/>
                <w:i/>
              </w:rPr>
              <w:t>fordert Finanzinstitute, Interessenträger, die Kommission und die Mitgliedstaaten auf, wirksame Strategien zur Förderung der Vielfalt anzunehmen, geschlechtsspezifische Unterschiede zu überwachen und den Aspekt der Gleichstellung der Geschlechter in Aufsichts- und Investitionsrahmen zu integrieren, um in der gesamten EU einen inklusiven Zugang zu Kapital sicherzustellen;</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Europäisches Institut für Gleichstellungsfragen, „Gender in entrepreneurship“ (Gleichstellungsfragen im Unternehmertum), 2017, S. 5 f.</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bedauert das nach wie vor unausgewogene Geschlechterverhältnis in Finanzinstituten, insbesondere auf der Führungsebene;</w:t>
            </w:r>
            <w:r>
              <w:t xml:space="preserve"> </w:t>
            </w:r>
            <w:r>
              <w:rPr>
                <w:b/>
                <w:i/>
              </w:rPr>
              <w:t>betont, dass durch vielfältige Führungsstrategien und einen besseren Zugang zu Finanzmitteln für von Frauen geführte Unternehmen</w:t>
            </w:r>
            <w:r>
              <w:rPr>
                <w:b/>
                <w:i/>
                <w:vertAlign w:val="superscript"/>
              </w:rPr>
              <w:t>13</w:t>
            </w:r>
            <w:r>
              <w:rPr>
                <w:b/>
                <w:i/>
              </w:rPr>
              <w:t>Governance, Innovation und Wirtschaftsleistung verbessert werden können;</w:t>
            </w:r>
            <w:r>
              <w:t xml:space="preserve"> </w:t>
            </w:r>
            <w:r>
              <w:rPr>
                <w:b/>
                <w:i/>
              </w:rPr>
              <w:t>fordert Finanzinstitute, Interessenträger, die Kommission und die Mitgliedstaaten auf, wirksame Strategien zur Förderung der Vielfalt anzunehmen, geschlechtsspezifische Unterschiede zu überwachen und den Aspekt der Gleichstellung der Geschlechter in Aufsichts- und Investitionsrahmen zu integrieren, um in der gesamten EU einen inklusiven Zugang zu Kapital sicherzustellen;</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Europäisches Institut für Gleichstellungsfragen, „Gender in entrepreneurship“ (Gleichstellungsfragen im Unternehmertum), 2017, S. 5 f.</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bedauert das nach wie vor unausgewogene Geschlechterverhältnis in Finanzinstituten, insbesondere auf der Führungsebene;</w:t>
            </w:r>
            <w:r>
              <w:t xml:space="preserve"> </w:t>
            </w:r>
            <w:r>
              <w:rPr>
                <w:b/>
                <w:i/>
              </w:rPr>
              <w:t>betont, dass durch vielfältige Führungsstrategien und einen besseren Zugang zu Finanzmitteln für von Frauen geführte Unternehmen</w:t>
            </w:r>
            <w:r>
              <w:rPr>
                <w:b/>
                <w:i/>
                <w:vertAlign w:val="superscript"/>
              </w:rPr>
              <w:t>13</w:t>
            </w:r>
            <w:r>
              <w:rPr>
                <w:b/>
                <w:i/>
              </w:rPr>
              <w:t>Governance, Innovation und Wirtschaftsleistung verbessert werden können;</w:t>
            </w:r>
            <w:r>
              <w:t xml:space="preserve"> </w:t>
            </w:r>
            <w:r>
              <w:rPr>
                <w:b/>
                <w:i/>
              </w:rPr>
              <w:t>fordert Finanzinstitute, Interessenträger, die Kommission und die Mitgliedstaaten auf, wirksame Strategien zur Förderung der Vielfalt anzunehmen, geschlechtsspezifische Unterschiede zu überwachen und den Aspekt der Gleichstellung der Geschlechter in Aufsichts- und Investitionsrahmen zu integrieren, um in der gesamten EU einen inklusiven Zugang zu Kapital sicherzustellen;</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Europäisches Institut für Gleichstellungsfragen, „Gender in entrepreneurship“ (Gleichstellungsfragen im Unternehmertum), 2017, S. 5 f.</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bedauert das nach wie vor unausgewogene Geschlechterverhältnis in Finanzinstituten, insbesondere auf der Führungsebene;</w:t>
            </w:r>
            <w:r>
              <w:t xml:space="preserve"> </w:t>
            </w:r>
            <w:r>
              <w:rPr>
                <w:b/>
                <w:i/>
              </w:rPr>
              <w:t>betont, dass durch vielfältige Führungsstrategien und einen besseren Zugang zu Finanzmitteln für von Frauen geführte Unternehmen</w:t>
            </w:r>
            <w:r>
              <w:rPr>
                <w:b/>
                <w:i/>
                <w:vertAlign w:val="superscript"/>
              </w:rPr>
              <w:t>13</w:t>
            </w:r>
            <w:r>
              <w:rPr>
                <w:b/>
                <w:i/>
              </w:rPr>
              <w:t>Governance, Innovation und Wirtschaftsleistung verbessert werden können;</w:t>
            </w:r>
            <w:r>
              <w:t xml:space="preserve"> </w:t>
            </w:r>
            <w:r>
              <w:rPr>
                <w:b/>
                <w:i/>
              </w:rPr>
              <w:t>fordert Finanzinstitute, Interessenträger, die Kommission und die Mitgliedstaaten auf, wirksame Strategien zur Förderung der Vielfalt anzunehmen, geschlechtsspezifische Unterschiede zu überwachen und den Aspekt der Gleichstellung der Geschlechter in Aufsichts- und Investitionsrahmen zu integrieren, um in der gesamten EU einen inklusiven Zugang zu Kapital sicherzustellen;</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Europäisches Institut für Gleichstellungsfragen, „Gender in entrepreneurship“ (Gleichstellungsfragen im Unternehmertum), 2017, S. 5 f.</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bedauert das nach wie vor unausgewogene Geschlechterverhältnis in Finanzinstituten, insbesondere auf der Führungsebene;</w:t>
            </w:r>
            <w:r>
              <w:t xml:space="preserve"> betont, dass durch vielfältige Führungsstrategien </w:t>
            </w:r>
            <w:r>
              <w:rPr>
                <w:b/>
                <w:i/>
              </w:rPr>
              <w:t>und einen besseren Zugang zu Finanzmitteln für von Frauen geführte Unternehmen</w:t>
            </w:r>
            <w:r>
              <w:rPr>
                <w:b/>
                <w:i/>
                <w:vertAlign w:val="superscript"/>
              </w:rPr>
              <w:t>13</w:t>
            </w:r>
            <w:r>
              <w:t>Governance, Innovation und Wirtschaftsleistung verbessert werden können; fordert Finanzinstitute, Interessenträger, die Kommission und die Mitgliedstaaten auf, wirksame Strategien zur Förderung der Vielfalt anzunehmen, geschlechtsspezifische Unterschiede zu überwachen und den Aspekt der Gleichstellung der Geschlechter in Aufsichts- und Investitionsrahmen zu integrieren, um in der gesamten EU einen inklusiven Zugang zu Kapital sicherzustellen;</w:t>
            </w:r>
          </w:p>
        </w:tc>
        <w:tc>
          <w:tcPr>
            <w:tcW w:w="4876" w:type="dxa"/>
            <w:tcBorders>
              <w:top w:val="nil"/>
              <w:left w:val="nil"/>
              <w:bottom w:val="nil"/>
              <w:right w:val="nil"/>
            </w:tcBorders>
          </w:tcPr>
          <w:p>
            <w:pPr>
              <w:pStyle w:val="Normal6a"/>
            </w:pPr>
            <w:r>
              <w:t>5.</w:t>
            </w:r>
            <w:r>
              <w:tab/>
            </w:r>
            <w:r>
              <w:t>betont, dass durch vielfältige Führungsstrategien Governance, Innovation und Wirtschaftsleistung verbessert werden können; fordert Finanzinstitute, Interessenträger, die Kommission und die Mitgliedstaaten auf, wirksame Strategien zur Förderung der Vielfalt anzunehmen, geschlechtsspezifische Unterschiede zu überwachen und den Aspekt der Gleichstellung der Geschlechter in Aufsichts- und Investitionsrahmen zu integrieren, um in der gesamten EU einen inklusiven Zugang zu Kapital sicherzustellen;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Europäisches Institut für Gleichstellungsfragen, „Gender in entrepreneurship“ (Gleichstellungsfragen im Unternehmertum), 2017, S. 5 f.</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bedauert das nach wie vor unausgewogene Geschlechterverhältnis</w:t>
            </w:r>
            <w:r>
              <w:t xml:space="preserve"> in Finanzinstituten, insbesondere auf der Führungsebene; betont, dass durch vielfältige Führungsstrategien und einen besseren Zugang zu Finanzmitteln für von Frauen geführte Unternehmen</w:t>
            </w:r>
            <w:r>
              <w:rPr>
                <w:vertAlign w:val="superscript"/>
              </w:rPr>
              <w:t>13</w:t>
            </w:r>
            <w:r>
              <w:t>Governance, Innovation und Wirtschaftsleistung verbessert werden können; fordert Finanzinstitute, Interessenträger, die Kommission und die Mitgliedstaaten auf, wirksame Strategien zur Förderung der Vielfalt anzunehmen, geschlechtsspezifische Unterschiede zu überwachen und den Aspekt der Gleichstellung der Geschlechter in Aufsichts- und Investitionsrahmen zu integrieren, um in der gesamten EU einen inklusiven Zugang zu Kapital sicherzustellen;</w:t>
            </w:r>
          </w:p>
        </w:tc>
        <w:tc>
          <w:tcPr>
            <w:tcW w:w="4876" w:type="dxa"/>
            <w:tcBorders>
              <w:top w:val="nil"/>
              <w:left w:val="nil"/>
              <w:bottom w:val="nil"/>
              <w:right w:val="nil"/>
            </w:tcBorders>
          </w:tcPr>
          <w:p>
            <w:pPr>
              <w:pStyle w:val="Normal6a"/>
            </w:pPr>
            <w:r>
              <w:t>5.</w:t>
            </w:r>
            <w:r>
              <w:tab/>
            </w:r>
            <w:r>
              <w:rPr>
                <w:b/>
                <w:i/>
              </w:rPr>
              <w:t>nimmt den begrenzten Fortschritt bei der Verbesserung des Geschlechterverhältnisses</w:t>
            </w:r>
            <w:r>
              <w:t xml:space="preserve"> in Finanzinstituten, insbesondere auf der Führungsebene</w:t>
            </w:r>
            <w:r>
              <w:rPr>
                <w:b/>
                <w:i/>
              </w:rPr>
              <w:t>, zur Kenntnis</w:t>
            </w:r>
            <w:r>
              <w:t>; betont, dass durch vielfältige Führungsstrategien und einen besseren Zugang zu Finanzmitteln für von Frauen geführte Unternehmen</w:t>
            </w:r>
            <w:r>
              <w:rPr>
                <w:vertAlign w:val="superscript"/>
              </w:rPr>
              <w:t>13</w:t>
            </w:r>
            <w:r>
              <w:t xml:space="preserve"> Governance, Innovation und Wirtschaftsleistung verbessert werden können; fordert Finanzinstitute, Interessenträger, die Kommission und die Mitgliedstaaten auf, wirksame Strategien zur Förderung der Vielfalt anzunehmen, geschlechtsspezifische Unterschiede zu überwachen und den Aspekt der Gleichstellung der Geschlechter in Aufsichts- und Investitionsrahmen zu integrieren, um in der gesamten EU einen inklusiven Zugang zu Kapital sicherzustellen;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Europäisches Institut für Gleichstellungsfragen, „Gender in entrepreneurship“ (Gleichstellungsfragen im Unternehmertum), 2017, S. 5 f.</w:t>
            </w:r>
          </w:p>
        </w:tc>
        <w:tc>
          <w:tcPr>
            <w:tcW w:w="4876" w:type="dxa"/>
            <w:tcBorders>
              <w:top w:val="nil"/>
              <w:left w:val="nil"/>
              <w:bottom w:val="nil"/>
              <w:right w:val="nil"/>
            </w:tcBorders>
          </w:tcPr>
          <w:p>
            <w:pPr>
              <w:pStyle w:val="Normal6a"/>
            </w:pPr>
            <w:r>
              <w:rPr>
                <w:vertAlign w:val="superscript"/>
              </w:rPr>
              <w:t>13</w:t>
            </w:r>
            <w:r>
              <w:t xml:space="preserve"> </w:t>
            </w:r>
            <w:r>
              <w:t>Europäisches Institut für Gleichstellungsfragen, „Gender in entrepreneurship“ (Gleichstellungsfragen im Unternehmertum), 2017, S. 5 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bedauert das nach wie vor unausgewogene Geschlechterverhältnis in Finanzinstituten, insbesondere auf der Führungsebene; betont, dass durch vielfältige Führungsstrategien und einen besseren Zugang zu Finanzmitteln für von Frauen geführte Unternehmen</w:t>
            </w:r>
            <w:r>
              <w:rPr>
                <w:vertAlign w:val="superscript"/>
              </w:rPr>
              <w:t>13</w:t>
            </w:r>
            <w:r>
              <w:t xml:space="preserve">Governance, Innovation und Wirtschaftsleistung verbessert werden können; fordert Finanzinstitute, Interessenträger, die Kommission und die Mitgliedstaaten auf, wirksame Strategien zur Förderung der Vielfalt anzunehmen, geschlechtsspezifische Unterschiede zu überwachen und den Aspekt der Gleichstellung der Geschlechter </w:t>
            </w:r>
            <w:r>
              <w:rPr>
                <w:b/>
                <w:i/>
              </w:rPr>
              <w:t>in Aufsichts- und Investitionsrahmen zu integrieren, um in der gesamten EU einen inklusiven Zugang zu Kapital sicherzustellen</w:t>
            </w:r>
            <w:r>
              <w:t>;</w:t>
            </w:r>
          </w:p>
        </w:tc>
        <w:tc>
          <w:tcPr>
            <w:tcW w:w="4876" w:type="dxa"/>
            <w:tcBorders>
              <w:top w:val="nil"/>
              <w:left w:val="nil"/>
              <w:bottom w:val="nil"/>
              <w:right w:val="nil"/>
            </w:tcBorders>
          </w:tcPr>
          <w:p>
            <w:pPr>
              <w:pStyle w:val="Normal6a"/>
            </w:pPr>
            <w:r>
              <w:t>5.</w:t>
            </w:r>
            <w:r>
              <w:tab/>
            </w:r>
            <w:r>
              <w:t>bedauert das nach wie vor unausgewogene Geschlechterverhältnis in Finanzinstituten, insbesondere auf der Führungsebene; betont, dass durch vielfältige Führungsstrategien und einen besseren Zugang zu Finanzmitteln für von Frauen geführte Unternehmen</w:t>
            </w:r>
            <w:r>
              <w:rPr>
                <w:vertAlign w:val="superscript"/>
              </w:rPr>
              <w:t>13</w:t>
            </w:r>
            <w:r>
              <w:t xml:space="preserve"> Governance, Innovation und Wirtschaftsleistung verbessert werden können; fordert Finanzinstitute, Interessenträger, die Kommission und die Mitgliedstaaten auf, wirksame Strategien zur Förderung der Vielfalt anzunehmen, geschlechtsspezifische Unterschiede zu überwachen und den Aspekt der Gleichstellung der Geschlechter </w:t>
            </w:r>
            <w:r>
              <w:rPr>
                <w:b/>
                <w:i/>
              </w:rPr>
              <w:t>zu berücksichtigen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Europäisches Institut für Gleichstellungsfragen, „Gender in entrepreneurship“ (Gleichstellungsfragen im Unternehmertum), 2017, S. 5 f.</w:t>
            </w:r>
          </w:p>
        </w:tc>
        <w:tc>
          <w:tcPr>
            <w:tcW w:w="4876" w:type="dxa"/>
            <w:tcBorders>
              <w:top w:val="nil"/>
              <w:left w:val="nil"/>
              <w:bottom w:val="nil"/>
              <w:right w:val="nil"/>
            </w:tcBorders>
          </w:tcPr>
          <w:p>
            <w:pPr>
              <w:pStyle w:val="Normal6a"/>
            </w:pPr>
            <w:r>
              <w:rPr>
                <w:vertAlign w:val="superscript"/>
              </w:rPr>
              <w:t>13</w:t>
            </w:r>
            <w:r>
              <w:t xml:space="preserve"> </w:t>
            </w:r>
            <w:r>
              <w:t>Europäisches Institut für Gleichstellungsfragen, „Gender in entrepreneurship“ (Gleichstellungsfragen im Unternehmertum), 2017, S. 5 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bedauert das nach wie vor unausgewogene Geschlechterverhältnis in Finanzinstituten, insbesondere auf der Führungsebene; betont, dass durch vielfältige Führungsstrategien und einen besseren Zugang zu Finanzmitteln für von Frauen geführte Unternehmen</w:t>
            </w:r>
            <w:r>
              <w:rPr>
                <w:vertAlign w:val="superscript"/>
              </w:rPr>
              <w:t>13</w:t>
            </w:r>
            <w:r>
              <w:t>Governance, Innovation und Wirtschaftsleistung verbessert werden können; fordert Finanzinstitute, Interessenträger, die Kommission und die Mitgliedstaaten auf, wirksame Strategien zur Förderung der Vielfalt anzunehmen, geschlechtsspezifische Unterschiede zu überwachen und den Aspekt der Gleichstellung der Geschlechter in Aufsichts- und Investitionsrahmen zu integrieren, um in der gesamten EU einen inklusiven Zugang zu Kapital sicherzustellen;</w:t>
            </w:r>
          </w:p>
        </w:tc>
        <w:tc>
          <w:tcPr>
            <w:tcW w:w="4876" w:type="dxa"/>
            <w:tcBorders>
              <w:top w:val="nil"/>
              <w:left w:val="nil"/>
              <w:bottom w:val="nil"/>
              <w:right w:val="nil"/>
            </w:tcBorders>
          </w:tcPr>
          <w:p>
            <w:pPr>
              <w:pStyle w:val="Normal6a"/>
            </w:pPr>
            <w:r>
              <w:t>5.</w:t>
            </w:r>
            <w:r>
              <w:tab/>
            </w:r>
            <w:r>
              <w:t>bedauert das nach wie vor unausgewogene Geschlechterverhältnis in Finanzinstituten, insbesondere auf der Führungsebene; betont, dass durch vielfältige Führungsstrategien und einen besseren Zugang zu Finanzmitteln für von Frauen geführte Unternehmen</w:t>
            </w:r>
            <w:r>
              <w:rPr>
                <w:vertAlign w:val="superscript"/>
              </w:rPr>
              <w:t>13</w:t>
            </w:r>
            <w:r>
              <w:t xml:space="preserve"> Governance, Innovation und Wirtschaftsleistung verbessert werden können; fordert Finanzinstitute, Interessenträger, die Kommission und die Mitgliedstaaten auf, wirksame Strategien zur Förderung der Vielfalt anzunehmen, geschlechtsspezifische Unterschiede zu überwachen und den Aspekt der Gleichstellung der Geschlechter in Aufsichts- und Investitionsrahmen zu integrieren, um in der gesamten EU einen inklusiven Zugang zu Kapital sicherzustellen; </w:t>
            </w:r>
            <w:r>
              <w:rPr>
                <w:b/>
                <w:i/>
              </w:rPr>
              <w:t>bedauert zutiefst, dass die Auswahlliste für das Amt des EBA-Vorsitzenden ein unausgewogenes Geschlechterverhältnis aufweist;</w:t>
            </w:r>
            <w:r>
              <w:t xml:space="preserve"> </w:t>
            </w:r>
            <w:r>
              <w:rPr>
                <w:b/>
                <w:i/>
              </w:rPr>
              <w:t>erinnert an die Zusage des Parlaments, Kandidatenlisten, bei denen der Grundsatz der ausgewogenen Vertretung von Frauen und Männern nicht eingehalten wurde, nicht zu berücksichtigen;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Europäisches Institut für Gleichstellungsfragen, „Gender in entrepreneurship“ (Gleichstellungsfragen im Unternehmertum), 2017, S. 5 f.</w:t>
            </w:r>
          </w:p>
        </w:tc>
        <w:tc>
          <w:tcPr>
            <w:tcW w:w="4876" w:type="dxa"/>
            <w:tcBorders>
              <w:top w:val="nil"/>
              <w:left w:val="nil"/>
              <w:bottom w:val="nil"/>
              <w:right w:val="nil"/>
            </w:tcBorders>
          </w:tcPr>
          <w:p>
            <w:pPr>
              <w:pStyle w:val="Normal6a"/>
            </w:pPr>
            <w:r>
              <w:rPr>
                <w:vertAlign w:val="superscript"/>
              </w:rPr>
              <w:t>13</w:t>
            </w:r>
            <w:r>
              <w:t xml:space="preserve"> </w:t>
            </w:r>
            <w:r>
              <w:t>Europäisches Institut für Gleichstellungsfragen, „Gender in entrepreneurship“ (Gleichstellungsfragen im Unternehmertum), 2017, S. 5 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weist darauf hin, dass Finanzinstitute auf der Grundlage von Verdiensten, Erfahrung und beruflicher Eignung geführt werden sollten, wobei sicherzustellen ist, dass Ernennungen und Managemententscheidungen auf objektiven und risikobasierten Kriterien beruhen und keine weiteren Kriterien eingeführt werden, die nichts mit verantwortungsvoller Unternehmensführung und Finanzstabilität zu tun haben;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bedauert, dass die Fähigkeit von Banken in der EU, Finanzmittel für umfangreiche Investitionen bereitzustellen, durch höhere Kosten und geringere Volumina sowie eine geringere – und zur Gewährleistung ihrer Wettbewerbsfähigkeit nicht ausreichende – Rentabilität eingeschränkt wird;</w:t>
            </w:r>
            <w:r>
              <w:t xml:space="preserve"> </w:t>
            </w:r>
            <w:r>
              <w:rPr>
                <w:b/>
                <w:i/>
              </w:rPr>
              <w:t>stellt jedoch fest, dass aufgrund der Besonderheit des EU-Bankensystems, das sich durch eine hohe Anzahl kleinerer Banken auszeichnet, spezifische Lösungen erforderlich sind, die auf diese Merkmale zugeschnitten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merkt an, dass sich die Rentabilität und Resilienz der Banken in der EU nach den Zinserhöhungen der EZB erheblich verbessert haben</w:t>
            </w:r>
            <w:r>
              <w:rPr>
                <w:b/>
                <w:i/>
                <w:vertAlign w:val="superscript"/>
              </w:rPr>
              <w:t>14</w:t>
            </w:r>
            <w:r>
              <w:rPr>
                <w:b/>
                <w:i/>
              </w:rPr>
              <w:t>;</w:t>
            </w:r>
            <w:r>
              <w:t xml:space="preserve"> </w:t>
            </w:r>
            <w:r>
              <w:rPr>
                <w:b/>
                <w:i/>
              </w:rPr>
              <w:t>betont, dass dadurch umfangreiche Investitionen unterstützt werden können und dass Institute, die staatliche Beihilfen erhalten, strengen Beschränkungen in Bezug auf Dividenden, Rückkäufe und variable Vergütung unterliegen müssen;</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Maneely, M./Ratnovski, L., „Bank Profits and Bank Taxes in the EU“ (Bankgewinne und Bankenabgaben in der EU), IWF, Juli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merkt an, dass sich die Rentabilität und Resilienz</w:t>
            </w:r>
            <w:r>
              <w:t xml:space="preserve"> der Banken </w:t>
            </w:r>
            <w:r>
              <w:rPr>
                <w:b/>
                <w:i/>
              </w:rPr>
              <w:t>in der EU nach den Zinserhöhungen der EZB erheblich verbessert haben</w:t>
            </w:r>
            <w:r>
              <w:rPr>
                <w:b/>
                <w:i/>
                <w:vertAlign w:val="superscript"/>
              </w:rPr>
              <w:t>14</w:t>
            </w:r>
            <w:r>
              <w:rPr>
                <w:b/>
                <w:i/>
              </w:rPr>
              <w:t>;</w:t>
            </w:r>
            <w:r>
              <w:t xml:space="preserve"> </w:t>
            </w:r>
            <w:r>
              <w:rPr>
                <w:b/>
                <w:i/>
              </w:rPr>
              <w:t>betont, dass dadurch umfangreiche Investitionen unterstützt werden können und dass Institute, die staatliche Beihilfen erhalten, strengen Beschränkungen in Bezug auf Dividenden, Rückkäufe und variable Vergütung unterliegen müssen</w:t>
            </w:r>
            <w:r>
              <w:t>;</w:t>
            </w:r>
          </w:p>
        </w:tc>
        <w:tc>
          <w:tcPr>
            <w:tcW w:w="4876" w:type="dxa"/>
            <w:tcBorders>
              <w:top w:val="nil"/>
              <w:left w:val="nil"/>
              <w:bottom w:val="nil"/>
              <w:right w:val="nil"/>
            </w:tcBorders>
          </w:tcPr>
          <w:p>
            <w:pPr>
              <w:pStyle w:val="Normal6a"/>
            </w:pPr>
            <w:r>
              <w:t>6.</w:t>
            </w:r>
            <w:r>
              <w:tab/>
            </w:r>
            <w:r>
              <w:rPr>
                <w:b/>
                <w:i/>
              </w:rPr>
              <w:t>nimmt zur Kenntnis, dass die anhaltende restriktive Geldpolitik zu geringeren Nettozinsmargen und höheren Finanzierungskosten geführt hat, wodurch die Fähigkeit</w:t>
            </w:r>
            <w:r>
              <w:t xml:space="preserve"> der Banken </w:t>
            </w:r>
            <w:r>
              <w:rPr>
                <w:b/>
                <w:i/>
              </w:rPr>
              <w:t>gemindert wurde, ein nachhaltiges Kreditwachstum zu unterstützen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Maneely, M./Ratnovski, L., „Bank Profits and Bank Taxes in the EU“ (Bankgewinne und Bankenabgaben in der EU), IWF, Juli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merkt an</w:t>
            </w:r>
            <w:r>
              <w:t xml:space="preserve">, dass sich die Rentabilität und Resilienz der Banken in der EU </w:t>
            </w:r>
            <w:r>
              <w:rPr>
                <w:b/>
                <w:i/>
              </w:rPr>
              <w:t>nach den Zinserhöhungen der EZB</w:t>
            </w:r>
            <w:r>
              <w:t xml:space="preserve"> erheblich verbessert haben</w:t>
            </w:r>
            <w:r>
              <w:rPr>
                <w:vertAlign w:val="superscript"/>
              </w:rPr>
              <w:t>14</w:t>
            </w:r>
            <w:r>
              <w:t xml:space="preserve">; </w:t>
            </w:r>
            <w:r>
              <w:rPr>
                <w:b/>
                <w:i/>
              </w:rPr>
              <w:t>betont, dass dadurch umfangreiche Investitionen unterstützt werden können und dass Institute, die staatliche Beihilfen erhalten, strengen Beschränkungen in Bezug auf Dividenden, Rückkäufe und variable Vergütung unterliegen müssen</w:t>
            </w:r>
            <w:r>
              <w:t>;</w:t>
            </w:r>
          </w:p>
        </w:tc>
        <w:tc>
          <w:tcPr>
            <w:tcW w:w="4876" w:type="dxa"/>
            <w:tcBorders>
              <w:top w:val="nil"/>
              <w:left w:val="nil"/>
              <w:bottom w:val="nil"/>
              <w:right w:val="nil"/>
            </w:tcBorders>
          </w:tcPr>
          <w:p>
            <w:pPr>
              <w:pStyle w:val="Normal6a"/>
            </w:pPr>
            <w:r>
              <w:t>6.</w:t>
            </w:r>
            <w:r>
              <w:tab/>
            </w:r>
            <w:r>
              <w:rPr>
                <w:b/>
                <w:i/>
              </w:rPr>
              <w:t>begrüßt</w:t>
            </w:r>
            <w:r>
              <w:t xml:space="preserve">, dass sich die Rentabilität und </w:t>
            </w:r>
            <w:r>
              <w:rPr>
                <w:b/>
                <w:i/>
              </w:rPr>
              <w:t>die</w:t>
            </w:r>
            <w:r>
              <w:t xml:space="preserve"> Resilienz der Banken in der EU erheblich verbessert haben</w:t>
            </w:r>
            <w:r>
              <w:rPr>
                <w:vertAlign w:val="superscript"/>
              </w:rPr>
              <w:t>14</w:t>
            </w:r>
            <w:r>
              <w:t xml:space="preserve">; </w:t>
            </w:r>
            <w:r>
              <w:rPr>
                <w:b/>
                <w:i/>
              </w:rPr>
              <w:t>stellt jedoch fest, dass gegenüber anderen Ländern, insbesondere den USA, nach wie vor Rückstände bei der Rentabilität bestehen;</w:t>
            </w:r>
            <w:r>
              <w:t xml:space="preserve"> </w:t>
            </w:r>
            <w:r>
              <w:rPr>
                <w:b/>
                <w:i/>
              </w:rPr>
              <w:t>stellt fest, dass diese Rückstände gegenüber anderen Ländern sowohl auf strukturelle als auch auf regulatorische Gründe zurückzuführen sind</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 xml:space="preserve">Maneely, M./Ratnovski, L., „Bank Profits and Bank Taxes in the EU“ (Bankgewinne und </w:t>
            </w:r>
            <w:r>
              <w:rPr>
                <w:b/>
                <w:i/>
              </w:rPr>
              <w:t>Bankenabgaben</w:t>
            </w:r>
            <w:r>
              <w:t xml:space="preserve"> in der EU), IWF, Juli 2024.</w:t>
            </w:r>
          </w:p>
        </w:tc>
        <w:tc>
          <w:tcPr>
            <w:tcW w:w="4876" w:type="dxa"/>
            <w:tcBorders>
              <w:top w:val="nil"/>
              <w:left w:val="nil"/>
              <w:bottom w:val="nil"/>
              <w:right w:val="nil"/>
            </w:tcBorders>
          </w:tcPr>
          <w:p>
            <w:pPr>
              <w:pStyle w:val="Normal6a"/>
            </w:pPr>
            <w:r>
              <w:rPr>
                <w:vertAlign w:val="superscript"/>
              </w:rPr>
              <w:t>14</w:t>
            </w:r>
            <w:r>
              <w:t xml:space="preserve"> </w:t>
            </w:r>
            <w:r>
              <w:t xml:space="preserve">Maneely, M./Ratnovski, L., „Bank Profits and Bank Taxes in the EU“ (Bankgewinne und </w:t>
            </w:r>
            <w:r>
              <w:rPr>
                <w:b/>
                <w:i/>
              </w:rPr>
              <w:t>Bankabgaben</w:t>
            </w:r>
            <w:r>
              <w:t xml:space="preserve"> in der EU), IWF, Juli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merkt an, dass </w:t>
            </w:r>
            <w:r>
              <w:rPr>
                <w:b/>
                <w:i/>
              </w:rPr>
              <w:t>sich</w:t>
            </w:r>
            <w:r>
              <w:t xml:space="preserve"> die Rentabilität und Resilienz </w:t>
            </w:r>
            <w:r>
              <w:rPr>
                <w:b/>
                <w:i/>
              </w:rPr>
              <w:t>der Banken in der EU nach den Zinserhöhungen der EZB erheblich verbessert haben</w:t>
            </w:r>
            <w:r>
              <w:rPr>
                <w:b/>
                <w:i/>
                <w:vertAlign w:val="superscript"/>
              </w:rPr>
              <w:t>14</w:t>
            </w:r>
            <w:r>
              <w:t xml:space="preserve">; betont, dass </w:t>
            </w:r>
            <w:r>
              <w:rPr>
                <w:b/>
                <w:i/>
              </w:rPr>
              <w:t>dadurch umfangreiche Investitionen unterstützt werden können und dass Institute, die staatliche Beihilfen erhalten, strengen Beschränkungen in Bezug auf Dividenden, Rückkäufe und variable Vergütung unterliegen müssen</w:t>
            </w:r>
            <w:r>
              <w:t>;</w:t>
            </w:r>
          </w:p>
        </w:tc>
        <w:tc>
          <w:tcPr>
            <w:tcW w:w="4876" w:type="dxa"/>
            <w:tcBorders>
              <w:top w:val="nil"/>
              <w:left w:val="nil"/>
              <w:bottom w:val="nil"/>
              <w:right w:val="nil"/>
            </w:tcBorders>
          </w:tcPr>
          <w:p>
            <w:pPr>
              <w:pStyle w:val="Normal6a"/>
            </w:pPr>
            <w:r>
              <w:t>6.</w:t>
            </w:r>
            <w:r>
              <w:tab/>
            </w:r>
            <w:r>
              <w:t xml:space="preserve">merkt an, dass die Rentabilität und </w:t>
            </w:r>
            <w:r>
              <w:rPr>
                <w:b/>
                <w:i/>
              </w:rPr>
              <w:t>die</w:t>
            </w:r>
            <w:r>
              <w:t xml:space="preserve"> Resilienz </w:t>
            </w:r>
            <w:r>
              <w:rPr>
                <w:b/>
                <w:i/>
              </w:rPr>
              <w:t>im Jahr 2025 nach wie vor hoch waren</w:t>
            </w:r>
            <w:r>
              <w:t xml:space="preserve">; betont, dass </w:t>
            </w:r>
            <w:r>
              <w:rPr>
                <w:b/>
                <w:i/>
              </w:rPr>
              <w:t>diese Rentabilität die Bereitstellung von Finanzmitteln für Haushalte und Unternehmen, insbesondere für KMU und Start-up-Unternehmen, sowie für junge Fachkräfte erleichtern kann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Maneely, M./Ratnovski, L., „Bank Profits and Bank Taxes in the EU“ (Bankgewinne und Bankenabgaben in der EU), IWF, Juli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merkt an, dass sich die Rentabilität und Resilienz der Banken in der EU nach den Zinserhöhungen der EZB erheblich verbessert haben</w:t>
            </w:r>
            <w:r>
              <w:rPr>
                <w:vertAlign w:val="superscript"/>
              </w:rPr>
              <w:t>14</w:t>
            </w:r>
            <w:r>
              <w:t xml:space="preserve">; betont, dass dadurch umfangreiche Investitionen unterstützt werden können und dass </w:t>
            </w:r>
            <w:r>
              <w:rPr>
                <w:b/>
                <w:i/>
              </w:rPr>
              <w:t>Institute, die staatliche Beihilfen erhalten, strengen Beschränkungen in Bezug auf Dividenden, Rückkäufe und variable Vergütung unterliegen müssen</w:t>
            </w:r>
            <w:r>
              <w:t>;</w:t>
            </w:r>
          </w:p>
        </w:tc>
        <w:tc>
          <w:tcPr>
            <w:tcW w:w="4876" w:type="dxa"/>
            <w:tcBorders>
              <w:top w:val="nil"/>
              <w:left w:val="nil"/>
              <w:bottom w:val="nil"/>
              <w:right w:val="nil"/>
            </w:tcBorders>
          </w:tcPr>
          <w:p>
            <w:pPr>
              <w:pStyle w:val="Normal6a"/>
            </w:pPr>
            <w:r>
              <w:t>6.</w:t>
            </w:r>
            <w:r>
              <w:tab/>
            </w:r>
            <w:r>
              <w:t xml:space="preserve">merkt an, dass sich die Rentabilität und </w:t>
            </w:r>
            <w:r>
              <w:rPr>
                <w:b/>
                <w:i/>
              </w:rPr>
              <w:t>die</w:t>
            </w:r>
            <w:r>
              <w:t xml:space="preserve"> Resilienz der Banken in der EU nach den Zinserhöhungen der EZB erheblich verbessert haben</w:t>
            </w:r>
            <w:r>
              <w:rPr>
                <w:vertAlign w:val="superscript"/>
              </w:rPr>
              <w:t>14</w:t>
            </w:r>
            <w:r>
              <w:t>; betont, dass dadurch umfangreiche Investitionen unterstützt werden können</w:t>
            </w:r>
            <w:r>
              <w:rPr>
                <w:b/>
                <w:i/>
              </w:rPr>
              <w:t>;</w:t>
            </w:r>
            <w:r>
              <w:t xml:space="preserve"> </w:t>
            </w:r>
            <w:r>
              <w:rPr>
                <w:b/>
                <w:i/>
              </w:rPr>
              <w:t>weist darauf hin, dass dieser Anstieg der Rentabilität hauptsächlich konjunkturbedingt ist</w:t>
            </w:r>
            <w:r>
              <w:t xml:space="preserve"> und dass </w:t>
            </w:r>
            <w:r>
              <w:rPr>
                <w:b/>
                <w:i/>
              </w:rPr>
              <w:t>die Wettbewerbsfähigkeit der Banken nach wie vor von den Fortschritten bei den Strukturreformen im Zusammenhang mit der Bankenunion, der Spar- und Investitionsunion und dem Binnenmarkt abhängt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 xml:space="preserve">Maneely, M./Ratnovski, L., „Bank Profits and Bank Taxes in the EU“ (Bankgewinne und </w:t>
            </w:r>
            <w:r>
              <w:rPr>
                <w:b/>
                <w:i/>
              </w:rPr>
              <w:t>Bankenabgaben</w:t>
            </w:r>
            <w:r>
              <w:t xml:space="preserve"> in der EU), IWF, Juli 2024.</w:t>
            </w:r>
          </w:p>
        </w:tc>
        <w:tc>
          <w:tcPr>
            <w:tcW w:w="4876" w:type="dxa"/>
            <w:tcBorders>
              <w:top w:val="nil"/>
              <w:left w:val="nil"/>
              <w:bottom w:val="nil"/>
              <w:right w:val="nil"/>
            </w:tcBorders>
          </w:tcPr>
          <w:p>
            <w:pPr>
              <w:pStyle w:val="Normal6a"/>
            </w:pPr>
            <w:r>
              <w:rPr>
                <w:vertAlign w:val="superscript"/>
              </w:rPr>
              <w:t>14</w:t>
            </w:r>
            <w:r>
              <w:t xml:space="preserve"> </w:t>
            </w:r>
            <w:r>
              <w:t xml:space="preserve">Maneely, M./Ratnovski, L., „Bank Profits and Bank Taxes in the EU“ (Bankgewinne und </w:t>
            </w:r>
            <w:r>
              <w:rPr>
                <w:b/>
                <w:i/>
              </w:rPr>
              <w:t>Bankabgaben</w:t>
            </w:r>
            <w:r>
              <w:t xml:space="preserve"> in der EU), IWF, Juli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merkt an, dass sich die Rentabilität und Resilienz der Banken in der EU nach den Zinserhöhungen der EZB erheblich verbessert haben</w:t>
            </w:r>
            <w:r>
              <w:rPr>
                <w:vertAlign w:val="superscript"/>
              </w:rPr>
              <w:t>14</w:t>
            </w:r>
            <w:r>
              <w:t xml:space="preserve">; betont, dass dadurch umfangreiche Investitionen unterstützt werden können </w:t>
            </w:r>
            <w:r>
              <w:rPr>
                <w:b/>
                <w:i/>
              </w:rPr>
              <w:t>und dass Institute, die staatliche Beihilfen erhalten, strengen Beschränkungen in Bezug auf Dividenden, Rückkäufe und variable Vergütung unterliegen müssen</w:t>
            </w:r>
            <w:r>
              <w:t>;</w:t>
            </w:r>
          </w:p>
        </w:tc>
        <w:tc>
          <w:tcPr>
            <w:tcW w:w="4876" w:type="dxa"/>
            <w:tcBorders>
              <w:top w:val="nil"/>
              <w:left w:val="nil"/>
              <w:bottom w:val="nil"/>
              <w:right w:val="nil"/>
            </w:tcBorders>
          </w:tcPr>
          <w:p>
            <w:pPr>
              <w:pStyle w:val="Normal6a"/>
            </w:pPr>
            <w:r>
              <w:t>6.</w:t>
            </w:r>
            <w:r>
              <w:tab/>
            </w:r>
            <w:r>
              <w:t>merkt an, dass sich die Rentabilität und Resilienz der Banken in der EU nach den Zinserhöhungen der EZB erheblich verbessert haben</w:t>
            </w:r>
            <w:r>
              <w:rPr>
                <w:vertAlign w:val="superscript"/>
              </w:rPr>
              <w:t>14</w:t>
            </w:r>
            <w:r>
              <w:t>; betont, dass dadurch umfangreiche Investitionen unterstützt werden können;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Maneely, M./Ratnovski, L., „Bank Profits and Bank Taxes in the EU“ (Bankgewinne und Bankenabgaben in der EU), IWF, Juli 2024.</w:t>
            </w:r>
          </w:p>
        </w:tc>
        <w:tc>
          <w:tcPr>
            <w:tcW w:w="4876" w:type="dxa"/>
            <w:tcBorders>
              <w:top w:val="nil"/>
              <w:left w:val="nil"/>
              <w:bottom w:val="nil"/>
              <w:right w:val="nil"/>
            </w:tcBorders>
          </w:tcPr>
          <w:p>
            <w:pPr>
              <w:pStyle w:val="Normal6a"/>
            </w:pPr>
            <w:r>
              <w:rPr>
                <w:vertAlign w:val="superscript"/>
              </w:rPr>
              <w:t>14</w:t>
            </w:r>
            <w:r>
              <w:t xml:space="preserve"> </w:t>
            </w:r>
            <w:r>
              <w:t>Maneely, M./Ratnovski, L., „Bank Profits and Bank Taxes in the EU“ (Bankgewinne und Bankenabgaben in der EU), IWF, Juli 2024.</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merkt an, dass sich die Rentabilität und Resilienz der Banken in der EU nach den Zinserhöhungen der EZB erheblich verbessert haben</w:t>
            </w:r>
            <w:r>
              <w:rPr>
                <w:vertAlign w:val="superscript"/>
              </w:rPr>
              <w:t>14</w:t>
            </w:r>
            <w:r>
              <w:t xml:space="preserve">; betont, dass dadurch umfangreiche Investitionen unterstützt werden können </w:t>
            </w:r>
            <w:r>
              <w:rPr>
                <w:b/>
                <w:i/>
              </w:rPr>
              <w:t>und dass Institute, die staatliche Beihilfen erhalten, strengen Beschränkungen in Bezug auf Dividenden, Rückkäufe und variable Vergütung unterliegen müssen</w:t>
            </w:r>
            <w:r>
              <w:t>;</w:t>
            </w:r>
          </w:p>
        </w:tc>
        <w:tc>
          <w:tcPr>
            <w:tcW w:w="4876" w:type="dxa"/>
            <w:tcBorders>
              <w:top w:val="nil"/>
              <w:left w:val="nil"/>
              <w:bottom w:val="nil"/>
              <w:right w:val="nil"/>
            </w:tcBorders>
          </w:tcPr>
          <w:p>
            <w:pPr>
              <w:pStyle w:val="Normal6a"/>
            </w:pPr>
            <w:r>
              <w:t>6.</w:t>
            </w:r>
            <w:r>
              <w:tab/>
            </w:r>
            <w:r>
              <w:t xml:space="preserve">merkt an, dass sich die Rentabilität und </w:t>
            </w:r>
            <w:r>
              <w:rPr>
                <w:b/>
                <w:i/>
              </w:rPr>
              <w:t>die</w:t>
            </w:r>
            <w:r>
              <w:t xml:space="preserve"> Resilienz der Banken in der EU nach den Zinserhöhungen der EZB erheblich verbessert haben</w:t>
            </w:r>
            <w:r>
              <w:rPr>
                <w:vertAlign w:val="superscript"/>
              </w:rPr>
              <w:t>14</w:t>
            </w:r>
            <w:r>
              <w:t>; betont, dass dadurch umfangreiche Investitionen unterstützt werden können;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 xml:space="preserve">Maneely, M./Ratnovski, L., „Bank Profits and Bank Taxes in the EU“ (Bankgewinne und </w:t>
            </w:r>
            <w:r>
              <w:rPr>
                <w:b/>
                <w:i/>
              </w:rPr>
              <w:t>Bankenabgaben</w:t>
            </w:r>
            <w:r>
              <w:t xml:space="preserve"> in der EU), IWF, Juli 2024.</w:t>
            </w:r>
          </w:p>
        </w:tc>
        <w:tc>
          <w:tcPr>
            <w:tcW w:w="4876" w:type="dxa"/>
            <w:tcBorders>
              <w:top w:val="nil"/>
              <w:left w:val="nil"/>
              <w:bottom w:val="nil"/>
              <w:right w:val="nil"/>
            </w:tcBorders>
          </w:tcPr>
          <w:p>
            <w:pPr>
              <w:pStyle w:val="Normal6a"/>
            </w:pPr>
            <w:r>
              <w:rPr>
                <w:vertAlign w:val="superscript"/>
              </w:rPr>
              <w:t>14</w:t>
            </w:r>
            <w:r>
              <w:t xml:space="preserve"> </w:t>
            </w:r>
            <w:r>
              <w:t xml:space="preserve">Maneely, M./Ratnovski, L., „Bank Profits and Bank Taxes in the EU“ (Bankgewinne und </w:t>
            </w:r>
            <w:r>
              <w:rPr>
                <w:b/>
                <w:i/>
              </w:rPr>
              <w:t>Bankabgaben</w:t>
            </w:r>
            <w:r>
              <w:t xml:space="preserve"> in der EU), IWF, Juli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merkt an, dass sich die Rentabilität und Resilienz der Banken in der EU nach den Zinserhöhungen der EZB erheblich verbessert haben</w:t>
            </w:r>
            <w:r>
              <w:rPr>
                <w:vertAlign w:val="superscript"/>
              </w:rPr>
              <w:t>14</w:t>
            </w:r>
            <w:r>
              <w:t xml:space="preserve">; betont, dass dadurch umfangreiche Investitionen unterstützt werden können </w:t>
            </w:r>
            <w:r>
              <w:rPr>
                <w:b/>
                <w:i/>
              </w:rPr>
              <w:t>und dass Institute, die staatliche Beihilfen erhalten, strengen Beschränkungen in Bezug auf Dividenden, Rückkäufe und variable Vergütung unterliegen müssen</w:t>
            </w:r>
            <w:r>
              <w:t>;</w:t>
            </w:r>
          </w:p>
        </w:tc>
        <w:tc>
          <w:tcPr>
            <w:tcW w:w="4876" w:type="dxa"/>
            <w:tcBorders>
              <w:top w:val="nil"/>
              <w:left w:val="nil"/>
              <w:bottom w:val="nil"/>
              <w:right w:val="nil"/>
            </w:tcBorders>
          </w:tcPr>
          <w:p>
            <w:pPr>
              <w:pStyle w:val="Normal6a"/>
            </w:pPr>
            <w:r>
              <w:t>6.</w:t>
            </w:r>
            <w:r>
              <w:tab/>
            </w:r>
            <w:r>
              <w:t xml:space="preserve">merkt an, dass sich die Rentabilität und </w:t>
            </w:r>
            <w:r>
              <w:rPr>
                <w:b/>
                <w:i/>
              </w:rPr>
              <w:t>die</w:t>
            </w:r>
            <w:r>
              <w:t xml:space="preserve"> Resilienz der Banken in der EU nach den Zinserhöhungen der EZB erheblich verbessert haben</w:t>
            </w:r>
            <w:r>
              <w:rPr>
                <w:vertAlign w:val="superscript"/>
              </w:rPr>
              <w:t>14</w:t>
            </w:r>
            <w:r>
              <w:t>; betont, dass dadurch umfangreiche Investitionen unterstützt werden können;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 xml:space="preserve">Maneely, M./Ratnovski, L., „Bank Profits and Bank Taxes in the EU“ (Bankgewinne und </w:t>
            </w:r>
            <w:r>
              <w:rPr>
                <w:b/>
                <w:i/>
              </w:rPr>
              <w:t>Bankenabgaben</w:t>
            </w:r>
            <w:r>
              <w:t xml:space="preserve"> in der EU), IWF, Juli 2024.</w:t>
            </w:r>
          </w:p>
        </w:tc>
        <w:tc>
          <w:tcPr>
            <w:tcW w:w="4876" w:type="dxa"/>
            <w:tcBorders>
              <w:top w:val="nil"/>
              <w:left w:val="nil"/>
              <w:bottom w:val="nil"/>
              <w:right w:val="nil"/>
            </w:tcBorders>
          </w:tcPr>
          <w:p>
            <w:pPr>
              <w:pStyle w:val="Normal6a"/>
            </w:pPr>
            <w:r>
              <w:rPr>
                <w:vertAlign w:val="superscript"/>
              </w:rPr>
              <w:t>14</w:t>
            </w:r>
            <w:r>
              <w:t xml:space="preserve"> </w:t>
            </w:r>
            <w:r>
              <w:t xml:space="preserve">Maneely, M./Ratnovski, L., „Bank Profits and Bank Taxes in the EU“ (Bankgewinne und </w:t>
            </w:r>
            <w:r>
              <w:rPr>
                <w:b/>
                <w:i/>
              </w:rPr>
              <w:t>Bankabgaben</w:t>
            </w:r>
            <w:r>
              <w:t xml:space="preserve"> in der EU), IWF, Juli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merkt an</w:t>
            </w:r>
            <w:r>
              <w:t>, dass sich die Rentabilität und Resilienz der Banken in der EU nach den Zinserhöhungen der EZB erheblich verbessert haben</w:t>
            </w:r>
            <w:r>
              <w:rPr>
                <w:vertAlign w:val="superscript"/>
              </w:rPr>
              <w:t>14</w:t>
            </w:r>
            <w:r>
              <w:t>; betont, dass dadurch umfangreiche Investitionen unterstützt werden können und dass Institute, die staatliche Beihilfen erhalten, strengen Beschränkungen in Bezug auf Dividenden, Rückkäufe und variable Vergütung unterliegen müssen;</w:t>
            </w:r>
          </w:p>
        </w:tc>
        <w:tc>
          <w:tcPr>
            <w:tcW w:w="4876" w:type="dxa"/>
            <w:tcBorders>
              <w:top w:val="nil"/>
              <w:left w:val="nil"/>
              <w:bottom w:val="nil"/>
              <w:right w:val="nil"/>
            </w:tcBorders>
          </w:tcPr>
          <w:p>
            <w:pPr>
              <w:pStyle w:val="Normal6a"/>
            </w:pPr>
            <w:r>
              <w:t>6.</w:t>
            </w:r>
            <w:r>
              <w:tab/>
            </w:r>
            <w:r>
              <w:rPr>
                <w:b/>
                <w:i/>
              </w:rPr>
              <w:t>stellt fest</w:t>
            </w:r>
            <w:r>
              <w:t>, dass sich die Rentabilität und Resilienz der Banken in der EU nach den Zinserhöhungen der EZB erheblich verbessert haben</w:t>
            </w:r>
            <w:r>
              <w:rPr>
                <w:vertAlign w:val="superscript"/>
              </w:rPr>
              <w:t>14</w:t>
            </w:r>
            <w:r>
              <w:t xml:space="preserve">; betont, dass dadurch umfangreiche Investitionen unterstützt werden können und dass Institute, die staatliche Beihilfen erhalten, strengen Beschränkungen in Bezug auf Dividenden, Rückkäufe und variable Vergütung unterliegen müssen; </w:t>
            </w:r>
            <w:r>
              <w:rPr>
                <w:b/>
                <w:i/>
              </w:rPr>
              <w:t>betont, dass eine nachhaltige Rentabilität die Kapitalakkumulation, die Widerstandsfähigkeit gegenüber Schocks und die Finanzierung der Realwirtschaft unterstützt;</w:t>
            </w:r>
            <w:r>
              <w:t xml:space="preserve"> </w:t>
            </w:r>
            <w:r>
              <w:rPr>
                <w:b/>
                <w:i/>
              </w:rPr>
              <w:t>weist darauf hin, dass, wie in den jüngsten Stellungnahmen der EZB zu nationalen Bankenabgaben hervorgehoben wurde, Steuern auf der Grundlage der Einkünfte der Banken die einbehaltenen Gewinne verringern und die Fähigkeit der Kreditinstitute, Kapitalpuffer aufzubauen oder aufzufüllen, einschränken können;</w:t>
            </w:r>
            <w:r>
              <w:t xml:space="preserve"> </w:t>
            </w:r>
            <w:r>
              <w:rPr>
                <w:b/>
                <w:i/>
              </w:rPr>
              <w:t>betont, dass alle steuerlichen Maßnahmen, die sich auf Banken auswirken, außergewöhnlich, verhältnismäßig und befristet bleiben sollten;</w:t>
            </w:r>
            <w:r>
              <w:t xml:space="preserve"> </w:t>
            </w:r>
            <w:r>
              <w:rPr>
                <w:b/>
                <w:i/>
              </w:rPr>
              <w:t>ist darüber hinaus der Ansicht, dass sie nicht zu Lasten der Finanzstabilität und der Fähigkeit der Banken, die Realwirtschaft zu finanzieren, gehen sollten;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Maneely, M./Ratnovski, L., „Bank Profits and Bank Taxes in the EU“ (Bankgewinne und Bankenabgaben in der EU), IWF, Juli 2024.</w:t>
            </w:r>
          </w:p>
        </w:tc>
        <w:tc>
          <w:tcPr>
            <w:tcW w:w="4876" w:type="dxa"/>
            <w:tcBorders>
              <w:top w:val="nil"/>
              <w:left w:val="nil"/>
              <w:bottom w:val="nil"/>
              <w:right w:val="nil"/>
            </w:tcBorders>
          </w:tcPr>
          <w:p>
            <w:pPr>
              <w:pStyle w:val="Normal6a"/>
            </w:pPr>
            <w:r>
              <w:rPr>
                <w:vertAlign w:val="superscript"/>
              </w:rPr>
              <w:t>14</w:t>
            </w:r>
            <w:r>
              <w:t xml:space="preserve"> </w:t>
            </w:r>
            <w:r>
              <w:t>Maneely, M. / Ratnovski, L., „Bank Profits and Bank Taxes in the EU“ (Bankgewinne und Bankenabgaben in der EU), IWF, Juli 2024.</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merkt an, dass sich die Rentabilität und Resilienz der Banken in der EU nach den Zinserhöhungen der EZB erheblich verbessert haben</w:t>
            </w:r>
            <w:r>
              <w:rPr>
                <w:vertAlign w:val="superscript"/>
              </w:rPr>
              <w:t>14</w:t>
            </w:r>
            <w:r>
              <w:t>; betont, dass dadurch umfangreiche Investitionen unterstützt werden können und dass Institute, die staatliche Beihilfen erhalten, strengen Beschränkungen in Bezug auf Dividenden, Rückkäufe und variable Vergütung unterliegen müssen;</w:t>
            </w:r>
          </w:p>
        </w:tc>
        <w:tc>
          <w:tcPr>
            <w:tcW w:w="4876" w:type="dxa"/>
            <w:tcBorders>
              <w:top w:val="nil"/>
              <w:left w:val="nil"/>
              <w:bottom w:val="nil"/>
              <w:right w:val="nil"/>
            </w:tcBorders>
          </w:tcPr>
          <w:p>
            <w:pPr>
              <w:pStyle w:val="Normal6a"/>
            </w:pPr>
            <w:r>
              <w:t>6.</w:t>
            </w:r>
            <w:r>
              <w:tab/>
            </w:r>
            <w:r>
              <w:t xml:space="preserve">merkt an, dass sich die Rentabilität und </w:t>
            </w:r>
            <w:r>
              <w:rPr>
                <w:b/>
                <w:i/>
              </w:rPr>
              <w:t>die</w:t>
            </w:r>
            <w:r>
              <w:t xml:space="preserve"> Resilienz der Banken in der EU nach den Zinserhöhungen der EZB erheblich verbessert haben</w:t>
            </w:r>
            <w:r>
              <w:rPr>
                <w:vertAlign w:val="superscript"/>
              </w:rPr>
              <w:t>14</w:t>
            </w:r>
            <w:r>
              <w:t xml:space="preserve">; betont, dass dadurch umfangreiche Investitionen </w:t>
            </w:r>
            <w:r>
              <w:rPr>
                <w:b/>
                <w:i/>
              </w:rPr>
              <w:t>sowie die Bereitstellung von Finanzmitteln für die europäische Wirtschaft</w:t>
            </w:r>
            <w:r>
              <w:t xml:space="preserve"> unterstützt werden können und dass Institute, die staatliche Beihilfen erhalten, strengen Beschränkungen in Bezug auf Dividenden, Rückkäufe und variable Vergütung unterliegen müssen;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 xml:space="preserve">Maneely, M./Ratnovski, L., „Bank Profits and Bank Taxes in the EU“ (Bankgewinne und </w:t>
            </w:r>
            <w:r>
              <w:rPr>
                <w:b/>
                <w:i/>
              </w:rPr>
              <w:t>Bankenabgaben</w:t>
            </w:r>
            <w:r>
              <w:t xml:space="preserve"> in der EU), IWF, Juli 2024.</w:t>
            </w:r>
          </w:p>
        </w:tc>
        <w:tc>
          <w:tcPr>
            <w:tcW w:w="4876" w:type="dxa"/>
            <w:tcBorders>
              <w:top w:val="nil"/>
              <w:left w:val="nil"/>
              <w:bottom w:val="nil"/>
              <w:right w:val="nil"/>
            </w:tcBorders>
          </w:tcPr>
          <w:p>
            <w:pPr>
              <w:pStyle w:val="Normal6a"/>
            </w:pPr>
            <w:r>
              <w:rPr>
                <w:vertAlign w:val="superscript"/>
              </w:rPr>
              <w:t>14</w:t>
            </w:r>
            <w:r>
              <w:t xml:space="preserve"> </w:t>
            </w:r>
            <w:r>
              <w:t xml:space="preserve">Maneely, M./Ratnovski, L., „Bank Profits and Bank Taxes in the EU“ (Bankgewinne und </w:t>
            </w:r>
            <w:r>
              <w:rPr>
                <w:b/>
                <w:i/>
              </w:rPr>
              <w:t>Bankabgaben</w:t>
            </w:r>
            <w:r>
              <w:t xml:space="preserve"> in der EU), IWF, Juli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weist darauf hin, dass die Banken in der EU erhebliche Positionen in langfristigen Staatsanleihen halten, insbesondere in heimischen Titeln;</w:t>
            </w:r>
            <w:r>
              <w:t xml:space="preserve"> </w:t>
            </w:r>
            <w:r>
              <w:rPr>
                <w:b/>
                <w:i/>
              </w:rPr>
              <w:t>weist erneut darauf hin, dass eine stärkere Diversifizierung dieser Positionen insofern wichtig ist, als dadurch die Resilienz des europäischen Bankensektors gegenüber asymmetrischen fiskalischen Schocks gestärkt wird;</w:t>
            </w:r>
            <w:r>
              <w:t xml:space="preserve"> </w:t>
            </w:r>
            <w:r>
              <w:rPr>
                <w:b/>
                <w:i/>
              </w:rPr>
              <w:t>betont, dass es wichtig ist, die Fiskalregeln der EU, mit denen für Vertrauen in Staatsanleihen der Mitgliedstaaten, für Diversifizierung und somit für ein geringeres Systemrisiko im Euro-Währungsgebiet gesorgt werden soll;</w:t>
            </w:r>
            <w:r>
              <w:t xml:space="preserve"> </w:t>
            </w:r>
            <w:r>
              <w:rPr>
                <w:b/>
                <w:i/>
              </w:rPr>
              <w:t>weist darauf hin, dass das Fehlen eines gemeinsamen sicheren Anlagewerts als Referenzwert für eine geringere Effizienz an den Kapitalmärkten und im Bankensektor sorgt;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fordert die Kommission auf, Leitlinien für einen gezielten Solidaritätsbeitrag von Banken auszuarbeiten, mit dem den jüngsten Gewinnen Rechnung getragen und ein fairer Beitrag zu den öffentlichen Finanzen sichergestellt wird und gleichzeitig die Resilienz und Finanzstabilität unterstützt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fordert die Kommission auf, Leitlinien für einen gezielten Solidaritätsbeitrag von Banken auszuarbeiten, mit dem den jüngsten Gewinnen Rechnung getragen und ein fairer Beitrag zu den öffentlichen Finanzen sichergestellt wird und gleichzeitig die Resilienz und Finanzstabilität unterstützt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fordert die Kommission auf, Leitlinien für einen gezielten Solidaritätsbeitrag von Banken auszuarbeiten, mit dem den jüngsten Gewinnen Rechnung getragen und ein fairer Beitrag zu den öffentlichen Finanzen sichergestellt wird und gleichzeitig die Resilienz und Finanzstabilität unterstützt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fordert die Kommission auf, Leitlinien für einen gezielten Solidaritätsbeitrag von Banken auszuarbeiten, mit dem den jüngsten Gewinnen Rechnung getragen und ein fairer Beitrag zu den öffentlichen Finanzen sichergestellt wird und gleichzeitig die Resilienz und Finanzstabilität unterstützt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fordert die Kommission auf, Leitlinien für einen gezielten Solidaritätsbeitrag von Banken auszuarbeiten, mit dem den jüngsten Gewinnen Rechnung getragen und ein fairer Beitrag zu den öffentlichen Finanzen sichergestellt wird und gleichzeitig die Resilienz und Finanzstabilität unterstützt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fordert die Kommission auf, Leitlinien für einen gezielten Solidaritätsbeitrag von Banken auszuarbeiten, mit dem den jüngsten Gewinnen Rechnung getragen und ein fairer Beitrag zu den öffentlichen Finanzen sichergestellt wird und gleichzeitig die Resilienz und Finanzstabilität unterstützt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fordert die Kommission auf, Leitlinien für einen gezielten Solidaritätsbeitrag von Banken auszuarbeiten, mit dem den jüngsten Gewinnen Rechnung getragen und ein fairer Beitrag zu den öffentlichen Finanzen sichergestellt wird und gleichzeitig die Resilienz und Finanzstabilität unterstützt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fordert die Kommission auf, Leitlinien für einen gezielten Solidaritätsbeitrag von Banken auszuarbeiten, mit dem den jüngsten Gewinnen Rechnung getragen und ein fairer Beitrag zu den öffentlichen Finanzen sichergestellt wird und gleichzeitig die Resilienz und Finanzstabilität unterstützt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fordert die Kommission auf, Leitlinien für einen gezielten Solidaritätsbeitrag von Banken auszuarbeiten, mit dem den jüngsten Gewinnen Rechnung getragen und ein fairer Beitrag zu den öffentlichen Finanzen sichergestellt wird und gleichzeitig die Resilienz und Finanzstabilität unterstützt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fordert die Kommission auf, Leitlinien für einen gezielten Solidaritätsbeitrag von Banken auszuarbeiten, mit dem den jüngsten Gewinnen Rechnung getragen und ein fairer Beitrag zu den öffentlichen Finanzen sichergestellt wird und gleichzeitig die Resilienz und Finanzstabilität unterstützt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betont, dass das ordnungsgemäße Funktionieren und die Glaubwürdigkeit der Bankenunion zudem die uneingeschränkte Achtung und wirksame Durchsetzung des Verbraucherschutzrechts der Union im Bankensektor voraussetzen;</w:t>
            </w:r>
            <w:r>
              <w:t xml:space="preserve"> </w:t>
            </w:r>
            <w:r>
              <w:rPr>
                <w:b/>
                <w:i/>
              </w:rPr>
              <w:t>betont, dass Kreditinstitute davon absehen müssen, unfaire Vertragsbedingungen und Geschäftspraktiken, insbesondere im Zusammenhang mit Hypotheken- und Privatkundenkrediten, anzuwenden;</w:t>
            </w:r>
            <w:r>
              <w:t xml:space="preserve"> </w:t>
            </w:r>
            <w:r>
              <w:rPr>
                <w:b/>
                <w:i/>
              </w:rPr>
              <w:t>hebt hervor, dass Verbrauchern, einschließlich Kreditnehmern, wirksamer Schutz, Rechtssicherheit sowie Zugang zu wirksamen Rechtsbehelfen geboten werden müssen;</w:t>
            </w:r>
            <w:r>
              <w:t xml:space="preserve"> </w:t>
            </w:r>
            <w:r>
              <w:rPr>
                <w:b/>
                <w:i/>
              </w:rPr>
              <w:t>fordert die Mitgliedstaaten und die zuständigen Behörden in diesem Zusammenhang auf, dafür zu sorgen, dass im Falle von Verstößen konsequente Aufsichts- und Durchsetzungsmaßnahmen greifen;</w:t>
            </w:r>
            <w:r>
              <w:t xml:space="preserve"> </w:t>
            </w:r>
            <w:r>
              <w:rPr>
                <w:b/>
                <w:i/>
              </w:rPr>
              <w:t>betont ferner, dass es wichtig ist, einen angemessenen Schutz von Erstwohnungen mit weniger als 250 m² sicherzustellen, insbesondere in Fällen, in denen Kreditnehmer bereits einen wesentlichen Teil ihres Darlehens – wie etwa 50 % des ursprünglichen Darlehens – zurückgezahlt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betont, dass jegliche nationalen Maßnahmen mit Auswirkungen auf den Bankensektor, einschließlich Solidaritätsbeiträgen, außerordentlich und verhältnismäßig sein sollten und die Fähigkeit der Banken, Finanzmittel für die Realwirtschaft bereitzustellen, Investitionen zu unterstützen oder die Finanzstabilität zu wahren, nicht beeinträchtigen sollten;</w:t>
            </w:r>
            <w:r>
              <w:t xml:space="preserve"> </w:t>
            </w:r>
            <w:r>
              <w:rPr>
                <w:b/>
                <w:i/>
              </w:rPr>
              <w:t>fordert die Kommission auf, die Auswirkungen solcher Maßnahmen auf die Wettbewerbsfähigkeit und die grenzüberschreitende Integration innerhalb des Binnenmarkts zu überwachen;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begrüßt, dass der AMLA eine wichtige Rolle dabei zukommt, das Vorgehen der EU gegen Geldwäsche und Terrorismusfinanzierung zu verstärken;</w:t>
            </w:r>
            <w:r>
              <w:t xml:space="preserve"> </w:t>
            </w:r>
            <w:r>
              <w:rPr>
                <w:b/>
                <w:i/>
              </w:rPr>
              <w:t>fordert in diesem Zusammenhang eine einheitliche Umsetzung, eine verstärkte Zusammenarbeit, den Austausch von Informationen sowie eine koordinierte Durchsetzung in der gesamten EU;</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 Enikő Győri,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begrüßt, dass</w:t>
            </w:r>
            <w:r>
              <w:t xml:space="preserve"> der AMLA </w:t>
            </w:r>
            <w:r>
              <w:rPr>
                <w:b/>
                <w:i/>
              </w:rPr>
              <w:t>eine wichtige Rolle dabei zukommt, das Vorgehen</w:t>
            </w:r>
            <w:r>
              <w:t xml:space="preserve"> der EU gegen Geldwäsche und Terrorismusfinanzierung </w:t>
            </w:r>
            <w:r>
              <w:rPr>
                <w:b/>
                <w:i/>
              </w:rPr>
              <w:t>zu verstärken</w:t>
            </w:r>
            <w:r>
              <w:t>; fordert in diesem Zusammenhang eine einheitliche Umsetzung, eine verstärkte Zusammenarbeit, den Austausch von Informationen sowie eine koordinierte Durchsetzung in der gesamten EU;</w:t>
            </w:r>
          </w:p>
        </w:tc>
        <w:tc>
          <w:tcPr>
            <w:tcW w:w="4876" w:type="dxa"/>
            <w:tcBorders>
              <w:top w:val="nil"/>
              <w:left w:val="nil"/>
              <w:bottom w:val="nil"/>
              <w:right w:val="nil"/>
            </w:tcBorders>
          </w:tcPr>
          <w:p>
            <w:pPr>
              <w:pStyle w:val="Normal6a"/>
            </w:pPr>
            <w:r>
              <w:t>8.</w:t>
            </w:r>
            <w:r>
              <w:tab/>
            </w:r>
            <w:r>
              <w:rPr>
                <w:b/>
                <w:i/>
              </w:rPr>
              <w:t>blickt dem künftigen Beitrag</w:t>
            </w:r>
            <w:r>
              <w:t xml:space="preserve"> der AMLA </w:t>
            </w:r>
            <w:r>
              <w:rPr>
                <w:b/>
                <w:i/>
              </w:rPr>
              <w:t>zu einer Intensivierung des Vorgehens</w:t>
            </w:r>
            <w:r>
              <w:t xml:space="preserve"> der EU gegen Geldwäsche und Terrorismusfinanzierung </w:t>
            </w:r>
            <w:r>
              <w:rPr>
                <w:b/>
                <w:i/>
              </w:rPr>
              <w:t>erwartungsvoll entgegen</w:t>
            </w:r>
            <w:r>
              <w:t>; fordert in diesem Zusammenhang eine einheitliche Umsetzung, eine verstärkte Zusammenarbeit, den Austausch von Informationen sowie eine koordinierte Durchsetzung in der gesamten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begrüßt, dass der AMLA eine wichtige Rolle dabei zukommt, das Vorgehen der EU gegen Geldwäsche und Terrorismusfinanzierung zu verstärken; fordert in diesem Zusammenhang eine einheitliche Umsetzung, eine verstärkte Zusammenarbeit, den Austausch von Informationen sowie eine koordinierte Durchsetzung in der gesamten EU;</w:t>
            </w:r>
          </w:p>
        </w:tc>
        <w:tc>
          <w:tcPr>
            <w:tcW w:w="4876" w:type="dxa"/>
            <w:tcBorders>
              <w:top w:val="nil"/>
              <w:left w:val="nil"/>
              <w:bottom w:val="nil"/>
              <w:right w:val="nil"/>
            </w:tcBorders>
          </w:tcPr>
          <w:p>
            <w:pPr>
              <w:pStyle w:val="Normal6a"/>
            </w:pPr>
            <w:r>
              <w:t>8.</w:t>
            </w:r>
            <w:r>
              <w:tab/>
            </w:r>
            <w:r>
              <w:t xml:space="preserve">begrüßt, dass der AMLA eine wichtige Rolle dabei zukommt, das Vorgehen der EU gegen Geldwäsche und Terrorismusfinanzierung zu verstärken; fordert in diesem Zusammenhang eine einheitliche Umsetzung, eine verstärkte Zusammenarbeit, den Austausch von Informationen sowie eine koordinierte Durchsetzung in der gesamten EU; </w:t>
            </w:r>
            <w:r>
              <w:rPr>
                <w:b/>
                <w:i/>
              </w:rPr>
              <w:t>betont, dass die AMLA bei ihrer Aufsichts- und Regulierungstätigkeit dem Grundsatz der Verhältnismäßigkeit Folge leisten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begrüßt, dass der AMLA eine wichtige Rolle dabei zukommt, das Vorgehen der EU gegen Geldwäsche und Terrorismusfinanzierung zu verstärken; fordert in diesem Zusammenhang eine einheitliche Umsetzung, eine verstärkte Zusammenarbeit, den Austausch von Informationen sowie eine koordinierte Durchsetzung in der gesamten EU;</w:t>
            </w:r>
          </w:p>
        </w:tc>
        <w:tc>
          <w:tcPr>
            <w:tcW w:w="4876" w:type="dxa"/>
            <w:tcBorders>
              <w:top w:val="nil"/>
              <w:left w:val="nil"/>
              <w:bottom w:val="nil"/>
              <w:right w:val="nil"/>
            </w:tcBorders>
          </w:tcPr>
          <w:p>
            <w:pPr>
              <w:pStyle w:val="Normal6a"/>
            </w:pPr>
            <w:r>
              <w:t>8.</w:t>
            </w:r>
            <w:r>
              <w:tab/>
            </w:r>
            <w:r>
              <w:t xml:space="preserve">begrüßt, dass der AMLA eine wichtige Rolle dabei zukommt, das Vorgehen der EU gegen Geldwäsche und Terrorismusfinanzierung zu verstärken; fordert in diesem Zusammenhang eine einheitliche Umsetzung, eine verstärkte Zusammenarbeit, den Austausch von Informationen sowie eine koordinierte Durchsetzung in der gesamten EU; </w:t>
            </w:r>
            <w:r>
              <w:rPr>
                <w:b/>
                <w:i/>
              </w:rPr>
              <w:t>weist darauf hin, dass ein koordinierter, vereinfachter und verhältnismäßiger Ansatz auch künftig ein zentrales Leitprinzip der Arbeit der AMLA im Rahmen von Stufe 2 darstellen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begrüßt, dass der AMLA eine wichtige Rolle dabei zukommt, das Vorgehen der EU gegen Geldwäsche und Terrorismusfinanzierung zu verstärken; fordert in diesem Zusammenhang eine einheitliche Umsetzung, eine verstärkte Zusammenarbeit, den Austausch von Informationen sowie eine koordinierte Durchsetzung in der gesamten EU;</w:t>
            </w:r>
          </w:p>
        </w:tc>
        <w:tc>
          <w:tcPr>
            <w:tcW w:w="4876" w:type="dxa"/>
            <w:tcBorders>
              <w:top w:val="nil"/>
              <w:left w:val="nil"/>
              <w:bottom w:val="nil"/>
              <w:right w:val="nil"/>
            </w:tcBorders>
          </w:tcPr>
          <w:p>
            <w:pPr>
              <w:pStyle w:val="Normal6a"/>
            </w:pPr>
            <w:r>
              <w:t>8.</w:t>
            </w:r>
            <w:r>
              <w:tab/>
            </w:r>
            <w:r>
              <w:t>begrüßt, dass der AMLA eine wichtige Rolle dabei zukommt, das Vorgehen der EU gegen Geldwäsche und Terrorismusfinanzierung zu verstärken; fordert in diesem Zusammenhang eine einheitliche Umsetzung, eine verstärkte Zusammenarbeit, den Austausch von Informationen sowie eine koordinierte Durchsetzung in der gesamten EU</w:t>
            </w:r>
            <w:r>
              <w:rPr>
                <w:b/>
                <w:i/>
              </w:rPr>
              <w:t>, wobei es gilt, unnötige regulatorische Überschneidungen und übermäßigen Verwaltungsaufwand für Finanzinstitute zu vermeiden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begrüßt, dass der AMLA eine wichtige Rolle dabei zukommt, das Vorgehen der EU gegen Geldwäsche und Terrorismusfinanzierung zu verstärken; fordert in diesem Zusammenhang eine einheitliche Umsetzung, eine verstärkte Zusammenarbeit, den Austausch von Informationen sowie eine koordinierte Durchsetzung in der gesamten EU;</w:t>
            </w:r>
          </w:p>
        </w:tc>
        <w:tc>
          <w:tcPr>
            <w:tcW w:w="4876" w:type="dxa"/>
            <w:tcBorders>
              <w:top w:val="nil"/>
              <w:left w:val="nil"/>
              <w:bottom w:val="nil"/>
              <w:right w:val="nil"/>
            </w:tcBorders>
          </w:tcPr>
          <w:p>
            <w:pPr>
              <w:pStyle w:val="Normal6a"/>
            </w:pPr>
            <w:r>
              <w:t>8.</w:t>
            </w:r>
            <w:r>
              <w:tab/>
            </w:r>
            <w:r>
              <w:t xml:space="preserve">begrüßt, dass der AMLA eine wichtige Rolle dabei zukommt, das Vorgehen der EU gegen Geldwäsche und Terrorismusfinanzierung zu verstärken; fordert in diesem Zusammenhang eine einheitliche Umsetzung, eine verstärkte Zusammenarbeit, den Austausch von Informationen sowie eine koordinierte Durchsetzung in der gesamten EU; </w:t>
            </w:r>
            <w:r>
              <w:rPr>
                <w:b/>
                <w:i/>
              </w:rPr>
              <w:t>betont, dass es einer effizienten Zusammenarbeit zwischen der AMLA und den Europäischen Aufsichtsbehörden (ESA) sowie den Aufsichtsbehörden bedarf;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betont, dass der europäische Regulierungs-, Aufsichts- und Melderahmen für Banken vereinfacht werden muss, um der Komplexität, die die Wettbewerbsfähigkeit der europäischen Banken sowie ihre Fähigkeit, wirksam Dienste für die Realwirtschaft zu erbringen, unnötig beeinträchtigt, ein Ende zu setzen;</w:t>
            </w:r>
            <w:r>
              <w:t xml:space="preserve"> </w:t>
            </w:r>
            <w:r>
              <w:rPr>
                <w:b/>
                <w:i/>
              </w:rPr>
              <w:t>betont, dass die Resilienz von Banken, die Finanzstabilität und die Wirksamkeit des Abwicklungsrahmens nicht durch Vereinfachungsbestrebungen beeinträchtigen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betont, dass </w:t>
            </w:r>
            <w:r>
              <w:rPr>
                <w:b/>
                <w:i/>
              </w:rPr>
              <w:t>eine solide, kohärente und fristgerechte Finanzberichterstattung mit Blick auf die Aufsicht und Stabilität von entscheidender Bedeutung ist;</w:t>
            </w:r>
            <w:r>
              <w:t xml:space="preserve"> </w:t>
            </w:r>
            <w:r>
              <w:rPr>
                <w:b/>
                <w:i/>
              </w:rPr>
              <w:t>betont, dass</w:t>
            </w:r>
            <w:r>
              <w:t xml:space="preserve"> Vereinfachungen nicht zu einer Abschwächung von Standards in Bezug auf Aufsicht, Verbraucherschutz oder Stabilität führen dürfen; fordert </w:t>
            </w:r>
            <w:r>
              <w:rPr>
                <w:b/>
                <w:i/>
              </w:rPr>
              <w:t>einen ausgewogenen und stärker integrierten Ansatz, der ein gemeinsames Datenverzeichnis und ein Anfragenregister vorsieht, um unnötige Komplexität zu verhindern und gleichzeitig die Robustheit des Rahmens für die Bankenunion zu wahren</w:t>
            </w:r>
            <w:r>
              <w:t>;</w:t>
            </w:r>
          </w:p>
        </w:tc>
        <w:tc>
          <w:tcPr>
            <w:tcW w:w="4876" w:type="dxa"/>
            <w:tcBorders>
              <w:top w:val="nil"/>
              <w:left w:val="nil"/>
              <w:bottom w:val="nil"/>
              <w:right w:val="nil"/>
            </w:tcBorders>
          </w:tcPr>
          <w:p>
            <w:pPr>
              <w:pStyle w:val="Normal6a"/>
            </w:pPr>
            <w:r>
              <w:t>9.</w:t>
            </w:r>
            <w:r>
              <w:tab/>
            </w:r>
            <w:r>
              <w:t xml:space="preserve">betont, dass </w:t>
            </w:r>
            <w:r>
              <w:rPr>
                <w:b/>
                <w:i/>
              </w:rPr>
              <w:t>regulatorische</w:t>
            </w:r>
            <w:r>
              <w:t xml:space="preserve"> Vereinfachungen nicht zu einer Abschwächung von Standards in Bezug auf Aufsicht, Verbraucherschutz oder Stabilität führen dürfen</w:t>
            </w:r>
            <w:r>
              <w:rPr>
                <w:b/>
                <w:i/>
              </w:rPr>
              <w:t>, sondern vielmehr die Effizienz und Verhältnismäßigkeit dieser Standards hinsichtlich ihres eigentlichen Zwecks erhöhen sollten;</w:t>
            </w:r>
            <w:r>
              <w:t xml:space="preserve"> </w:t>
            </w:r>
            <w:r>
              <w:rPr>
                <w:b/>
                <w:i/>
              </w:rPr>
              <w:t>fordert, dass die Entwicklungen im Digitalbereich, insbesondere im Zusammenhang mit KI, in Bezug auf Aufsichtspflichten verbessert werden</w:t>
            </w:r>
            <w:r>
              <w:t xml:space="preserve">; fordert </w:t>
            </w:r>
            <w:r>
              <w:rPr>
                <w:b/>
                <w:i/>
              </w:rPr>
              <w:t>die Aufsichts- und Regulierungsbehörden auf, beaufsichtigten Instituten geringere Befolgungs- und Meldekosten zu bescheren, indem mehr Daten zwischen den verschiedenen Behörden ausgetauscht werden und die Möglichkeit geprüft wird, dass mittels KI von einem „Push“-Modell, bei dem Daten von beaufsichtigten Instituten reguliert werden, zu einem „Pull“-Modell übergegangen wird, bei dem den Aufsichtsbehörden Zugang zu granularen Daten beaufsichtigter Institute gewährt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betont, dass eine solide, kohärente und fristgerechte Finanzberichterstattung mit Blick auf die Aufsicht und Stabilität von entscheidender Bedeutung ist; betont, </w:t>
            </w:r>
            <w:r>
              <w:rPr>
                <w:b/>
                <w:i/>
              </w:rPr>
              <w:t>dass Vereinfachungen nicht zu einer Abschwächung von Standards in Bezug auf Aufsicht</w:t>
            </w:r>
            <w:r>
              <w:t xml:space="preserve">, Verbraucherschutz </w:t>
            </w:r>
            <w:r>
              <w:rPr>
                <w:b/>
                <w:i/>
              </w:rPr>
              <w:t>oder Stabilität führen dürfen</w:t>
            </w:r>
            <w:r>
              <w:t xml:space="preserve">; fordert einen ausgewogenen und stärker integrierten Ansatz, der </w:t>
            </w:r>
            <w:r>
              <w:rPr>
                <w:b/>
                <w:i/>
              </w:rPr>
              <w:t>ein gemeinsames Datenverzeichnis und ein Anfragenregister</w:t>
            </w:r>
            <w:r>
              <w:t xml:space="preserve"> vorsieht, </w:t>
            </w:r>
            <w:r>
              <w:rPr>
                <w:b/>
                <w:i/>
              </w:rPr>
              <w:t>um unnötige Komplexität zu verhindern und gleichzeitig die Robustheit des Rahmens für die Bankenunion zu wahren</w:t>
            </w:r>
            <w:r>
              <w:t>;</w:t>
            </w:r>
          </w:p>
        </w:tc>
        <w:tc>
          <w:tcPr>
            <w:tcW w:w="4876" w:type="dxa"/>
            <w:tcBorders>
              <w:top w:val="nil"/>
              <w:left w:val="nil"/>
              <w:bottom w:val="nil"/>
              <w:right w:val="nil"/>
            </w:tcBorders>
          </w:tcPr>
          <w:p>
            <w:pPr>
              <w:pStyle w:val="Normal6a"/>
            </w:pPr>
            <w:r>
              <w:t>9.</w:t>
            </w:r>
            <w:r>
              <w:tab/>
            </w:r>
            <w:r>
              <w:t xml:space="preserve">betont, dass eine solide, kohärente und fristgerechte Finanzberichterstattung mit Blick auf die Aufsicht und Stabilität von entscheidender Bedeutung ist; betont, </w:t>
            </w:r>
            <w:r>
              <w:rPr>
                <w:b/>
                <w:i/>
              </w:rPr>
              <w:t>wie wichtig Rechtssicherheit, Vorhersehbarkeit und Stabilität für den Bankensektor sind;</w:t>
            </w:r>
            <w:r>
              <w:t xml:space="preserve"> </w:t>
            </w:r>
            <w:r>
              <w:rPr>
                <w:b/>
                <w:i/>
              </w:rPr>
              <w:t>betont in diesem Zusammenhang, dass es weiterer Maßnahmen zur Förderung der Digitalisierung und Vereinfachung bedarf, bei denen die Aufsichts-</w:t>
            </w:r>
            <w:r>
              <w:t>, Verbraucherschutz</w:t>
            </w:r>
            <w:r>
              <w:rPr>
                <w:b/>
                <w:i/>
              </w:rPr>
              <w:t>- oder Stabilitätsstandards gewahrt bleiben</w:t>
            </w:r>
            <w:r>
              <w:t xml:space="preserve">; fordert einen ausgewogenen und stärker integrierten Ansatz, der </w:t>
            </w:r>
            <w:r>
              <w:rPr>
                <w:b/>
                <w:i/>
              </w:rPr>
              <w:t>etwa ein zentrales Datenzentrum</w:t>
            </w:r>
            <w:r>
              <w:t xml:space="preserve"> vorsieht, </w:t>
            </w:r>
            <w:r>
              <w:rPr>
                <w:b/>
                <w:i/>
              </w:rPr>
              <w:t>das auf standardisierten Definitionen beruht und von Behörden gemeinsam genutzt wird, damit Doppelarbeit verringert, die Datenqualität verbessert und der Verwaltungsaufwand für Banken gemindert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betont, dass eine solide, kohärente und fristgerechte Finanzberichterstattung mit Blick auf die Aufsicht und Stabilität von entscheidender Bedeutung ist; </w:t>
            </w:r>
            <w:r>
              <w:rPr>
                <w:b/>
                <w:i/>
              </w:rPr>
              <w:t>betont, dass</w:t>
            </w:r>
            <w:r>
              <w:t xml:space="preserve"> Vereinfachungen </w:t>
            </w:r>
            <w:r>
              <w:rPr>
                <w:b/>
                <w:i/>
              </w:rPr>
              <w:t>nicht zu einer Abschwächung von Standards in Bezug auf Aufsicht, Verbraucherschutz oder Stabilität führen dürfen;</w:t>
            </w:r>
            <w:r>
              <w:t xml:space="preserve"> </w:t>
            </w:r>
            <w:r>
              <w:rPr>
                <w:b/>
                <w:i/>
              </w:rPr>
              <w:t>fordert einen ausgewogenen und stärker integrierten Ansatz, der ein gemeinsames Datenverzeichnis und ein Anfragenregister vorsieht, um unnötige Komplexität zu verhindern und gleichzeitig die Robustheit des Rahmens für die Bankenunion zu wahren</w:t>
            </w:r>
            <w:r>
              <w:t>;</w:t>
            </w:r>
          </w:p>
        </w:tc>
        <w:tc>
          <w:tcPr>
            <w:tcW w:w="4876" w:type="dxa"/>
            <w:tcBorders>
              <w:top w:val="nil"/>
              <w:left w:val="nil"/>
              <w:bottom w:val="nil"/>
              <w:right w:val="nil"/>
            </w:tcBorders>
          </w:tcPr>
          <w:p>
            <w:pPr>
              <w:pStyle w:val="Normal6a"/>
            </w:pPr>
            <w:r>
              <w:t>9.</w:t>
            </w:r>
            <w:r>
              <w:tab/>
            </w:r>
            <w:r>
              <w:t xml:space="preserve">betont, dass eine solide, kohärente und fristgerechte Finanzberichterstattung mit Blick auf die Aufsicht und Stabilität von entscheidender Bedeutung ist; </w:t>
            </w:r>
            <w:r>
              <w:rPr>
                <w:b/>
                <w:i/>
              </w:rPr>
              <w:t>stellt jedoch fest, dass – insbesondere für kleinere Unternehmen –</w:t>
            </w:r>
            <w:r>
              <w:t xml:space="preserve"> Vereinfachungen </w:t>
            </w:r>
            <w:r>
              <w:rPr>
                <w:b/>
                <w:i/>
              </w:rPr>
              <w:t>erreicht werden müssen;</w:t>
            </w:r>
            <w:r>
              <w:t xml:space="preserve"> </w:t>
            </w:r>
            <w:r>
              <w:rPr>
                <w:b/>
                <w:i/>
              </w:rPr>
              <w:t>ist der Ansicht, dass die Anforderungen in diesem Bereich verhältnismäßig und auf die Besonderheiten des europäischen Bankensektors abgestimmt sein sollten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betont, dass eine solide, kohärente und fristgerechte Finanzberichterstattung mit Blick auf die Aufsicht und Stabilität von entscheidender Bedeutung ist; betont, dass Vereinfachungen nicht zu einer Abschwächung von Standards in Bezug auf Aufsicht, Verbraucherschutz oder Stabilität führen dürfen; </w:t>
            </w:r>
            <w:r>
              <w:rPr>
                <w:b/>
                <w:i/>
              </w:rPr>
              <w:t>fordert einen ausgewogenen und stärker integrierten Ansatz, der ein gemeinsames Datenverzeichnis und ein Anfragenregister vorsieht, um unnötige Komplexität zu verhindern und gleichzeitig die Robustheit des Rahmens für die Bankenunion zu wahren;</w:t>
            </w:r>
          </w:p>
        </w:tc>
        <w:tc>
          <w:tcPr>
            <w:tcW w:w="4876" w:type="dxa"/>
            <w:tcBorders>
              <w:top w:val="nil"/>
              <w:left w:val="nil"/>
              <w:bottom w:val="nil"/>
              <w:right w:val="nil"/>
            </w:tcBorders>
          </w:tcPr>
          <w:p>
            <w:pPr>
              <w:pStyle w:val="Normal6a"/>
            </w:pPr>
            <w:r>
              <w:t>9.</w:t>
            </w:r>
            <w:r>
              <w:tab/>
            </w:r>
            <w:r>
              <w:t xml:space="preserve">betont, dass eine solide, kohärente und fristgerechte Finanzberichterstattung mit Blick auf die Aufsicht und Stabilität von entscheidender Bedeutung ist; betont, dass </w:t>
            </w:r>
            <w:r>
              <w:rPr>
                <w:b/>
                <w:i/>
              </w:rPr>
              <w:t>es bei</w:t>
            </w:r>
            <w:r>
              <w:t xml:space="preserve"> Vereinfachungen </w:t>
            </w:r>
            <w:r>
              <w:rPr>
                <w:b/>
                <w:i/>
              </w:rPr>
              <w:t>vornehmlich um die Beseitigung von Doppelarbeit und unnötiger Komplexität gehen sollte, wobei sie</w:t>
            </w:r>
            <w:r>
              <w:t xml:space="preserve"> nicht zu einer Abschwächung von Standards in Bezug auf Aufsicht, Verbraucherschutz oder Stabilität führen dürfen;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betont, dass eine solide, kohärente und fristgerechte Finanzberichterstattung mit Blick auf die Aufsicht und Stabilität von entscheidender Bedeutung ist; </w:t>
            </w:r>
            <w:r>
              <w:rPr>
                <w:b/>
                <w:i/>
              </w:rPr>
              <w:t>betont, dass Vereinfachungen nicht zu einer Abschwächung von Standards in Bezug auf Aufsicht, Verbraucherschutz oder Stabilität führen dürfen;</w:t>
            </w:r>
            <w:r>
              <w:t xml:space="preserve"> fordert einen ausgewogenen und stärker integrierten Ansatz, der ein gemeinsames Datenverzeichnis und ein Anfragenregister vorsieht, um unnötige Komplexität zu verhindern und gleichzeitig die Robustheit des Rahmens für die Bankenunion zu wahren;</w:t>
            </w:r>
          </w:p>
        </w:tc>
        <w:tc>
          <w:tcPr>
            <w:tcW w:w="4876" w:type="dxa"/>
            <w:tcBorders>
              <w:top w:val="nil"/>
              <w:left w:val="nil"/>
              <w:bottom w:val="nil"/>
              <w:right w:val="nil"/>
            </w:tcBorders>
          </w:tcPr>
          <w:p>
            <w:pPr>
              <w:pStyle w:val="Normal6a"/>
            </w:pPr>
            <w:r>
              <w:t>9.</w:t>
            </w:r>
            <w:r>
              <w:tab/>
            </w:r>
            <w:r>
              <w:t>betont, dass eine solide, kohärente und fristgerechte Finanzberichterstattung mit Blick auf die Aufsicht und Stabilität von entscheidender Bedeutung ist; fordert einen ausgewogenen</w:t>
            </w:r>
            <w:r>
              <w:rPr>
                <w:b/>
                <w:i/>
              </w:rPr>
              <w:t>, weniger umständlichen</w:t>
            </w:r>
            <w:r>
              <w:t xml:space="preserve"> und stärker integrierten Ansatz </w:t>
            </w:r>
            <w:r>
              <w:rPr>
                <w:b/>
                <w:i/>
              </w:rPr>
              <w:t>bei der aufsichtlichen Berichterstattung</w:t>
            </w:r>
            <w:r>
              <w:t>, der ein gemeinsames Datenverzeichnis und ein Anfragenregister vorsieht, um unnötige Komplexität zu verhindern und gleichzeitig die Robustheit des Rahmens für die Bankenunion zu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betont, dass eine solide, kohärente und fristgerechte Finanzberichterstattung mit Blick auf die Aufsicht und Stabilität von entscheidender Bedeutung ist; betont, dass Vereinfachungen nicht zu einer Abschwächung von Standards in Bezug auf </w:t>
            </w:r>
            <w:r>
              <w:rPr>
                <w:b/>
                <w:i/>
              </w:rPr>
              <w:t>Aufsicht</w:t>
            </w:r>
            <w:r>
              <w:t>, Verbraucherschutz oder Stabilität führen dürfen; fordert einen ausgewogenen und stärker integrierten Ansatz, der ein gemeinsames Datenverzeichnis und ein Anfragenregister vorsieht, um unnötige Komplexität zu verhindern und gleichzeitig die Robustheit des Rahmens für die Bankenunion zu wahren;</w:t>
            </w:r>
          </w:p>
        </w:tc>
        <w:tc>
          <w:tcPr>
            <w:tcW w:w="4876" w:type="dxa"/>
            <w:tcBorders>
              <w:top w:val="nil"/>
              <w:left w:val="nil"/>
              <w:bottom w:val="nil"/>
              <w:right w:val="nil"/>
            </w:tcBorders>
          </w:tcPr>
          <w:p>
            <w:pPr>
              <w:pStyle w:val="Normal6a"/>
            </w:pPr>
            <w:r>
              <w:t>9.</w:t>
            </w:r>
            <w:r>
              <w:tab/>
            </w:r>
            <w:r>
              <w:t xml:space="preserve">betont, dass eine solide, kohärente und fristgerechte Finanzberichterstattung mit Blick auf die Aufsicht und Stabilität von entscheidender Bedeutung ist; betont, dass Vereinfachungen nicht zu einer Abschwächung von Standards in Bezug auf </w:t>
            </w:r>
            <w:r>
              <w:rPr>
                <w:b/>
                <w:i/>
              </w:rPr>
              <w:t>aufsichtliche Resilienz</w:t>
            </w:r>
            <w:r>
              <w:t>, Verbraucherschutz oder Stabilität führen dürfen; fordert einen ausgewogenen und stärker integrierten Ansatz, der ein gemeinsames Datenverzeichnis und ein Anfragenregister vorsieht, um unnötige Komplexität zu verhindern und gleichzeitig die Robustheit des Rahmens für die Bankenunion zu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stellt fest, dass der Bankensektor von zahlreichen sich überschneidenden, fragmentierten und bisweilen widersprüchlichen Vorschriften betroffen war;</w:t>
            </w:r>
            <w:r>
              <w:t xml:space="preserve"> </w:t>
            </w:r>
            <w:r>
              <w:rPr>
                <w:b/>
                <w:i/>
              </w:rPr>
              <w:t>blickt der bevorstehenden umfassenden Überprüfung der Wettbewerbsfähigkeit des EU-Bankensektors durch die Kommission im Jahr 2026 erwartungsvoll entgegen;</w:t>
            </w:r>
            <w:r>
              <w:t xml:space="preserve"> </w:t>
            </w:r>
            <w:r>
              <w:rPr>
                <w:b/>
                <w:i/>
              </w:rPr>
              <w:t>fordert die Kommission auf, unnötigen Regelungsaufwand für den Bankensektor zu verringern, um dessen Wettbewerbsfähigkeit nicht zu beeinträchtigen;</w:t>
            </w:r>
            <w:r>
              <w:t xml:space="preserve"> </w:t>
            </w:r>
            <w:r>
              <w:rPr>
                <w:b/>
                <w:i/>
              </w:rPr>
              <w:t>fordert die Kommission in diesem Zusammenhang auf, in Bezug auf alle neuen Rechtsvorschriften Prüfungen im Hinblick auf die Wettbewerbsfähigkeit vorzusehen und Gesetzgebungsverfahren zu straffen, etwa durch Verringerung der Anzahl der automatischen Überprüfungsklauseln, ein Moratorium für nicht wesentliche neue Vorschriften oder die systematische Abschaffung überflüssiger Melde- oder Offenlegungspflichten;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fordert, dass Aufsichtsbehörden leichter verhindern können sollten, dass die Anwendung innovativer digitaler Instrumente, die die Produktivität und Wettbewerbsfähigkeit insgesamt steigern können, unangemessen eingeschränkt wird;</w:t>
            </w:r>
            <w:r>
              <w:t xml:space="preserve"> </w:t>
            </w:r>
            <w:r>
              <w:rPr>
                <w:b/>
                <w:i/>
              </w:rPr>
              <w:t>fordert, dass ein grundsatzorientierter, verhältnismäßiger Ansatz verfolgt wird, mit dem keine Innovationshemmnisse geschaffen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begrüßt die hochrangige Taskforce der Europäischen Zentralbank zur Vereinfachung;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betont, dass es wichtig ist, die Verhältnismäßigkeit des EU-Regulierungsrahmens für das Bankenwesen sicherzustellen und dabei der Größe und Komplexität der verschiedenen Institute Rechnung zu tragen;</w:t>
            </w:r>
            <w:r>
              <w:t xml:space="preserve"> </w:t>
            </w:r>
            <w:r>
              <w:rPr>
                <w:b/>
                <w:i/>
              </w:rPr>
              <w:t>hebt hervor, dass kleine Banken für die Unterstützung von KMU und der lokalen Wirtschaft von großer Bedeutung sind, und fordert die Kommission auf, dafür zu sorgen, dass jegliche Regulierung risikosensitiv und ausgewogen bleibt und in der gesamten Union einen vielfältigen und wettbewerbsfähigen Bankensektor unterstützt;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würdigt die </w:t>
            </w:r>
            <w:r>
              <w:rPr>
                <w:b/>
                <w:i/>
              </w:rPr>
              <w:t>in institutioneller und regulatorischer Hinsicht erzielten Fortschritte, die zu einer stärkeren</w:t>
            </w:r>
            <w:r>
              <w:t xml:space="preserve"> Resilienz </w:t>
            </w:r>
            <w:r>
              <w:rPr>
                <w:b/>
                <w:i/>
              </w:rPr>
              <w:t>der Banken im Euro-Währungsgebiet beigetragen haben</w:t>
            </w:r>
            <w:r>
              <w:t xml:space="preserve">; stellt fest, dass </w:t>
            </w:r>
            <w:r>
              <w:rPr>
                <w:b/>
                <w:i/>
              </w:rPr>
              <w:t>nach wie vor Hindernisse bestehen, wenn es darum geht, das</w:t>
            </w:r>
            <w:r>
              <w:t xml:space="preserve"> Potenzial des </w:t>
            </w:r>
            <w:r>
              <w:rPr>
                <w:b/>
                <w:i/>
              </w:rPr>
              <w:t>EU-Binnenmarkts für Finanzdienstleistungen voll auszuschöpfen</w:t>
            </w:r>
            <w:r>
              <w:t xml:space="preserve">; </w:t>
            </w:r>
            <w:r>
              <w:rPr>
                <w:b/>
                <w:i/>
              </w:rPr>
              <w:t>fordert die Kommission, die Mitgliedstaaten und die Einrichtungen der EU auf, zur Verwirklichung der Ambitionen konkrete Maßnahmen zur Vollendung der Spar- und Investitionsunion und des Binnenmarkts zu ergreifen und in diesem Zusammenhang die Vereinfachung voranzubringen und die Wettbewerbsfähigkeit zu fördern;</w:t>
            </w:r>
          </w:p>
        </w:tc>
        <w:tc>
          <w:tcPr>
            <w:tcW w:w="4876" w:type="dxa"/>
            <w:tcBorders>
              <w:top w:val="nil"/>
              <w:left w:val="nil"/>
              <w:bottom w:val="nil"/>
              <w:right w:val="nil"/>
            </w:tcBorders>
          </w:tcPr>
          <w:p>
            <w:pPr>
              <w:pStyle w:val="Normal6a"/>
            </w:pPr>
            <w:r>
              <w:t>10.</w:t>
            </w:r>
            <w:r>
              <w:tab/>
            </w:r>
            <w:r>
              <w:t xml:space="preserve">würdigt die </w:t>
            </w:r>
            <w:r>
              <w:rPr>
                <w:b/>
                <w:i/>
              </w:rPr>
              <w:t>institutionellen Entwicklungen im Bereich der</w:t>
            </w:r>
            <w:r>
              <w:t xml:space="preserve"> Resilienz; stellt fest, dass </w:t>
            </w:r>
            <w:r>
              <w:rPr>
                <w:b/>
                <w:i/>
              </w:rPr>
              <w:t>durch die anhaltende Zunahme bei der Regulierung das eigentliche</w:t>
            </w:r>
            <w:r>
              <w:t xml:space="preserve"> Potenzial des </w:t>
            </w:r>
            <w:r>
              <w:rPr>
                <w:b/>
                <w:i/>
              </w:rPr>
              <w:t>europäischen Bankensektors weiterhin beeinträchtigt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würdigt die in institutioneller und regulatorischer Hinsicht erzielten Fortschritte, die zu einer stärkeren Resilienz der Banken </w:t>
            </w:r>
            <w:r>
              <w:rPr>
                <w:b/>
                <w:i/>
              </w:rPr>
              <w:t>im Euro-Währungsgebiet</w:t>
            </w:r>
            <w:r>
              <w:t xml:space="preserve"> beigetragen haben; stellt fest, dass nach wie vor Hindernisse bestehen, wenn es darum geht, das Potenzial des EU-Binnenmarkts für Finanzdienstleistungen voll auszuschöpfen; fordert die Kommission, die Mitgliedstaaten und die Einrichtungen der EU auf, zur Verwirklichung der Ambitionen konkrete Maßnahmen zur Vollendung der Spar- und Investitionsunion und des Binnenmarkts zu ergreifen </w:t>
            </w:r>
            <w:r>
              <w:rPr>
                <w:b/>
                <w:i/>
              </w:rPr>
              <w:t>und in diesem Zusammenhang die Vereinfachung voranzubringen und die Wettbewerbsfähigkeit zu fördern</w:t>
            </w:r>
            <w:r>
              <w:t>;</w:t>
            </w:r>
          </w:p>
        </w:tc>
        <w:tc>
          <w:tcPr>
            <w:tcW w:w="4876" w:type="dxa"/>
            <w:tcBorders>
              <w:top w:val="nil"/>
              <w:left w:val="nil"/>
              <w:bottom w:val="nil"/>
              <w:right w:val="nil"/>
            </w:tcBorders>
          </w:tcPr>
          <w:p>
            <w:pPr>
              <w:pStyle w:val="Normal6a"/>
            </w:pPr>
            <w:r>
              <w:t>10.</w:t>
            </w:r>
            <w:r>
              <w:tab/>
            </w:r>
            <w:r>
              <w:t xml:space="preserve">würdigt die in institutioneller und regulatorischer Hinsicht erzielten Fortschritte, die zu einer stärkeren Resilienz der Banken </w:t>
            </w:r>
            <w:r>
              <w:rPr>
                <w:b/>
                <w:i/>
              </w:rPr>
              <w:t>in der EU</w:t>
            </w:r>
            <w:r>
              <w:t xml:space="preserve"> beigetragen haben; stellt fest, dass nach wie vor Hindernisse bestehen, wenn es darum geht, das Potenzial des EU-Binnenmarkts für Finanzdienstleistungen voll auszuschöpfen; fordert die Kommission, die Mitgliedstaaten und die Einrichtungen der EU auf, zur Verwirklichung der Ambitionen konkrete Maßnahmen zur Vollendung der Spar- und Investitionsunion und des Binnenmarkts zu ergreifen</w:t>
            </w:r>
            <w:r>
              <w:rPr>
                <w:b/>
                <w:i/>
              </w:rPr>
              <w:t>, um die notwendigen Investitionen für einen gerechten grünen Wandel zu mobilisieren;</w:t>
            </w:r>
            <w:r>
              <w:t xml:space="preserve"> </w:t>
            </w:r>
            <w:r>
              <w:rPr>
                <w:b/>
                <w:i/>
              </w:rPr>
              <w:t>hebt die Bedeutung der Taxonomie-Verordnung für ein solches Vorhaben hervor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würdigt die in institutioneller und regulatorischer Hinsicht erzielten Fortschritte, die zu einer stärkeren Resilienz der Banken im Euro-Währungsgebiet beigetragen haben; stellt fest, dass nach wie vor Hindernisse bestehen, wenn es darum geht, das Potenzial des EU-Binnenmarkts für Finanzdienstleistungen voll auszuschöpfen; fordert die Kommission, die Mitgliedstaaten und die Einrichtungen der EU auf, zur Verwirklichung der Ambitionen konkrete Maßnahmen zur Vollendung der Spar- und Investitionsunion und des Binnenmarkts zu ergreifen und in diesem Zusammenhang die Vereinfachung voranzubringen und die Wettbewerbsfähigkeit zu fördern;</w:t>
            </w:r>
          </w:p>
        </w:tc>
        <w:tc>
          <w:tcPr>
            <w:tcW w:w="4876" w:type="dxa"/>
            <w:tcBorders>
              <w:top w:val="nil"/>
              <w:left w:val="nil"/>
              <w:bottom w:val="nil"/>
              <w:right w:val="nil"/>
            </w:tcBorders>
          </w:tcPr>
          <w:p>
            <w:pPr>
              <w:pStyle w:val="Normal6a"/>
            </w:pPr>
            <w:r>
              <w:t>10.</w:t>
            </w:r>
            <w:r>
              <w:tab/>
            </w:r>
            <w:r>
              <w:t xml:space="preserve">würdigt die in institutioneller und regulatorischer Hinsicht erzielten Fortschritte, die zu einer stärkeren Resilienz der Banken im Euro-Währungsgebiet beigetragen haben; stellt fest, dass nach wie vor </w:t>
            </w:r>
            <w:r>
              <w:rPr>
                <w:b/>
                <w:i/>
              </w:rPr>
              <w:t>erhebliche</w:t>
            </w:r>
            <w:r>
              <w:t xml:space="preserve"> Hindernisse bestehen, wenn es darum geht, das Potenzial des EU-Binnenmarkts für Finanzdienstleistungen voll auszuschöpfen; fordert die Kommission, die Mitgliedstaaten und die Einrichtungen der EU auf, zur Verwirklichung der Ambitionen konkrete Maßnahmen zur Vollendung der Spar- und Investitionsunion und des Binnenmarkts zu ergreifen und in diesem Zusammenhang die Vereinfachung voranzubringen und die Wettbewerbsfähigkeit zu fördern; </w:t>
            </w:r>
            <w:r>
              <w:rPr>
                <w:b/>
                <w:i/>
              </w:rPr>
              <w:t>fordert die Kommission auf, in ihrem Bericht über die Wettbewerbsfähigkeit des EU-Bankensektors im Jahr 2026 ehrgeizig und mutig zu sein, dabei nicht bloß auf die Vereinfachung einzugehen und konkrete und umsetzbare Vorschläge für eine Stärkung der Marktintegration, der Gleichheit der Wettbewerbsbedingungen auf internationaler Ebene sowie der Wettbewerbsfähigkeit der europäischen Banken vorzulegen;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betont, dass die Aufsichtsbehörden angesichts der anhaltenden geopolitischen Unsicherheit, der potenziell überbewerteten Aktienmärkte und der jüngsten Turbulenzen in den USA infolge der undurchsichtigen Kreditvergabe im Nichtbankensektor (Privatkreditsektor) eine zukunftsorientierte Perspektive beibehalten und Risiken ausreichend überwachen sollten und dass die Banken angemessene Kapitalpuffer vorhalten und operative Resilienz aufweisen sollten;</w:t>
            </w:r>
            <w:r>
              <w:t xml:space="preserve"> </w:t>
            </w:r>
            <w:r>
              <w:rPr>
                <w:b/>
                <w:i/>
              </w:rPr>
              <w:t>betont in diesem Zusammenhang, dass die Beaufsichtigung von Finanzintermediären außerhalb des Bankensektors sowie deren Resilienz verbessert werden müssen;</w:t>
            </w:r>
            <w:r>
              <w:t xml:space="preserve"> </w:t>
            </w:r>
            <w:r>
              <w:rPr>
                <w:b/>
                <w:i/>
              </w:rPr>
              <w:t>betont, dass eine umsichtige Aufsicht in der Gegenwart Steuerzahler, Einleger und die Realwirtschaft vor Verlusten in der Zukunft schützen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spricht sich dafür aus, dass im Bankensektor zunehmend künstliche Intelligenz genutzt wird, und erkennt an, dass diese das Potenzial birgt, Effizienz, Innovation und Verbraucherdienstleistungen zu verbessern und die Betrugsprävention zu stärken;</w:t>
            </w:r>
            <w:r>
              <w:t xml:space="preserve"> </w:t>
            </w:r>
            <w:r>
              <w:rPr>
                <w:b/>
                <w:i/>
              </w:rPr>
              <w:t>betont, dass die Regulierung auf EU-Ebene technologische Innovation sowie deren Einführung im Bankensektor nicht behindern darf, indem sie bei Marktteilnehmern für Unsicherheit und Verwirrung in Bezug auf die konforme Nutzung von künstlicher Intelligenz sorgt;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begrüßt den Bericht der EZB über die Vereinfachung des europäischen Regulierungs-, Aufsichts- und Melderahmens vom Dezember 2025 und den Bericht der EBA über die Effizienz des Regulierungs- und Aufsichtsrahmens;</w:t>
            </w:r>
            <w:r>
              <w:t xml:space="preserve"> </w:t>
            </w:r>
            <w:r>
              <w:rPr>
                <w:b/>
                <w:i/>
              </w:rPr>
              <w:t>fordert die Kommission auf, die in diesen Berichten enthaltenen Vorschläge im Rahmen ihrer bevorstehenden Überprüfung der Wettbewerbsfähigkeit der Bankenunion weiterzuverfolgen und weiterzuentwickeln;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fordert die EZB auf, angemessene Maßnahmen zu ergreifen, um jegliche Hindernisse zu beseitigen, die der Erholung der seit der großen Finanzkrise stark geschwächten Märkte für kurzfristige unbesicherte Interbankengeschäfte im Wege stehen;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ist der Ansicht, dass das grundlegende Problem der Systemrelevanz („too big to fail“) nicht angemessen angegangen wurde und dass eine Strukturreform nach wie vor angezeigt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begrüßt das Bestreben der Kommission, 2026 ein Lagebild in Bezug auf die Wettbewerbsfähigkeit des europäischen Bankensektors zu erstellen;</w:t>
            </w:r>
            <w:r>
              <w:t xml:space="preserve"> </w:t>
            </w:r>
            <w:r>
              <w:rPr>
                <w:b/>
                <w:i/>
              </w:rPr>
              <w:t>fordert die Kommission auf, einen ehrgeizigen Bericht und in diesem Zusammenhang auch Legislativvorschläge vorzulegen, die darauf abzielen, die Wettbewerbsfähigkeit des europäischen Bankensektors erheblich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fordert die EZB auf, etwaige nach wie vor bestehende Hindernisse für grenzüberschreitende Bankenfusionen zu beseitigen und gleichzeitig die Finanzstabilität zu wahren und zur Integration des europäischen Bankenmarktes beizutragen;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betont, dass die europäischen Bankenvorschriften besser auf die Größe, das Geschäftsmodell, die Komplexität und das Risikoprofil der Institute abgestimmt werden müssen;</w:t>
            </w:r>
            <w:r>
              <w:t xml:space="preserve"> </w:t>
            </w:r>
            <w:r>
              <w:rPr>
                <w:b/>
                <w:i/>
              </w:rPr>
              <w:t>hebt hervor, dass sich andere große Rechtsordnungen für gezieltere und verhältnismäßigere Vorschriften für kleine Banken entschieden haben;</w:t>
            </w:r>
            <w:r>
              <w:t xml:space="preserve"> </w:t>
            </w:r>
            <w:r>
              <w:rPr>
                <w:b/>
                <w:i/>
              </w:rPr>
              <w:t>fordert die Kommission auf, die bevorstehende Überprüfung der Wettbewerbsfähigkeit der Banken als Gelegenheit zu nutzen, um ein echtes Kleinbankenregime für kleine, nicht international tätige Banken zu entwickeln, das inhaltlich straffer gestaltet ist als die hochkomplexen Aufsichtsanforderungen, die derzeit für alle europäischen Banken gelten und die in erster Linie für große, international tätige und systemrelevante Bankengruppen konzipiert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stellt fest, dass die Regulierung des Bankensektors verhältnismäßiger sein könnte, und bedauert, dass kleine Banken einer übermäßigen Belastung ausgesetzt sind, was ihr Wachstum und ihre Wettbewerbsfähigkeit einschränkt; fordert, dass ein wirklich sachbezogenes Regelwerk für kleine Banken entwickelt wird, das eine freiwillige Beteiligung vorsieht;</w:t>
            </w:r>
            <w:r>
              <w:t xml:space="preserve"> </w:t>
            </w:r>
            <w:r>
              <w:rPr>
                <w:b/>
                <w:i/>
              </w:rPr>
              <w:t>ist der Ansicht, dass mit diesem vorgeschlagenen „Kleinbankenregime“ den Bedürfnissen dieser Banken mittels einer verhältnismäßigeren Regulierung Rechnung getragen werden soll, wie es in anderen Rechtsordnungen und globalen Finanzzentren bereits umgesetzt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stellt mit Besorgnis fest, dass die Exposition der Banken gegenüber heimischen Staatsanleihen nach wie vor sehr hoch ist;</w:t>
            </w:r>
            <w:r>
              <w:t xml:space="preserve"> </w:t>
            </w:r>
            <w:r>
              <w:rPr>
                <w:b/>
                <w:i/>
              </w:rPr>
              <w:t>weist darauf hin, dass die Lösung des Staaten-Banken-Nexus nach wie vor eine Herausforderung für die Bankenunion darstellt;</w:t>
            </w:r>
            <w:r>
              <w:t xml:space="preserve"> </w:t>
            </w:r>
            <w:r>
              <w:rPr>
                <w:b/>
                <w:i/>
              </w:rPr>
              <w:t>betont, dass die Risiken in den Bilanzen der Banken durch eine angemessenere regulatorische Behandlung von Risikopositionen gegenüber Staaten weiter verringert werden können;</w:t>
            </w:r>
            <w:r>
              <w:t xml:space="preserve"> </w:t>
            </w:r>
            <w:r>
              <w:rPr>
                <w:b/>
                <w:i/>
              </w:rPr>
              <w:t>fordert die Kommission auf, einen Legislativvorschlag für die Einführung einer angemessenen Risikogewichtung von Positionen in Staatsanleihen vorzulegen;</w:t>
            </w:r>
            <w:r>
              <w:t xml:space="preserve"> </w:t>
            </w:r>
            <w:r>
              <w:rPr>
                <w:b/>
                <w:i/>
              </w:rPr>
              <w:t>betont, dass eine angemessene Behandlung von Risikopositionen gegenüber Staaten angesichts der zunehmenden Staatsverschuldung umso dringlicher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fordert, dass das EU-Regelwerk für den Finanzsektor durch die Abschaffung überflüssiger Melde- oder Offenlegungspflichten weiter umfassend gestrafft wird;</w:t>
            </w:r>
            <w:r>
              <w:t xml:space="preserve"> </w:t>
            </w:r>
            <w:r>
              <w:rPr>
                <w:b/>
                <w:i/>
              </w:rPr>
              <w:t>fordert, dass die Zusammensetzung des vorzuhaltenden Kapitals vereinfacht wird, indem die Anzahl der sich überschneidenden Puffer und aufsichtlichen Aufschläge verringert wird, um für eine klarere und transparentere Hierarchie bei den Kapitalanforderungen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10e.</w:t>
            </w:r>
            <w:r>
              <w:tab/>
            </w:r>
            <w:r>
              <w:rPr>
                <w:b/>
                <w:i/>
              </w:rPr>
              <w:t>weist auf die Fragmentierung des europäischen Bankenmarktes hin, die die Effizienz beeinträchtigt und zu Überschneidungen bei den Vorschriften sowie zu Dopplungen bei den Anforderungen führt, auch im Bereich des Verbraucherschutzes;</w:t>
            </w:r>
            <w:r>
              <w:t xml:space="preserve"> </w:t>
            </w:r>
            <w:r>
              <w:rPr>
                <w:b/>
                <w:i/>
              </w:rPr>
              <w:t>betont, dass der Binnenmarkt für Banken vollendet und die derzeitige strukturelle Abschirmung, wonach Tochterunternehmen Kapital und Liquidität vor Ort vorhalten müssen, verringert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10f.</w:t>
            </w:r>
            <w:r>
              <w:tab/>
            </w:r>
            <w:r>
              <w:rPr>
                <w:b/>
                <w:i/>
              </w:rPr>
              <w:t>fordert die Kommission auf, zu erwägen, ob die Rolle und die Aufgaben der Europäischen Bankenaufsichtsbehörde dahin gehend weiterentwickelt werden könnten, dass den Auswirkungen von Regulierungs- und Aufsichtsstandards auf die Innovation und die internationale Wettbewerbsfähigkeit des EU-Bankensektors besser Rechnung getragen wird, wobei ihr zentrales Aufsichtsmandat davon unberührt bleiben sollte;</w:t>
            </w:r>
            <w:r>
              <w:t xml:space="preserve"> </w:t>
            </w:r>
            <w:r>
              <w:rPr>
                <w:b/>
                <w:i/>
              </w:rPr>
              <w:t>betont, dass es unabdingbar ist, innovationsfreundliche und verhältnismäßige Aufsichtspraktiken zu fördern, um sicherzustellen, dass die Bankenunion auch künftig widerstandsfähig und wettbewerbsfähig bleibt und das Wachstum in der Realwirtschaft unterstützen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stellt fest, dass die Banken, die dem SSM unterliegen, im </w:t>
            </w:r>
            <w:r>
              <w:rPr>
                <w:b/>
                <w:i/>
              </w:rPr>
              <w:t>zweiten</w:t>
            </w:r>
            <w:r>
              <w:t xml:space="preserve"> Quartal 2025 eine aggregierte harte Kernkapitalquote (CET1-Quote) von </w:t>
            </w:r>
            <w:r>
              <w:rPr>
                <w:b/>
                <w:i/>
              </w:rPr>
              <w:t>16,12</w:t>
            </w:r>
            <w:r>
              <w:t xml:space="preserve"> % und eine Eigenkapitalrendite (RoE) von </w:t>
            </w:r>
            <w:r>
              <w:rPr>
                <w:b/>
                <w:i/>
              </w:rPr>
              <w:t>10,11</w:t>
            </w:r>
            <w:r>
              <w:t> % aufwiesen, während die Quote der notleidenden Kredite auf 2,22 % sank und die Quote der Stufe-2-Kredite bei 9,59 % lag</w:t>
            </w:r>
            <w:r>
              <w:rPr>
                <w:vertAlign w:val="superscript"/>
              </w:rPr>
              <w:t>15</w:t>
            </w:r>
            <w:r>
              <w:t>; betont, dass das Kreditrisiko überwacht werden muss und gleichzeitig ausreichend Kapital und Liquidität für die Widerstandsfähigkeit des Bankensektors bewahrt werden müssen;</w:t>
            </w:r>
          </w:p>
        </w:tc>
        <w:tc>
          <w:tcPr>
            <w:tcW w:w="4876" w:type="dxa"/>
            <w:tcBorders>
              <w:top w:val="nil"/>
              <w:left w:val="nil"/>
              <w:bottom w:val="nil"/>
              <w:right w:val="nil"/>
            </w:tcBorders>
          </w:tcPr>
          <w:p>
            <w:pPr>
              <w:pStyle w:val="Normal6a"/>
            </w:pPr>
            <w:r>
              <w:t>11.</w:t>
            </w:r>
            <w:r>
              <w:tab/>
            </w:r>
            <w:r>
              <w:t xml:space="preserve">stellt fest, dass die Banken, die dem SSM unterliegen, im </w:t>
            </w:r>
            <w:r>
              <w:rPr>
                <w:b/>
                <w:i/>
              </w:rPr>
              <w:t>dritten</w:t>
            </w:r>
            <w:r>
              <w:t xml:space="preserve"> Quartal 2025 eine aggregierte harte Kernkapitalquote (CET1-Quote) von </w:t>
            </w:r>
            <w:r>
              <w:rPr>
                <w:b/>
                <w:i/>
              </w:rPr>
              <w:t>16,10</w:t>
            </w:r>
            <w:r>
              <w:t xml:space="preserve"> % und eine Eigenkapitalrendite (RoE) von </w:t>
            </w:r>
            <w:r>
              <w:rPr>
                <w:b/>
                <w:i/>
              </w:rPr>
              <w:t>9,88</w:t>
            </w:r>
            <w:r>
              <w:t> % aufwiesen, während die Quote der notleidenden Kredite auf 2,22 % sank und die Quote der Stufe-2-Kredite bei 9,59 % lag</w:t>
            </w:r>
            <w:r>
              <w:rPr>
                <w:vertAlign w:val="superscript"/>
              </w:rPr>
              <w:t>15</w:t>
            </w:r>
            <w:r>
              <w:t>; betont, dass das Kreditrisiko überwacht werden muss und gleichzeitig ausreichend Kapital und Liquidität für die Widerstandsfähigkeit des Bankensektors bewahrt werden müssen;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 xml:space="preserve">EZB, „Supervisory Banking Statistics – </w:t>
            </w:r>
            <w:r>
              <w:rPr>
                <w:b/>
                <w:i/>
              </w:rPr>
              <w:t>Q2</w:t>
            </w:r>
            <w:r>
              <w:t xml:space="preserve"> 2025“ (Statistik der Bankenaufsicht für das </w:t>
            </w:r>
            <w:r>
              <w:rPr>
                <w:b/>
                <w:i/>
              </w:rPr>
              <w:t>zweite</w:t>
            </w:r>
            <w:r>
              <w:t xml:space="preserve"> Quartal 2025).</w:t>
            </w:r>
          </w:p>
        </w:tc>
        <w:tc>
          <w:tcPr>
            <w:tcW w:w="4876" w:type="dxa"/>
            <w:tcBorders>
              <w:top w:val="nil"/>
              <w:left w:val="nil"/>
              <w:bottom w:val="nil"/>
              <w:right w:val="nil"/>
            </w:tcBorders>
          </w:tcPr>
          <w:p>
            <w:pPr>
              <w:pStyle w:val="Normal6a"/>
            </w:pPr>
            <w:r>
              <w:rPr>
                <w:vertAlign w:val="superscript"/>
              </w:rPr>
              <w:t>15</w:t>
            </w:r>
            <w:r>
              <w:t xml:space="preserve"> </w:t>
            </w:r>
            <w:r>
              <w:t xml:space="preserve">EZB, „Supervisory Banking Statistics – </w:t>
            </w:r>
            <w:r>
              <w:rPr>
                <w:b/>
                <w:i/>
              </w:rPr>
              <w:t>Q3</w:t>
            </w:r>
            <w:r>
              <w:t xml:space="preserve"> 2025“ (Statistik der Bankenaufsicht für das </w:t>
            </w:r>
            <w:r>
              <w:rPr>
                <w:b/>
                <w:i/>
              </w:rPr>
              <w:t>dritte</w:t>
            </w:r>
            <w:r>
              <w:t xml:space="preserve"> Quartal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stellt fest, dass die Banken, die dem SSM unterliegen, im zweiten Quartal 2025 eine aggregierte harte Kernkapitalquote (CET1-Quote) von 16,12 % und eine Eigenkapitalrendite (RoE) von 10,11 % aufwiesen, während die Quote der notleidenden Kredite auf 2,22 % sank und die Quote der Stufe-2-Kredite bei 9,59 % lag</w:t>
            </w:r>
            <w:r>
              <w:rPr>
                <w:b/>
                <w:i/>
                <w:vertAlign w:val="superscript"/>
              </w:rPr>
              <w:t>15</w:t>
            </w:r>
            <w:r>
              <w:t>; betont, dass das Kreditrisiko überwacht werden muss und gleichzeitig ausreichend Kapital und Liquidität für die Widerstandsfähigkeit des Bankensektors bewahrt werden müssen;</w:t>
            </w:r>
          </w:p>
        </w:tc>
        <w:tc>
          <w:tcPr>
            <w:tcW w:w="4876" w:type="dxa"/>
            <w:tcBorders>
              <w:top w:val="nil"/>
              <w:left w:val="nil"/>
              <w:bottom w:val="nil"/>
              <w:right w:val="nil"/>
            </w:tcBorders>
          </w:tcPr>
          <w:p>
            <w:pPr>
              <w:pStyle w:val="Normal6a"/>
            </w:pPr>
            <w:r>
              <w:t>11.</w:t>
            </w:r>
            <w:r>
              <w:tab/>
            </w:r>
            <w:r>
              <w:t>stellt fest, dass die Banken, die dem SSM unterliegen, im zweiten Quartal 2025 eine aggregierte harte Kernkapitalquote (CET1-Quote) von 16,12 % und eine Eigenkapitalrendite (RoE) von 10,11 % aufwiesen, während die Quote der notleidenden Kredite auf 2,22 % sank und die Quote der Stufe-2-Kredite bei 9,59 % lag</w:t>
            </w:r>
            <w:r>
              <w:rPr>
                <w:vertAlign w:val="superscript"/>
              </w:rPr>
              <w:t>15</w:t>
            </w:r>
            <w:r>
              <w:t xml:space="preserve">; betont, dass das Kreditrisiko überwacht werden muss und gleichzeitig ausreichend Kapital und Liquidität für die Widerstandsfähigkeit des Bankensektors bewahrt werden müssen; </w:t>
            </w:r>
            <w:r>
              <w:rPr>
                <w:b/>
                <w:i/>
              </w:rPr>
              <w:t>betont, dass diese Fortschritten bei der Risikominderung nicht mit entsprechenden Fortschritten bei der Risikoteilung einhergingen;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15</w:t>
            </w:r>
            <w:r>
              <w:t xml:space="preserve"> </w:t>
            </w:r>
            <w:r>
              <w:rPr>
                <w:b/>
                <w:i/>
              </w:rPr>
              <w:t>EZB, „Supervisory Banking Statistics – Q2 2025“ (Statistik der Bankenaufsicht für das zweite Quartal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weist auf ungünstige makroökonomische Bedingungen und geopolitische Erschwernisse hin, die zu einer Verschlechterung der Qualität von Vermögenswerten führen könnten;</w:t>
            </w:r>
            <w:r>
              <w:t xml:space="preserve"> </w:t>
            </w:r>
            <w:r>
              <w:rPr>
                <w:b/>
                <w:i/>
              </w:rPr>
              <w:t>betont daher die Bedeutung eines umsichtigen Risikomanagements und angemessener Rückstellungen;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betont, dass die Banken im Euro-Währungsgebiet nach wie vor eine hohe Exposition gegenüber heimischen Staatsanleihen aufweisen, und weist auf die damit verbundenen Risiken hin;</w:t>
            </w:r>
            <w:r>
              <w:t xml:space="preserve"> </w:t>
            </w:r>
            <w:r>
              <w:rPr>
                <w:b/>
                <w:i/>
              </w:rPr>
              <w:t>weist erneut darauf hin, dass eines der Hauptziele der Bankenunion darin besteht, den Teufelskreis zwischen Staaten und Banken zu durchbrechen;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betont, dass der Rat für Finanzstabilität, der Europäische Ausschuss für Systemrisiken (ESRB) und andere internationale und europäische Einrichtungen wiederholt auf die Risiken hingewiesen haben, die der Nichtbankensektor – insbesondere aufgrund seiner zunehmenden Verflechtung mit dem traditionellen Bankensektor – birgt;</w:t>
            </w:r>
            <w:r>
              <w:t xml:space="preserve"> </w:t>
            </w:r>
            <w:r>
              <w:rPr>
                <w:b/>
                <w:i/>
              </w:rPr>
              <w:t>unterstützt die Empfehlung des Eurosystems, systemweite Stresstests zur Ermittlung und Quantifizierung von Risiken für die Widerstandsfähigkeit der Kernmärkte einzuführen;</w:t>
            </w:r>
            <w:r>
              <w:t xml:space="preserve"> </w:t>
            </w:r>
            <w:r>
              <w:rPr>
                <w:b/>
                <w:i/>
              </w:rPr>
              <w:t>fordert die Kommission nachdrücklich auf, zu untersuchen, das aufsichtliche Instrumentarium Lücken aufweist, auch im Hinblick auf potenzielle Liquiditätsengpässe und die Auswirkungen auf das Systemrisiko;</w:t>
            </w:r>
            <w:r>
              <w:t xml:space="preserve"> </w:t>
            </w:r>
            <w:r>
              <w:rPr>
                <w:b/>
                <w:i/>
              </w:rPr>
              <w:t>fordert die Kommission auf, geeignete Legislativvorschläge zur Wahrung der Finanzstabilität vorzulegen;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betont, dass die </w:t>
            </w:r>
            <w:r>
              <w:rPr>
                <w:b/>
                <w:i/>
              </w:rPr>
              <w:t>Basel-III-Standards zeitnah, vollständig und getreu umgesetzt</w:t>
            </w:r>
            <w:r>
              <w:t xml:space="preserve"> werden </w:t>
            </w:r>
            <w:r>
              <w:rPr>
                <w:b/>
                <w:i/>
              </w:rPr>
              <w:t>müssen, um Widerstandsfähigkeit und Wettbewerbsfähigkeit zu stärken;</w:t>
            </w:r>
            <w:r>
              <w:t xml:space="preserve"> </w:t>
            </w:r>
            <w:r>
              <w:rPr>
                <w:b/>
                <w:i/>
              </w:rPr>
              <w:t>bedauert, dass es zu Abweichungen kommt, und fordert die Kommission auf, Gleichwertigkeitsbeschlüsse in Bezug auf Länder und Gebiete, die diese Standards nicht umsetzen, zu überprüfen</w:t>
            </w:r>
            <w:r>
              <w:t>;</w:t>
            </w:r>
          </w:p>
        </w:tc>
        <w:tc>
          <w:tcPr>
            <w:tcW w:w="4876" w:type="dxa"/>
            <w:tcBorders>
              <w:top w:val="nil"/>
              <w:left w:val="nil"/>
              <w:bottom w:val="nil"/>
              <w:right w:val="nil"/>
            </w:tcBorders>
          </w:tcPr>
          <w:p>
            <w:pPr>
              <w:pStyle w:val="Normal6a"/>
            </w:pPr>
            <w:r>
              <w:t>12.</w:t>
            </w:r>
            <w:r>
              <w:tab/>
            </w:r>
            <w:r>
              <w:t xml:space="preserve">betont, dass die </w:t>
            </w:r>
            <w:r>
              <w:rPr>
                <w:b/>
                <w:i/>
              </w:rPr>
              <w:t>Basel-III-Vorschriften an die Besonderheiten des europäischen Bankensektors angepasst</w:t>
            </w:r>
            <w:r>
              <w:t xml:space="preserve"> werden </w:t>
            </w:r>
            <w:r>
              <w:rPr>
                <w:b/>
                <w:i/>
              </w:rPr>
              <w:t>sollten, wobei das Kriterium der Verhältnismäßigkeit sowie die Einführung von Vereinfachungen für kleinere Banken zu berücksichtigen sind, was im Einklang mit den Ergebnissen der vom EZB-Rat unterstützten hochrangigen Taskforce der Europäischen Zentralbank für Vereinfachung steht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betont, dass die Basel-III-Standards </w:t>
            </w:r>
            <w:r>
              <w:rPr>
                <w:b/>
                <w:i/>
              </w:rPr>
              <w:t>zeitnah, vollständig und getreu</w:t>
            </w:r>
            <w:r>
              <w:t xml:space="preserve"> umgesetzt werden müssen, </w:t>
            </w:r>
            <w:r>
              <w:rPr>
                <w:b/>
                <w:i/>
              </w:rPr>
              <w:t>um Widerstandsfähigkeit und</w:t>
            </w:r>
            <w:r>
              <w:t xml:space="preserve"> Wettbewerbsfähigkeit </w:t>
            </w:r>
            <w:r>
              <w:rPr>
                <w:b/>
                <w:i/>
              </w:rPr>
              <w:t>zu stärken;</w:t>
            </w:r>
            <w:r>
              <w:t xml:space="preserve"> </w:t>
            </w:r>
            <w:r>
              <w:rPr>
                <w:b/>
                <w:i/>
              </w:rPr>
              <w:t>bedauert, dass es zu Abweichungen kommt, und fordert</w:t>
            </w:r>
            <w:r>
              <w:t xml:space="preserve"> die Kommission </w:t>
            </w:r>
            <w:r>
              <w:rPr>
                <w:b/>
                <w:i/>
              </w:rPr>
              <w:t>auf, Gleichwertigkeitsbeschlüsse in Bezug auf Länder und Gebiete, die diese Standards nicht umsetzen, zu überprüfen</w:t>
            </w:r>
            <w:r>
              <w:t>;</w:t>
            </w:r>
          </w:p>
        </w:tc>
        <w:tc>
          <w:tcPr>
            <w:tcW w:w="4876" w:type="dxa"/>
            <w:tcBorders>
              <w:top w:val="nil"/>
              <w:left w:val="nil"/>
              <w:bottom w:val="nil"/>
              <w:right w:val="nil"/>
            </w:tcBorders>
          </w:tcPr>
          <w:p>
            <w:pPr>
              <w:pStyle w:val="Normal6a"/>
            </w:pPr>
            <w:r>
              <w:t>12.</w:t>
            </w:r>
            <w:r>
              <w:tab/>
            </w:r>
            <w:r>
              <w:t xml:space="preserve">betont, dass die Basel-III-Standards </w:t>
            </w:r>
            <w:r>
              <w:rPr>
                <w:b/>
                <w:i/>
              </w:rPr>
              <w:t>so</w:t>
            </w:r>
            <w:r>
              <w:t xml:space="preserve"> umgesetzt werden müssen, </w:t>
            </w:r>
            <w:r>
              <w:rPr>
                <w:b/>
                <w:i/>
              </w:rPr>
              <w:t>dass den globalen Entwicklungen sowie der Notwendigkeit Rechnung getragen wird, die internationale</w:t>
            </w:r>
            <w:r>
              <w:t xml:space="preserve"> Wettbewerbsfähigkeit </w:t>
            </w:r>
            <w:r>
              <w:rPr>
                <w:b/>
                <w:i/>
              </w:rPr>
              <w:t>der europäischen Banken zu wahren;</w:t>
            </w:r>
            <w:r>
              <w:t xml:space="preserve"> </w:t>
            </w:r>
            <w:r>
              <w:rPr>
                <w:b/>
                <w:i/>
              </w:rPr>
              <w:t>stellt mit Besorgnis fest, dass andere Länder eine weniger ehrgeizige Umsetzungsagenda verfolgt haben;</w:t>
            </w:r>
            <w:r>
              <w:t xml:space="preserve"> </w:t>
            </w:r>
            <w:r>
              <w:rPr>
                <w:b/>
                <w:i/>
              </w:rPr>
              <w:t>betont, dass</w:t>
            </w:r>
            <w:r>
              <w:t xml:space="preserve"> die Kommission </w:t>
            </w:r>
            <w:r>
              <w:rPr>
                <w:b/>
                <w:i/>
              </w:rPr>
              <w:t>gründlich prüfen sollte, ob die Umsetzung aufgeschoben werden muss, um die internationale Wettbewerbsfähigkeit der EU-Banken zu erhalten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betont, dass die Basel-III-Standards </w:t>
            </w:r>
            <w:r>
              <w:rPr>
                <w:b/>
                <w:i/>
              </w:rPr>
              <w:t>zeitnah, vollständig und getreu umgesetzt</w:t>
            </w:r>
            <w:r>
              <w:t xml:space="preserve"> werden </w:t>
            </w:r>
            <w:r>
              <w:rPr>
                <w:b/>
                <w:i/>
              </w:rPr>
              <w:t>müssen, um</w:t>
            </w:r>
            <w:r>
              <w:t xml:space="preserve"> Widerstandsfähigkeit und Wettbewerbsfähigkeit zu </w:t>
            </w:r>
            <w:r>
              <w:rPr>
                <w:b/>
                <w:i/>
              </w:rPr>
              <w:t>stärken;</w:t>
            </w:r>
            <w:r>
              <w:t xml:space="preserve"> </w:t>
            </w:r>
            <w:r>
              <w:rPr>
                <w:b/>
                <w:i/>
              </w:rPr>
              <w:t>bedauert, dass es zu Abweichungen kommt, und fordert die Kommission auf, Gleichwertigkeitsbeschlüsse</w:t>
            </w:r>
            <w:r>
              <w:t xml:space="preserve"> in Bezug auf </w:t>
            </w:r>
            <w:r>
              <w:rPr>
                <w:b/>
                <w:i/>
              </w:rPr>
              <w:t>Länder und Gebiete, die diese Standards nicht umsetzen, zu überprüfen</w:t>
            </w:r>
            <w:r>
              <w:t>;</w:t>
            </w:r>
          </w:p>
        </w:tc>
        <w:tc>
          <w:tcPr>
            <w:tcW w:w="4876" w:type="dxa"/>
            <w:tcBorders>
              <w:top w:val="nil"/>
              <w:left w:val="nil"/>
              <w:bottom w:val="nil"/>
              <w:right w:val="nil"/>
            </w:tcBorders>
          </w:tcPr>
          <w:p>
            <w:pPr>
              <w:pStyle w:val="Normal6a"/>
            </w:pPr>
            <w:r>
              <w:t>12.</w:t>
            </w:r>
            <w:r>
              <w:tab/>
            </w:r>
            <w:r>
              <w:t xml:space="preserve">betont, dass die </w:t>
            </w:r>
            <w:r>
              <w:rPr>
                <w:b/>
                <w:i/>
              </w:rPr>
              <w:t>Umsetzung der</w:t>
            </w:r>
            <w:r>
              <w:t xml:space="preserve"> Basel-III-Standards </w:t>
            </w:r>
            <w:r>
              <w:rPr>
                <w:b/>
                <w:i/>
              </w:rPr>
              <w:t>sichergestellt</w:t>
            </w:r>
            <w:r>
              <w:t xml:space="preserve"> werden </w:t>
            </w:r>
            <w:r>
              <w:rPr>
                <w:b/>
                <w:i/>
              </w:rPr>
              <w:t>muss, um die</w:t>
            </w:r>
            <w:r>
              <w:t xml:space="preserve"> Widerstandsfähigkeit und </w:t>
            </w:r>
            <w:r>
              <w:rPr>
                <w:b/>
                <w:i/>
              </w:rPr>
              <w:t>die weltweite</w:t>
            </w:r>
            <w:r>
              <w:t xml:space="preserve"> Wettbewerbsfähigkeit zu </w:t>
            </w:r>
            <w:r>
              <w:rPr>
                <w:b/>
                <w:i/>
              </w:rPr>
              <w:t>verbessern;</w:t>
            </w:r>
            <w:r>
              <w:t xml:space="preserve"> </w:t>
            </w:r>
            <w:r>
              <w:rPr>
                <w:b/>
                <w:i/>
              </w:rPr>
              <w:t>nimmt die nach wie vor unzureichende Klarheit</w:t>
            </w:r>
            <w:r>
              <w:t xml:space="preserve"> in Bezug auf </w:t>
            </w:r>
            <w:r>
              <w:rPr>
                <w:b/>
                <w:i/>
              </w:rPr>
              <w:t>die Umsetzung in einigen wichtigen Rechtsordnungen außerhalb der EU zur Kenntnis und betont, dass es für die langfristige Wettbewerbsfähigkeit in einem internationalen Kontext von wesentlicher Bedeutung ist, Finanzstabilität, die Integrität des Baseler Rahmens sowie gleiche Wettbewerbsbedingungen zu wahren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betont, dass die Basel-III-Standards zeitnah, vollständig und getreu umgesetzt werden müssen, </w:t>
            </w:r>
            <w:r>
              <w:rPr>
                <w:b/>
                <w:i/>
              </w:rPr>
              <w:t>um</w:t>
            </w:r>
            <w:r>
              <w:t xml:space="preserve"> Widerstandsfähigkeit und Wettbewerbsfähigkeit </w:t>
            </w:r>
            <w:r>
              <w:rPr>
                <w:b/>
                <w:i/>
              </w:rPr>
              <w:t>zu stärken;</w:t>
            </w:r>
            <w:r>
              <w:t xml:space="preserve"> </w:t>
            </w:r>
            <w:r>
              <w:rPr>
                <w:b/>
                <w:i/>
              </w:rPr>
              <w:t>bedauert, dass es zu Abweichungen kommt, und</w:t>
            </w:r>
            <w:r>
              <w:t xml:space="preserve"> fordert die Kommission auf, </w:t>
            </w:r>
            <w:r>
              <w:rPr>
                <w:b/>
                <w:i/>
              </w:rPr>
              <w:t>Gleichwertigkeitsbeschlüsse in Bezug auf Länder und Gebiete, die diese Standards nicht umsetzen, zu überprüfen</w:t>
            </w:r>
            <w:r>
              <w:t>;</w:t>
            </w:r>
          </w:p>
        </w:tc>
        <w:tc>
          <w:tcPr>
            <w:tcW w:w="4876" w:type="dxa"/>
            <w:tcBorders>
              <w:top w:val="nil"/>
              <w:left w:val="nil"/>
              <w:bottom w:val="nil"/>
              <w:right w:val="nil"/>
            </w:tcBorders>
          </w:tcPr>
          <w:p>
            <w:pPr>
              <w:pStyle w:val="Normal6a"/>
            </w:pPr>
            <w:r>
              <w:t>12.</w:t>
            </w:r>
            <w:r>
              <w:tab/>
            </w:r>
            <w:r>
              <w:t xml:space="preserve">betont, dass die Basel-III-Standards zeitnah, vollständig und getreu umgesetzt werden müssen, </w:t>
            </w:r>
            <w:r>
              <w:rPr>
                <w:b/>
                <w:i/>
              </w:rPr>
              <w:t>solange dadurch</w:t>
            </w:r>
            <w:r>
              <w:t xml:space="preserve"> Widerstandsfähigkeit und Wettbewerbsfähigkeit </w:t>
            </w:r>
            <w:r>
              <w:rPr>
                <w:b/>
                <w:i/>
              </w:rPr>
              <w:t>gestärkt werden;</w:t>
            </w:r>
            <w:r>
              <w:t xml:space="preserve"> </w:t>
            </w:r>
            <w:r>
              <w:rPr>
                <w:b/>
                <w:i/>
              </w:rPr>
              <w:t>stellt mit Besorgnis fest, dass in anderen Ländern eine weniger ehrgeizige Agenda verfolgt wurde, wodurch die Gleichheit der Wettbewerbsbedingungen auf internationaler Ebene beeinträchtigt werden könnten;</w:t>
            </w:r>
            <w:r>
              <w:t xml:space="preserve"> fordert die Kommission auf, </w:t>
            </w:r>
            <w:r>
              <w:rPr>
                <w:b/>
                <w:i/>
              </w:rPr>
              <w:t>die internationale Wettbewerbsfähigkeit der Banken in der EU zu bewerten und sicherzustellen, ohne dass ihre Widerstandsfähigkeit dabei geschwächt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betont, dass die Basel-III-Standards zeitnah, vollständig und getreu umgesetzt werden müssen, um Widerstandsfähigkeit und Wettbewerbsfähigkeit zu stärken; bedauert, dass es zu Abweichungen kommt</w:t>
            </w:r>
            <w:r>
              <w:rPr>
                <w:b/>
                <w:i/>
              </w:rPr>
              <w:t>, und fordert die Kommission auf, Gleichwertigkeitsbeschlüsse in Bezug auf Länder und Gebiete, die diese Standards nicht umsetzen, zu überprüfen</w:t>
            </w:r>
            <w:r>
              <w:t>;</w:t>
            </w:r>
          </w:p>
        </w:tc>
        <w:tc>
          <w:tcPr>
            <w:tcW w:w="4876" w:type="dxa"/>
            <w:tcBorders>
              <w:top w:val="nil"/>
              <w:left w:val="nil"/>
              <w:bottom w:val="nil"/>
              <w:right w:val="nil"/>
            </w:tcBorders>
          </w:tcPr>
          <w:p>
            <w:pPr>
              <w:pStyle w:val="Normal6a"/>
            </w:pPr>
            <w:r>
              <w:t>12.</w:t>
            </w:r>
            <w:r>
              <w:tab/>
            </w:r>
            <w:r>
              <w:t xml:space="preserve">betont, dass die Basel-III-Standards </w:t>
            </w:r>
            <w:r>
              <w:rPr>
                <w:b/>
                <w:i/>
              </w:rPr>
              <w:t>ausschließlich von den international tätigen Banken, für die diese Standards konzipiert wurden,</w:t>
            </w:r>
            <w:r>
              <w:t xml:space="preserve"> zeitnah, vollständig und getreu umgesetzt werden müssen, um </w:t>
            </w:r>
            <w:r>
              <w:rPr>
                <w:b/>
                <w:i/>
              </w:rPr>
              <w:t>die</w:t>
            </w:r>
            <w:r>
              <w:t xml:space="preserve"> Widerstandsfähigkeit und Wettbewerbsfähigkeit zu stärken; bedauert, dass es zu Abweichungen kommt;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betont, dass die Basel-III-Standards zeitnah</w:t>
            </w:r>
            <w:r>
              <w:rPr>
                <w:b/>
                <w:i/>
              </w:rPr>
              <w:t>, vollständig</w:t>
            </w:r>
            <w:r>
              <w:t xml:space="preserve"> und getreu umgesetzt werden müssen, um Widerstandsfähigkeit und Wettbewerbsfähigkeit zu stärken; </w:t>
            </w:r>
            <w:r>
              <w:rPr>
                <w:b/>
                <w:i/>
              </w:rPr>
              <w:t>bedauert</w:t>
            </w:r>
            <w:r>
              <w:t xml:space="preserve">, dass es </w:t>
            </w:r>
            <w:r>
              <w:rPr>
                <w:b/>
                <w:i/>
              </w:rPr>
              <w:t>zu Abweichungen kommt, und</w:t>
            </w:r>
            <w:r>
              <w:t xml:space="preserve"> fordert die Kommission auf, Gleichwertigkeitsbeschlüsse </w:t>
            </w:r>
            <w:r>
              <w:rPr>
                <w:b/>
                <w:i/>
              </w:rPr>
              <w:t>in Bezug auf Länder und Gebiete, die diese Standards</w:t>
            </w:r>
            <w:r>
              <w:t xml:space="preserve"> nicht umsetzen, </w:t>
            </w:r>
            <w:r>
              <w:rPr>
                <w:b/>
                <w:i/>
              </w:rPr>
              <w:t>zu überprüfen</w:t>
            </w:r>
            <w:r>
              <w:t>;</w:t>
            </w:r>
          </w:p>
        </w:tc>
        <w:tc>
          <w:tcPr>
            <w:tcW w:w="4876" w:type="dxa"/>
            <w:tcBorders>
              <w:top w:val="nil"/>
              <w:left w:val="nil"/>
              <w:bottom w:val="nil"/>
              <w:right w:val="nil"/>
            </w:tcBorders>
          </w:tcPr>
          <w:p>
            <w:pPr>
              <w:pStyle w:val="Normal6a"/>
            </w:pPr>
            <w:r>
              <w:t>12.</w:t>
            </w:r>
            <w:r>
              <w:tab/>
            </w:r>
            <w:r>
              <w:t xml:space="preserve">betont, dass die Basel-III-Standards zeitnah und getreu umgesetzt werden müssen, um </w:t>
            </w:r>
            <w:r>
              <w:rPr>
                <w:b/>
                <w:i/>
              </w:rPr>
              <w:t>die</w:t>
            </w:r>
            <w:r>
              <w:t xml:space="preserve"> Widerstandsfähigkeit und Wettbewerbsfähigkeit zu stärken; </w:t>
            </w:r>
            <w:r>
              <w:rPr>
                <w:b/>
                <w:i/>
              </w:rPr>
              <w:t>stellt fest</w:t>
            </w:r>
            <w:r>
              <w:t xml:space="preserve">, dass es </w:t>
            </w:r>
            <w:r>
              <w:rPr>
                <w:b/>
                <w:i/>
              </w:rPr>
              <w:t>derzeit in einigen Ländern und Gebieten an Klarheit über die Umsetzung der Basel-III-Standards mangelt, wodurch gleiche Wettbewerbsbedingungen auf internationaler Ebene gefährdet werden;</w:t>
            </w:r>
            <w:r>
              <w:t xml:space="preserve"> </w:t>
            </w:r>
            <w:r>
              <w:rPr>
                <w:b/>
                <w:i/>
              </w:rPr>
              <w:t>betont, dass die Kommission bewerten sollte, ob gezielte Änderungen dazu beitragen könnten, die internationale Wettbewerbsfähigkeit der EU-Banken zu erhalten, ohne deren Widerstandsfähigkeit zu schwächen;</w:t>
            </w:r>
            <w:r>
              <w:t xml:space="preserve"> fordert die Kommission auf, </w:t>
            </w:r>
            <w:r>
              <w:rPr>
                <w:b/>
                <w:i/>
              </w:rPr>
              <w:t>zu prüfen, ob die</w:t>
            </w:r>
            <w:r>
              <w:t xml:space="preserve"> Gleichwertigkeitsbeschlüsse</w:t>
            </w:r>
            <w:r>
              <w:rPr>
                <w:b/>
                <w:i/>
              </w:rPr>
              <w:t>, die mit den Ländern und Gebieten getroffen wurden, die die Basel-III-Standards</w:t>
            </w:r>
            <w:r>
              <w:t xml:space="preserve"> nicht umsetzen, </w:t>
            </w:r>
            <w:r>
              <w:rPr>
                <w:b/>
                <w:i/>
              </w:rPr>
              <w:t>überprüft werden müssen, um die Finanzstabilität des Finanzsektors der EU zu wahren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betont, dass die Basel-III-Standards </w:t>
            </w:r>
            <w:r>
              <w:rPr>
                <w:b/>
                <w:i/>
              </w:rPr>
              <w:t>zeitnah, vollständig und getreu umgesetzt werden müssen, um</w:t>
            </w:r>
            <w:r>
              <w:t xml:space="preserve"> Widerstandsfähigkeit und Wettbewerbsfähigkeit </w:t>
            </w:r>
            <w:r>
              <w:rPr>
                <w:b/>
                <w:i/>
              </w:rPr>
              <w:t>zu</w:t>
            </w:r>
            <w:r>
              <w:t xml:space="preserve"> stärken; bedauert, dass es zu Abweichungen kommt, und fordert die Kommission auf, Gleichwertigkeitsbeschlüsse in Bezug auf Länder und Gebiete, die diese Standards nicht umsetzen, zu überprüfen;</w:t>
            </w:r>
          </w:p>
        </w:tc>
        <w:tc>
          <w:tcPr>
            <w:tcW w:w="4876" w:type="dxa"/>
            <w:tcBorders>
              <w:top w:val="nil"/>
              <w:left w:val="nil"/>
              <w:bottom w:val="nil"/>
              <w:right w:val="nil"/>
            </w:tcBorders>
          </w:tcPr>
          <w:p>
            <w:pPr>
              <w:pStyle w:val="Normal6a"/>
            </w:pPr>
            <w:r>
              <w:t>12.</w:t>
            </w:r>
            <w:r>
              <w:tab/>
            </w:r>
            <w:r>
              <w:t xml:space="preserve">betont, dass die </w:t>
            </w:r>
            <w:r>
              <w:rPr>
                <w:b/>
                <w:i/>
              </w:rPr>
              <w:t>zeitnahe, vollständige und getreue Umsetzung der</w:t>
            </w:r>
            <w:r>
              <w:t xml:space="preserve"> Basel-III-Standards </w:t>
            </w:r>
            <w:r>
              <w:rPr>
                <w:b/>
                <w:i/>
              </w:rPr>
              <w:t>die</w:t>
            </w:r>
            <w:r>
              <w:t xml:space="preserve"> Widerstandsfähigkeit und Wettbewerbsfähigkeit stärken </w:t>
            </w:r>
            <w:r>
              <w:rPr>
                <w:b/>
                <w:i/>
              </w:rPr>
              <w:t>wird</w:t>
            </w:r>
            <w:r>
              <w:t xml:space="preserve">; bedauert, dass es zu Abweichungen kommt, und fordert die Kommission auf, Gleichwertigkeitsbeschlüsse in Bezug auf Länder und Gebiete, die diese Standards nicht umsetzen, </w:t>
            </w:r>
            <w:r>
              <w:rPr>
                <w:b/>
                <w:i/>
              </w:rPr>
              <w:t>erneut</w:t>
            </w:r>
            <w:r>
              <w:t xml:space="preserve"> zu überprüfen; </w:t>
            </w:r>
            <w:r>
              <w:rPr>
                <w:b/>
                <w:i/>
              </w:rPr>
              <w:t>betont gleichzeitig, dass bei der Umsetzung der Basel-III-Standards weltweit gleiche Wettbewerbsbedingungen gewahrt werden sollten und gleichzeitig eine Überregulierung durch die nationalen Behörden bei der Umsetzung der EU-Vorschriften der Stufe 3 vermieden werden sollte und unbeabsichtigte Auswirkungen auf die Fähigkeit der Banken in der EU, die Realwirtschaft zu finanzieren, verhindert werden sollten;</w:t>
            </w:r>
            <w:r>
              <w:t xml:space="preserve"> </w:t>
            </w:r>
            <w:r>
              <w:rPr>
                <w:b/>
                <w:i/>
              </w:rPr>
              <w:t>begrüßt in diesem Zusammenhang die Initiative der Kommission, einen Bericht über die Wettbewerbsfähigkeit und Integration des EU-Bankensektors zu veröffentlichen, und fordert konkrete Vorschläge zur Unterstützung der Kapazität der Banken, Kredite zu vergeben, insbesondere an Haushalte, KMU und private und öffentliche produktive Investitionen, gegebenenfalls einschließlich Maßnahmen zur Unterstützung des effizienten Einsatzes risikoarmer und kurzfristiger Finanzierungsinstrumente wie Factoring und Handelsfinanzierung;</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betont, dass die Basel-III-Standards zeitnah, vollständig und getreu umgesetzt werden müssen, um</w:t>
            </w:r>
            <w:r>
              <w:t xml:space="preserve"> Widerstandsfähigkeit und Wettbewerbsfähigkeit </w:t>
            </w:r>
            <w:r>
              <w:rPr>
                <w:b/>
                <w:i/>
              </w:rPr>
              <w:t>zu</w:t>
            </w:r>
            <w:r>
              <w:t xml:space="preserve"> stärken</w:t>
            </w:r>
            <w:r>
              <w:rPr>
                <w:b/>
                <w:i/>
              </w:rPr>
              <w:t>;</w:t>
            </w:r>
            <w:r>
              <w:t xml:space="preserve"> </w:t>
            </w:r>
            <w:r>
              <w:rPr>
                <w:b/>
                <w:i/>
              </w:rPr>
              <w:t>bedauert</w:t>
            </w:r>
            <w:r>
              <w:t xml:space="preserve">, dass es </w:t>
            </w:r>
            <w:r>
              <w:rPr>
                <w:b/>
                <w:i/>
              </w:rPr>
              <w:t>zu Abweichungen kommt, und fordert die Kommission auf, Gleichwertigkeitsbeschlüsse</w:t>
            </w:r>
            <w:r>
              <w:t xml:space="preserve"> in Bezug auf </w:t>
            </w:r>
            <w:r>
              <w:rPr>
                <w:b/>
                <w:i/>
              </w:rPr>
              <w:t>Länder und Gebiete, die diese Standards nicht umsetzen, zu überprüfen</w:t>
            </w:r>
            <w:r>
              <w:t>;</w:t>
            </w:r>
          </w:p>
        </w:tc>
        <w:tc>
          <w:tcPr>
            <w:tcW w:w="4876" w:type="dxa"/>
            <w:tcBorders>
              <w:top w:val="nil"/>
              <w:left w:val="nil"/>
              <w:bottom w:val="nil"/>
              <w:right w:val="nil"/>
            </w:tcBorders>
          </w:tcPr>
          <w:p>
            <w:pPr>
              <w:pStyle w:val="Normal6a"/>
            </w:pPr>
            <w:r>
              <w:t>12.</w:t>
            </w:r>
            <w:r>
              <w:tab/>
            </w:r>
            <w:r>
              <w:rPr>
                <w:b/>
                <w:i/>
              </w:rPr>
              <w:t>hebt hervor, dass Finanzstabilität eine Voraussetzung für eine wirksame Geldpolitik und ein widerstandsfähiges Finanzsystem ist;</w:t>
            </w:r>
            <w:r>
              <w:t xml:space="preserve"> </w:t>
            </w:r>
            <w:r>
              <w:rPr>
                <w:b/>
                <w:i/>
              </w:rPr>
              <w:t>begrüßt die Finalisierung und Umsetzung des Basel-III-Rahmens, der die</w:t>
            </w:r>
            <w:r>
              <w:t xml:space="preserve"> Widerstandsfähigkeit und Wettbewerbsfähigkeit </w:t>
            </w:r>
            <w:r>
              <w:rPr>
                <w:b/>
                <w:i/>
              </w:rPr>
              <w:t>in der EU</w:t>
            </w:r>
            <w:r>
              <w:t xml:space="preserve"> stärken </w:t>
            </w:r>
            <w:r>
              <w:rPr>
                <w:b/>
                <w:i/>
              </w:rPr>
              <w:t>wird;</w:t>
            </w:r>
            <w:r>
              <w:t xml:space="preserve"> </w:t>
            </w:r>
            <w:r>
              <w:rPr>
                <w:b/>
                <w:i/>
              </w:rPr>
              <w:t>unterstreicht</w:t>
            </w:r>
            <w:r>
              <w:t xml:space="preserve">, dass es </w:t>
            </w:r>
            <w:r>
              <w:rPr>
                <w:b/>
                <w:i/>
              </w:rPr>
              <w:t>nach wie vor an Klarheit über die Umsetzung der Basel-III-Standards in einigen anderen Ländern und Gebieten mangelt und dass dadurch die Gefahr besteht, dass auf internationaler Ebene Probleme</w:t>
            </w:r>
            <w:r>
              <w:t xml:space="preserve"> in Bezug auf </w:t>
            </w:r>
            <w:r>
              <w:rPr>
                <w:b/>
                <w:i/>
              </w:rPr>
              <w:t>gleiche Wettbewerbsbedingungen entstehen;</w:t>
            </w:r>
            <w:r>
              <w:t xml:space="preserve"> </w:t>
            </w:r>
            <w:r>
              <w:rPr>
                <w:b/>
                <w:i/>
              </w:rPr>
              <w:t>betont, wie wichtig es ist, ein ausgewogenes Verhältnis zwischen finanzieller Stabilität, der Einhaltung internationaler Rahmenwerke und gleichen Wettbewerbsbedingungen auf internationaler Ebene sicherzustellen, damit europäische Banken zu gleichen Bedingungen mit Banken aus anderen Ländern in den Wettbewerb treten können;</w:t>
            </w:r>
            <w:r>
              <w:t xml:space="preserve"> </w:t>
            </w:r>
            <w:r>
              <w:rPr>
                <w:b/>
                <w:i/>
              </w:rPr>
              <w:t>betont, wie wichtig es ist, die spezifischen europäischen Gegebenheiten zu berücksichtigen, um einen wettbewerbsfähigen europäischen Bankensektor zu gewährleisten</w:t>
            </w:r>
            <w:r>
              <w:t xml:space="preserve">; </w:t>
            </w:r>
            <w:r>
              <w:rPr>
                <w:b/>
                <w:i/>
              </w:rPr>
              <w:t>betont, wie wichtig eine konsequente und international abgestimmte Umsetzung der grundlegenden Überarbeitung der Handelsbuchsvorschriften (FRTB)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betont, dass die Basel-III-Standards zeitnah, vollständig und getreu umgesetzt werden müssen, um Widerstandsfähigkeit und Wettbewerbsfähigkeit zu stärken; </w:t>
            </w:r>
            <w:r>
              <w:rPr>
                <w:b/>
                <w:i/>
              </w:rPr>
              <w:t>bedauert, dass es zu Abweichungen kommt, und</w:t>
            </w:r>
            <w:r>
              <w:t xml:space="preserve"> fordert die Kommission auf, Gleichwertigkeitsbeschlüsse in Bezug auf Länder und Gebiete, die diese Standards nicht umsetzen, </w:t>
            </w:r>
            <w:r>
              <w:rPr>
                <w:b/>
                <w:i/>
              </w:rPr>
              <w:t>zu überprüfen</w:t>
            </w:r>
            <w:r>
              <w:t>;</w:t>
            </w:r>
          </w:p>
        </w:tc>
        <w:tc>
          <w:tcPr>
            <w:tcW w:w="4876" w:type="dxa"/>
            <w:tcBorders>
              <w:top w:val="nil"/>
              <w:left w:val="nil"/>
              <w:bottom w:val="nil"/>
              <w:right w:val="nil"/>
            </w:tcBorders>
          </w:tcPr>
          <w:p>
            <w:pPr>
              <w:pStyle w:val="Normal6a"/>
            </w:pPr>
            <w:r>
              <w:t>12.</w:t>
            </w:r>
            <w:r>
              <w:tab/>
            </w:r>
            <w:r>
              <w:t xml:space="preserve">betont, dass die Basel-III-Standards zeitnah, vollständig und getreu umgesetzt werden müssen, um Widerstandsfähigkeit und Wettbewerbsfähigkeit zu stärken; fordert die Kommission auf, Gleichwertigkeitsbeschlüsse in Bezug auf Länder und Gebiete, die diese Standards nicht umsetzen, </w:t>
            </w:r>
            <w:r>
              <w:rPr>
                <w:b/>
                <w:i/>
              </w:rPr>
              <w:t>kohärent und risikobasiert zu bewerten und dabei weltweit Wettbewerbsbedingungen sicherzustellen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betont, dass die Basel-III-Standards zeitnah, vollständig und getreu umgesetzt werden müssen, um Widerstandsfähigkeit und Wettbewerbsfähigkeit zu stärken; bedauert, dass es zu Abweichungen kommt, und fordert die Kommission auf, Gleichwertigkeitsbeschlüsse in Bezug auf Länder und Gebiete, die diese Standards nicht umsetzen, zu überprüfen;</w:t>
            </w:r>
          </w:p>
        </w:tc>
        <w:tc>
          <w:tcPr>
            <w:tcW w:w="4876" w:type="dxa"/>
            <w:tcBorders>
              <w:top w:val="nil"/>
              <w:left w:val="nil"/>
              <w:bottom w:val="nil"/>
              <w:right w:val="nil"/>
            </w:tcBorders>
          </w:tcPr>
          <w:p>
            <w:pPr>
              <w:pStyle w:val="Normal6a"/>
            </w:pPr>
            <w:r>
              <w:t>12.</w:t>
            </w:r>
            <w:r>
              <w:tab/>
            </w:r>
            <w:r>
              <w:t xml:space="preserve">betont, dass die Basel-III-Standards zeitnah, vollständig und getreu umgesetzt werden müssen, um </w:t>
            </w:r>
            <w:r>
              <w:rPr>
                <w:b/>
                <w:i/>
              </w:rPr>
              <w:t>die</w:t>
            </w:r>
            <w:r>
              <w:t xml:space="preserve"> Widerstandsfähigkeit und Wettbewerbsfähigkeit zu stärken</w:t>
            </w:r>
            <w:r>
              <w:rPr>
                <w:b/>
                <w:i/>
              </w:rPr>
              <w:t>, einschließlich der grundlegenden Überarbeitung der Handelsbuchvorschriften (FRTB);</w:t>
            </w:r>
            <w:r>
              <w:t xml:space="preserve"> </w:t>
            </w:r>
            <w:r>
              <w:rPr>
                <w:b/>
                <w:i/>
              </w:rPr>
              <w:t>weist darauf hin, dass der SSM wiederholt darauf hingewiesen hat, dass durch eine Umsetzung der FRTB die Widerstandsfähigkeit der Banken in der EU gestärkt und ihre Wettbewerbsfähigkeit nicht beeinträchtigt würde</w:t>
            </w:r>
            <w:r>
              <w:t xml:space="preserve">; bedauert, dass es zu Abweichungen kommt, und fordert die Kommission auf, Gleichwertigkeitsbeschlüsse in Bezug auf Länder und Gebiete, die diese Standards nicht umsetzen, zu überprüfen; </w:t>
            </w:r>
            <w:r>
              <w:rPr>
                <w:b/>
                <w:i/>
              </w:rPr>
              <w:t>betont, dass die sich die EU bislang weniger an die Basel-Standards gehalten hat als einige ihrer internationalen Partner;</w:t>
            </w:r>
            <w:r>
              <w:t xml:space="preserve"> </w:t>
            </w:r>
            <w:r>
              <w:rPr>
                <w:b/>
                <w:i/>
              </w:rPr>
              <w:t>ist der Ansicht, dass durch die mangelnde Umsetzung in anderen Ländern und Gebieten die Risiken erhöht werden, denen die Banken in der EU ausgesetzt sind, und dass dies im Aufsichtsrahmen angemessen berücksichtigt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Auke Zijlstra,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betont, dass die Basel-III-Standards zeitnah, vollständig und getreu umgesetzt werden müssen, um Widerstandsfähigkeit und Wettbewerbsfähigkeit zu stärken; bedauert, dass es zu Abweichungen kommt, und fordert die Kommission auf, Gleichwertigkeitsbeschlüsse in Bezug auf Länder und Gebiete, die diese Standards nicht umsetzen, zu überprüfen;</w:t>
            </w:r>
          </w:p>
        </w:tc>
        <w:tc>
          <w:tcPr>
            <w:tcW w:w="4876" w:type="dxa"/>
            <w:tcBorders>
              <w:top w:val="nil"/>
              <w:left w:val="nil"/>
              <w:bottom w:val="nil"/>
              <w:right w:val="nil"/>
            </w:tcBorders>
          </w:tcPr>
          <w:p>
            <w:pPr>
              <w:pStyle w:val="Normal6a"/>
            </w:pPr>
            <w:r>
              <w:t>12.</w:t>
            </w:r>
            <w:r>
              <w:tab/>
            </w:r>
            <w:r>
              <w:t xml:space="preserve">betont, dass die Basel-III-Standards zeitnah, vollständig und getreu umgesetzt werden müssen, um Widerstandsfähigkeit und Wettbewerbsfähigkeit zu stärken; bedauert, dass es zu Abweichungen kommt, und fordert die Kommission auf, Gleichwertigkeitsbeschlüsse in Bezug auf Länder und Gebiete, die diese Standards nicht umsetzen, zu überprüfen; </w:t>
            </w:r>
            <w:r>
              <w:rPr>
                <w:b/>
                <w:i/>
              </w:rPr>
              <w:t>betont, dass Abweichungen der EU von der vollständigen Umsetzung der Basel-III-Standards, wie etwa die schrittweise Vornahme von Anpassungen und die verschobene Umsetzung der Marktrisikovorschriften, sowohl der Wettbewerbsfähigkeit als auch der Finanzstabilität abträglich sind, da sie Aufsichtsarbitrage und eine uneinheitliche Risikogewichtung ermöglichen;</w:t>
            </w:r>
            <w:r>
              <w:t xml:space="preserve"> </w:t>
            </w:r>
            <w:r>
              <w:rPr>
                <w:b/>
                <w:i/>
              </w:rPr>
              <w:t>ist der Auffassung, dass solche Abweichungen dringend beendet werden sollten, um die EU-Banken den internationalen Banken gleichzustellen;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stellt fest, dass Banken zunehmend mit Nichtbanken-Finanzintermediären (NBFI) zu tun haben, was zu einer Vielzahl von Risiken führt, die von Liquiditäts- bis hin zu Gegenparteirisiken reichen;</w:t>
            </w:r>
            <w:r>
              <w:t xml:space="preserve"> </w:t>
            </w:r>
            <w:r>
              <w:rPr>
                <w:b/>
                <w:i/>
              </w:rPr>
              <w:t>betont, dass eine umfassende europäische Aufsicht über den NBFI-Sektor erforderlich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nimmt die Einschätzung der EZB zur Kenntnis, dass hohe Eigenkapitalanforderungen die Wettbewerbsfähigkeit der Banken nicht beeinträchtigen, sondern vielmehr die Widerstandsfähigkeit der Banken und ihre Fähigkeit, die Wirtschaft während des gesamten Zyklus zu finanzieren, sicherstellen;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bedauert, dass es zunehmend zu Schließungen von Bankfilialen kommt, von denen Gemeinschaften in prekärer oder geografisch peripherer Lage betroffen sind;</w:t>
            </w:r>
            <w:r>
              <w:t xml:space="preserve"> </w:t>
            </w:r>
            <w:r>
              <w:rPr>
                <w:b/>
                <w:i/>
              </w:rPr>
              <w:t>unterstreicht, dass kleinere Banken eine wichtige Rolle dabei spielen, Haushalten den Zugang zu Dienstleistungen zu ermöglichen;</w:t>
            </w:r>
            <w:r>
              <w:t xml:space="preserve"> </w:t>
            </w:r>
            <w:r>
              <w:rPr>
                <w:b/>
                <w:i/>
              </w:rPr>
              <w:t>nimmt mit Besorgnis den KI-bedingten Verlust von Arbeitsplätzen zur Kenntnis;</w:t>
            </w:r>
            <w:r>
              <w:t xml:space="preserve"> </w:t>
            </w:r>
            <w:r>
              <w:rPr>
                <w:b/>
                <w:i/>
              </w:rPr>
              <w:t>betont, dass es die Qualität von Arbeitsplätzen, faire Bedingungen sowie einen gleichberechtigten Zugang zu Banken aufrechtzuerhalten gilt;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bedauert</w:t>
            </w:r>
            <w:r>
              <w:t>, dass es zunehmend zu Schließungen von Bankfilialen kommt</w:t>
            </w:r>
            <w:r>
              <w:rPr>
                <w:b/>
                <w:i/>
              </w:rPr>
              <w:t>, von denen Gemeinschaften in prekärer oder geografisch peripherer Lage betroffen sind</w:t>
            </w:r>
            <w:r>
              <w:t xml:space="preserve">; unterstreicht, dass kleinere Banken eine wichtige Rolle dabei spielen, Haushalten den Zugang zu </w:t>
            </w:r>
            <w:r>
              <w:rPr>
                <w:b/>
                <w:i/>
              </w:rPr>
              <w:t>Dienstleistungen</w:t>
            </w:r>
            <w:r>
              <w:t xml:space="preserve"> zu ermöglichen; </w:t>
            </w:r>
            <w:r>
              <w:rPr>
                <w:b/>
                <w:i/>
              </w:rPr>
              <w:t>nimmt mit Besorgnis den KI-bedingten Verlust von Arbeitsplätzen zur Kenntnis;</w:t>
            </w:r>
            <w:r>
              <w:t xml:space="preserve"> betont, dass </w:t>
            </w:r>
            <w:r>
              <w:rPr>
                <w:b/>
                <w:i/>
              </w:rPr>
              <w:t>es die Qualität von Arbeitsplätzen, faire Bedingungen sowie einen gleichberechtigten Zugang zu</w:t>
            </w:r>
            <w:r>
              <w:t xml:space="preserve"> Banken </w:t>
            </w:r>
            <w:r>
              <w:rPr>
                <w:b/>
                <w:i/>
              </w:rPr>
              <w:t>aufrechtzuerhalten gilt</w:t>
            </w:r>
            <w:r>
              <w:t>;</w:t>
            </w:r>
          </w:p>
        </w:tc>
        <w:tc>
          <w:tcPr>
            <w:tcW w:w="4876" w:type="dxa"/>
            <w:tcBorders>
              <w:top w:val="nil"/>
              <w:left w:val="nil"/>
              <w:bottom w:val="nil"/>
              <w:right w:val="nil"/>
            </w:tcBorders>
          </w:tcPr>
          <w:p>
            <w:pPr>
              <w:pStyle w:val="Normal6a"/>
            </w:pPr>
            <w:r>
              <w:t>13.</w:t>
            </w:r>
            <w:r>
              <w:tab/>
            </w:r>
            <w:r>
              <w:rPr>
                <w:b/>
                <w:i/>
              </w:rPr>
              <w:t>stellt fest</w:t>
            </w:r>
            <w:r>
              <w:t xml:space="preserve">, dass es zunehmend zu Schließungen von Bankfilialen kommt; unterstreicht, dass kleinere Banken eine wichtige Rolle dabei spielen, Haushalten </w:t>
            </w:r>
            <w:r>
              <w:rPr>
                <w:b/>
                <w:i/>
              </w:rPr>
              <w:t>und lokalen Unternehmen</w:t>
            </w:r>
            <w:r>
              <w:t xml:space="preserve"> den Zugang zu </w:t>
            </w:r>
            <w:r>
              <w:rPr>
                <w:b/>
                <w:i/>
              </w:rPr>
              <w:t>Finanzdienstleistungen</w:t>
            </w:r>
            <w:r>
              <w:t xml:space="preserve"> zu ermöglichen; betont, dass </w:t>
            </w:r>
            <w:r>
              <w:rPr>
                <w:b/>
                <w:i/>
              </w:rPr>
              <w:t>die Aufsichtsvorschriften gemäß dem Grundsatz der Verhältnismäßigkeit an die Größe, die Komplexität und das Risikoprofil kleinerer</w:t>
            </w:r>
            <w:r>
              <w:t xml:space="preserve"> Banken </w:t>
            </w:r>
            <w:r>
              <w:rPr>
                <w:b/>
                <w:i/>
              </w:rPr>
              <w:t>angepasst werden müssen, um unangemessene regulatorische Belastungen zu vermeiden, die solche Banken daran hindern, zu wachsen, im Wettbewerb zu bestehen und weiterhin der Realwirtschaft zu dienen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bedauert</w:t>
            </w:r>
            <w:r>
              <w:t xml:space="preserve">, dass es zunehmend zu Schließungen von Bankfilialen kommt, </w:t>
            </w:r>
            <w:r>
              <w:rPr>
                <w:b/>
                <w:i/>
              </w:rPr>
              <w:t>von denen</w:t>
            </w:r>
            <w:r>
              <w:t xml:space="preserve"> Gemeinschaften </w:t>
            </w:r>
            <w:r>
              <w:rPr>
                <w:b/>
                <w:i/>
              </w:rPr>
              <w:t>in prekärer oder geografisch peripherer Lage betroffen sind</w:t>
            </w:r>
            <w:r>
              <w:t xml:space="preserve">; unterstreicht, dass kleinere Banken eine wichtige Rolle dabei spielen, Haushalten den Zugang zu Dienstleistungen zu ermöglichen; nimmt mit Besorgnis den </w:t>
            </w:r>
            <w:r>
              <w:rPr>
                <w:b/>
                <w:i/>
              </w:rPr>
              <w:t>KI-bedingten</w:t>
            </w:r>
            <w:r>
              <w:t xml:space="preserve"> Verlust von Arbeitsplätzen zur Kenntnis; betont, dass es die Qualität von Arbeitsplätzen, faire Bedingungen sowie einen gleichberechtigten Zugang zu Banken aufrechtzuerhalten </w:t>
            </w:r>
            <w:r>
              <w:rPr>
                <w:b/>
                <w:i/>
              </w:rPr>
              <w:t>gilt</w:t>
            </w:r>
            <w:r>
              <w:t>;</w:t>
            </w:r>
          </w:p>
        </w:tc>
        <w:tc>
          <w:tcPr>
            <w:tcW w:w="4876" w:type="dxa"/>
            <w:tcBorders>
              <w:top w:val="nil"/>
              <w:left w:val="nil"/>
              <w:bottom w:val="nil"/>
              <w:right w:val="nil"/>
            </w:tcBorders>
          </w:tcPr>
          <w:p>
            <w:pPr>
              <w:pStyle w:val="Normal6a"/>
            </w:pPr>
            <w:r>
              <w:t>13.</w:t>
            </w:r>
            <w:r>
              <w:tab/>
            </w:r>
            <w:r>
              <w:rPr>
                <w:b/>
                <w:i/>
              </w:rPr>
              <w:t>stellt fest</w:t>
            </w:r>
            <w:r>
              <w:t xml:space="preserve">, dass es zunehmend zu Schließungen von Bankfilialen kommt, </w:t>
            </w:r>
            <w:r>
              <w:rPr>
                <w:b/>
                <w:i/>
              </w:rPr>
              <w:t>wovon verschiedene Mitgliedstaaten in unterschiedlichem Ausmaß betroffen sind;</w:t>
            </w:r>
            <w:r>
              <w:t xml:space="preserve"> </w:t>
            </w:r>
            <w:r>
              <w:rPr>
                <w:b/>
                <w:i/>
              </w:rPr>
              <w:t>erkennt die potenziellen erheblichen Auswirkungen an, die diese Schließungen auf schutzbedürftige und periphere</w:t>
            </w:r>
            <w:r>
              <w:t xml:space="preserve"> Gemeinschaften </w:t>
            </w:r>
            <w:r>
              <w:rPr>
                <w:b/>
                <w:i/>
              </w:rPr>
              <w:t>haben können, und hebt gleichzeitig Beispiele für Innovationen hervor, die es einigen Nutzern ermöglichen, dank technologischer Entwicklungen bessere Dienste aus der Ferne in Anspruch zu nehmen;</w:t>
            </w:r>
            <w:r>
              <w:t xml:space="preserve"> </w:t>
            </w:r>
            <w:r>
              <w:rPr>
                <w:b/>
                <w:i/>
              </w:rPr>
              <w:t>verweist auf Beispiele für die Zusammenarbeit verschiedener Banken bei der Erbringung physischer Bankdienstleistungen für Kunden trotz einiger Schließungen von Bankfilialen sowohl in ländlichen als auch in städtischen Gebieten</w:t>
            </w:r>
            <w:r>
              <w:t xml:space="preserve">; unterstreicht, dass kleinere Banken eine wichtige Rolle dabei spielen, Haushalten den Zugang zu Dienstleistungen zu ermöglichen; </w:t>
            </w:r>
            <w:r>
              <w:rPr>
                <w:b/>
                <w:i/>
              </w:rPr>
              <w:t>hebt die Beiträge größerer Banken zur Wettbewerbsfähigkeit und zur Finanzierung der europäischen Wirtschaft hervor;</w:t>
            </w:r>
            <w:r>
              <w:t xml:space="preserve"> nimmt mit Besorgnis den Verlust von Arbeitsplätzen </w:t>
            </w:r>
            <w:r>
              <w:rPr>
                <w:b/>
                <w:i/>
              </w:rPr>
              <w:t>im Zusammenhang mit KI und die potenziellen Gefahren im Zusammenhang mit KI</w:t>
            </w:r>
            <w:r>
              <w:t xml:space="preserve"> zur Kenntnis</w:t>
            </w:r>
            <w:r>
              <w:rPr>
                <w:b/>
                <w:i/>
              </w:rPr>
              <w:t>, die zu einer Risikokonzentration in den Bilanzen der Banken führen</w:t>
            </w:r>
            <w:r>
              <w:t xml:space="preserve">; betont, dass es </w:t>
            </w:r>
            <w:r>
              <w:rPr>
                <w:b/>
                <w:i/>
              </w:rPr>
              <w:t>gilt, ein Risikomanagement von hoher Qualität,</w:t>
            </w:r>
            <w:r>
              <w:t xml:space="preserve"> die Qualität von Arbeitsplätzen, faire Bedingungen sowie einen gleichberechtigten Zugang zu Banken aufrechtzuerhalten;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bedauert, dass es zunehmend zu Schließungen von Bankfilialen kommt, von denen Gemeinschaften in prekärer oder geografisch peripherer Lage betroffen sind; unterstreicht, dass kleinere Banken eine wichtige Rolle dabei spielen, Haushalten den Zugang zu Dienstleistungen zu ermöglichen</w:t>
            </w:r>
            <w:r>
              <w:rPr>
                <w:b/>
                <w:i/>
              </w:rPr>
              <w:t>;</w:t>
            </w:r>
            <w:r>
              <w:t xml:space="preserve"> </w:t>
            </w:r>
            <w:r>
              <w:rPr>
                <w:b/>
                <w:i/>
              </w:rPr>
              <w:t>nimmt mit Besorgnis den KI-bedingten Verlust von Arbeitsplätzen zur Kenntnis;</w:t>
            </w:r>
            <w:r>
              <w:t xml:space="preserve"> betont, dass </w:t>
            </w:r>
            <w:r>
              <w:rPr>
                <w:b/>
                <w:i/>
              </w:rPr>
              <w:t>es die Qualität von Arbeitsplätzen, faire Bedingungen sowie einen gleichberechtigten Zugang zu Banken aufrechtzuerhalten gilt</w:t>
            </w:r>
            <w:r>
              <w:t>;</w:t>
            </w:r>
          </w:p>
        </w:tc>
        <w:tc>
          <w:tcPr>
            <w:tcW w:w="4876" w:type="dxa"/>
            <w:tcBorders>
              <w:top w:val="nil"/>
              <w:left w:val="nil"/>
              <w:bottom w:val="nil"/>
              <w:right w:val="nil"/>
            </w:tcBorders>
          </w:tcPr>
          <w:p>
            <w:pPr>
              <w:pStyle w:val="Normal6a"/>
            </w:pPr>
            <w:r>
              <w:t>13.</w:t>
            </w:r>
            <w:r>
              <w:tab/>
            </w:r>
            <w:r>
              <w:t xml:space="preserve">bedauert, dass es zunehmend zu Schließungen von Bankfilialen kommt, von denen Gemeinschaften in prekärer oder geografisch peripherer Lage betroffen sind; </w:t>
            </w:r>
            <w:r>
              <w:rPr>
                <w:b/>
                <w:i/>
              </w:rPr>
              <w:t>betont, dass dieser Trend zumindest zum Teil auf den übermäßigen Regulierungsaufwand zurückzuführen ist;</w:t>
            </w:r>
            <w:r>
              <w:t xml:space="preserve"> unterstreicht, dass kleinere Banken eine wichtige Rolle dabei spielen, Haushalten den Zugang zu Dienstleistungen zu ermöglichen</w:t>
            </w:r>
            <w:r>
              <w:rPr>
                <w:b/>
                <w:i/>
              </w:rPr>
              <w:t>, und</w:t>
            </w:r>
            <w:r>
              <w:t xml:space="preserve"> betont, dass </w:t>
            </w:r>
            <w:r>
              <w:rPr>
                <w:b/>
                <w:i/>
              </w:rPr>
              <w:t>die Regelung für Kleinbanken weiterentwickelt werden muss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bedauert, dass es zunehmend zu Schließungen von Bankfilialen kommt, von denen Gemeinschaften in prekärer oder geografisch peripherer Lage betroffen sind; unterstreicht, dass kleinere Banken eine wichtige Rolle dabei spielen, Haushalten den Zugang zu Dienstleistungen zu ermöglichen; nimmt mit Besorgnis den KI-bedingten Verlust von Arbeitsplätzen zur Kenntnis; betont, dass es die Qualität von Arbeitsplätzen, faire Bedingungen sowie einen gleichberechtigten Zugang zu Banken aufrechtzuerhalten gilt;</w:t>
            </w:r>
          </w:p>
        </w:tc>
        <w:tc>
          <w:tcPr>
            <w:tcW w:w="4876" w:type="dxa"/>
            <w:tcBorders>
              <w:top w:val="nil"/>
              <w:left w:val="nil"/>
              <w:bottom w:val="nil"/>
              <w:right w:val="nil"/>
            </w:tcBorders>
          </w:tcPr>
          <w:p>
            <w:pPr>
              <w:pStyle w:val="Normal6a"/>
            </w:pPr>
            <w:r>
              <w:t>13.</w:t>
            </w:r>
            <w:r>
              <w:tab/>
            </w:r>
            <w:r>
              <w:t xml:space="preserve">bedauert, dass es zunehmend zu Schließungen von Bankfilialen kommt, von denen Gemeinschaften in prekärer oder geografisch peripherer Lage betroffen sind; </w:t>
            </w:r>
            <w:r>
              <w:rPr>
                <w:b/>
                <w:i/>
              </w:rPr>
              <w:t>erinnert an das Recht der Bürger auf Zugang zu grundlegenden Finanzdienstleistungen;</w:t>
            </w:r>
            <w:r>
              <w:t xml:space="preserve"> unterstreicht, dass kleinere Banken eine wichtige Rolle dabei spielen, Haushalten den Zugang zu Dienstleistungen zu ermöglichen; </w:t>
            </w:r>
            <w:r>
              <w:rPr>
                <w:b/>
                <w:i/>
              </w:rPr>
              <w:t>betont, dass die Vielfalt der Geschäftsmodelle im Bankensektor die Widerstandsfähigkeit des Finanzsystems verbessert;</w:t>
            </w:r>
            <w:r>
              <w:t xml:space="preserve"> nimmt mit Besorgnis den KI-bedingten Verlust von Arbeitsplätzen zur Kenntnis</w:t>
            </w:r>
            <w:r>
              <w:rPr>
                <w:b/>
                <w:i/>
              </w:rPr>
              <w:t>;</w:t>
            </w:r>
            <w:r>
              <w:t xml:space="preserve"> </w:t>
            </w:r>
            <w:r>
              <w:rPr>
                <w:b/>
                <w:i/>
              </w:rPr>
              <w:t>fordert die Kreditinstitute auf, Umschulungsmaßnahmen umzusetzen und bei automatisierten Entscheidungen eine Aufsicht durch Menschen sicherzustellen</w:t>
            </w:r>
            <w:r>
              <w:t>; betont, dass es die Qualität von Arbeitsplätzen, faire Bedingungen sowie einen gleichberechtigten Zugang zu Banken aufrechtzuerhalten gilt;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bedauert, dass es zunehmend zu Schließungen von Bankfilialen kommt, von denen Gemeinschaften </w:t>
            </w:r>
            <w:r>
              <w:rPr>
                <w:b/>
                <w:i/>
              </w:rPr>
              <w:t>in prekärer oder geografisch peripherer Lage</w:t>
            </w:r>
            <w:r>
              <w:t xml:space="preserve"> betroffen sind; unterstreicht, dass kleinere Banken eine wichtige Rolle dabei spielen, Haushalten den Zugang zu Dienstleistungen zu ermöglichen; </w:t>
            </w:r>
            <w:r>
              <w:rPr>
                <w:b/>
                <w:i/>
              </w:rPr>
              <w:t>nimmt mit Besorgnis den KI-bedingten Verlust von Arbeitsplätzen zur Kenntnis;</w:t>
            </w:r>
            <w:r>
              <w:t xml:space="preserve"> betont, </w:t>
            </w:r>
            <w:r>
              <w:rPr>
                <w:b/>
                <w:i/>
              </w:rPr>
              <w:t>dass es die</w:t>
            </w:r>
            <w:r>
              <w:t xml:space="preserve"> Qualität </w:t>
            </w:r>
            <w:r>
              <w:rPr>
                <w:b/>
                <w:i/>
              </w:rPr>
              <w:t>von Arbeitsplätzen, faire</w:t>
            </w:r>
            <w:r>
              <w:t xml:space="preserve"> Bedingungen </w:t>
            </w:r>
            <w:r>
              <w:rPr>
                <w:b/>
                <w:i/>
              </w:rPr>
              <w:t>sowie einen</w:t>
            </w:r>
            <w:r>
              <w:t xml:space="preserve"> gleichberechtigten </w:t>
            </w:r>
            <w:r>
              <w:rPr>
                <w:b/>
                <w:i/>
              </w:rPr>
              <w:t>Zugang zu Banken aufrechtzuerhalten gilt</w:t>
            </w:r>
            <w:r>
              <w:t>;</w:t>
            </w:r>
          </w:p>
        </w:tc>
        <w:tc>
          <w:tcPr>
            <w:tcW w:w="4876" w:type="dxa"/>
            <w:tcBorders>
              <w:top w:val="nil"/>
              <w:left w:val="nil"/>
              <w:bottom w:val="nil"/>
              <w:right w:val="nil"/>
            </w:tcBorders>
          </w:tcPr>
          <w:p>
            <w:pPr>
              <w:pStyle w:val="Normal6a"/>
            </w:pPr>
            <w:r>
              <w:t>13.</w:t>
            </w:r>
            <w:r>
              <w:tab/>
            </w:r>
            <w:r>
              <w:t xml:space="preserve">bedauert, dass es zunehmend zu Schließungen von Bankfilialen </w:t>
            </w:r>
            <w:r>
              <w:rPr>
                <w:b/>
                <w:i/>
              </w:rPr>
              <w:t>in ländlichen Regionen</w:t>
            </w:r>
            <w:r>
              <w:t xml:space="preserve"> kommt, von denen </w:t>
            </w:r>
            <w:r>
              <w:rPr>
                <w:b/>
                <w:i/>
              </w:rPr>
              <w:t>schutzbedürftige</w:t>
            </w:r>
            <w:r>
              <w:t xml:space="preserve"> Gemeinschaften betroffen sind; unterstreicht, dass kleinere Banken eine wichtige Rolle dabei spielen, Haushalten den Zugang zu Dienstleistungen zu ermöglichen; betont, </w:t>
            </w:r>
            <w:r>
              <w:rPr>
                <w:b/>
                <w:i/>
              </w:rPr>
              <w:t>wie wichtig Digitalisierung und künstliche Intelligenz sind, um die Effizienz des Bankensektors zu stärken, etwa durch die Straffung der Abläufe, die Senkung der Kosten und die Verbesserung der Geschwindigkeit und</w:t>
            </w:r>
            <w:r>
              <w:t xml:space="preserve"> Qualität </w:t>
            </w:r>
            <w:r>
              <w:rPr>
                <w:b/>
                <w:i/>
              </w:rPr>
              <w:t>der Dienstleistungen für die Kunden bei gleichzeitiger Sicherstellung der Arbeitsplatzqualität, fairer</w:t>
            </w:r>
            <w:r>
              <w:t xml:space="preserve"> Bedingungen </w:t>
            </w:r>
            <w:r>
              <w:rPr>
                <w:b/>
                <w:i/>
              </w:rPr>
              <w:t>und eines</w:t>
            </w:r>
            <w:r>
              <w:t xml:space="preserve"> gleichberechtigten </w:t>
            </w:r>
            <w:r>
              <w:rPr>
                <w:b/>
                <w:i/>
              </w:rPr>
              <w:t>Zugangs zu Bankdienstleistungen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bedauert, dass es zunehmend zu Schließungen von Bankfilialen kommt, von denen Gemeinschaften in prekärer oder geografisch peripherer Lage betroffen sind; unterstreicht, dass kleinere Banken eine wichtige Rolle dabei spielen, Haushalten den Zugang zu Dienstleistungen zu ermöglichen; nimmt mit Besorgnis den KI-bedingten Verlust von Arbeitsplätzen zur Kenntnis; betont, dass es die Qualität von Arbeitsplätzen, faire Bedingungen sowie einen gleichberechtigten Zugang zu Banken aufrechtzuerhalten gilt;</w:t>
            </w:r>
          </w:p>
        </w:tc>
        <w:tc>
          <w:tcPr>
            <w:tcW w:w="4876" w:type="dxa"/>
            <w:tcBorders>
              <w:top w:val="nil"/>
              <w:left w:val="nil"/>
              <w:bottom w:val="nil"/>
              <w:right w:val="nil"/>
            </w:tcBorders>
          </w:tcPr>
          <w:p>
            <w:pPr>
              <w:pStyle w:val="Normal6a"/>
            </w:pPr>
            <w:r>
              <w:t>13.</w:t>
            </w:r>
            <w:r>
              <w:tab/>
            </w:r>
            <w:r>
              <w:t xml:space="preserve">bedauert, dass es zunehmend zu Schließungen von Bankfilialen kommt, von denen Gemeinschaften in prekärer oder geografisch peripherer Lage betroffen </w:t>
            </w:r>
            <w:r>
              <w:rPr>
                <w:b/>
                <w:i/>
              </w:rPr>
              <w:t>sind und die unter anderem auf den zunehmenden Regulierungsaufwand zurückzuführen</w:t>
            </w:r>
            <w:r>
              <w:t xml:space="preserve"> sind; unterstreicht, dass kleinere Banken eine wichtige Rolle dabei spielen, Haushalten den Zugang zu Dienstleistungen zu ermöglichen; nimmt mit Besorgnis den KI-bedingten Verlust von Arbeitsplätzen zur Kenntnis; betont, dass es die Qualität von Arbeitsplätzen, faire Bedingungen sowie einen gleichberechtigten Zugang zu Banken aufrechtzuerhalten gilt; </w:t>
            </w:r>
            <w:r>
              <w:rPr>
                <w:b/>
                <w:i/>
              </w:rPr>
              <w:t>begrüßt das Konzept der Einführung eines Kleinbankenregimes;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bedauert, dass es zunehmend zu Schließungen von Bankfilialen kommt, von denen Gemeinschaften in prekärer oder geografisch peripherer Lage betroffen sind; unterstreicht, dass kleinere Banken eine wichtige Rolle dabei spielen, Haushalten den Zugang zu Dienstleistungen zu ermöglichen; nimmt mit Besorgnis den KI-bedingten Verlust von Arbeitsplätzen zur Kenntnis; betont, dass es die Qualität von Arbeitsplätzen, faire Bedingungen sowie einen gleichberechtigten Zugang zu Banken aufrechtzuerhalten gilt;</w:t>
            </w:r>
          </w:p>
        </w:tc>
        <w:tc>
          <w:tcPr>
            <w:tcW w:w="4876" w:type="dxa"/>
            <w:tcBorders>
              <w:top w:val="nil"/>
              <w:left w:val="nil"/>
              <w:bottom w:val="nil"/>
              <w:right w:val="nil"/>
            </w:tcBorders>
          </w:tcPr>
          <w:p>
            <w:pPr>
              <w:pStyle w:val="Normal6a"/>
            </w:pPr>
            <w:r>
              <w:t>13.</w:t>
            </w:r>
            <w:r>
              <w:tab/>
            </w:r>
            <w:r>
              <w:t xml:space="preserve">bedauert, dass es zunehmend zu Schließungen von Bankfilialen kommt, von denen Gemeinschaften in prekärer oder geografisch peripherer Lage betroffen </w:t>
            </w:r>
            <w:r>
              <w:rPr>
                <w:b/>
                <w:i/>
              </w:rPr>
              <w:t>sind und die zum Teil auf den zunehmenden Regulierungsaufwand zurückzuführen</w:t>
            </w:r>
            <w:r>
              <w:t xml:space="preserve"> sind; unterstreicht, dass kleinere Banken eine wichtige Rolle dabei spielen, Haushalten den Zugang zu Dienstleistungen zu ermöglichen; nimmt mit Besorgnis den KI-bedingten Verlust von Arbeitsplätzen zur Kenntnis; betont, dass es die Qualität von Arbeitsplätzen, faire Bedingungen sowie einen gleichberechtigten Zugang zu Banken aufrechtzuerhalten gilt; </w:t>
            </w:r>
            <w:r>
              <w:rPr>
                <w:b/>
                <w:i/>
              </w:rPr>
              <w:t>begrüßt das Konzept der Einführung eines Kleinbankenregimes;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bedauert, dass es zunehmend zu Schließungen von Bankfilialen kommt, </w:t>
            </w:r>
            <w:r>
              <w:rPr>
                <w:b/>
                <w:i/>
              </w:rPr>
              <w:t>von denen</w:t>
            </w:r>
            <w:r>
              <w:t xml:space="preserve"> Gemeinschaften in prekärer oder geografisch peripherer Lage betroffen sind; unterstreicht, dass kleinere Banken eine wichtige Rolle dabei spielen, Haushalten den Zugang zu Dienstleistungen zu ermöglichen; nimmt mit Besorgnis den KI-bedingten Verlust von Arbeitsplätzen zur Kenntnis; betont, dass es die Qualität von Arbeitsplätzen, faire Bedingungen sowie einen gleichberechtigten Zugang zu Banken aufrechtzuerhalten gilt;</w:t>
            </w:r>
          </w:p>
        </w:tc>
        <w:tc>
          <w:tcPr>
            <w:tcW w:w="4876" w:type="dxa"/>
            <w:tcBorders>
              <w:top w:val="nil"/>
              <w:left w:val="nil"/>
              <w:bottom w:val="nil"/>
              <w:right w:val="nil"/>
            </w:tcBorders>
          </w:tcPr>
          <w:p>
            <w:pPr>
              <w:pStyle w:val="Normal6a"/>
            </w:pPr>
            <w:r>
              <w:t>13.</w:t>
            </w:r>
            <w:r>
              <w:tab/>
            </w:r>
            <w:r>
              <w:t xml:space="preserve">bedauert, dass es zunehmend zu Schließungen von Bankfilialen kommt, </w:t>
            </w:r>
            <w:r>
              <w:rPr>
                <w:b/>
                <w:i/>
              </w:rPr>
              <w:t>was zum Teil auf den zunehmenden Regulierungsaufwand zurückzuführen ist;</w:t>
            </w:r>
            <w:r>
              <w:t xml:space="preserve"> </w:t>
            </w:r>
            <w:r>
              <w:rPr>
                <w:b/>
                <w:i/>
              </w:rPr>
              <w:t>begrüßt in diesem Zusammenhang das Konzept der Einführung eines Kleinbankenregimes;</w:t>
            </w:r>
            <w:r>
              <w:t xml:space="preserve"> </w:t>
            </w:r>
            <w:r>
              <w:rPr>
                <w:b/>
                <w:i/>
              </w:rPr>
              <w:t>stellt ferner fest, dass</w:t>
            </w:r>
            <w:r>
              <w:t xml:space="preserve"> Gemeinschaften in prekärer oder geografisch peripherer Lage </w:t>
            </w:r>
            <w:r>
              <w:rPr>
                <w:b/>
                <w:i/>
              </w:rPr>
              <w:t>unverhältnismäßig stark von diesen Schließungen</w:t>
            </w:r>
            <w:r>
              <w:t xml:space="preserve"> betroffen sind; unterstreicht, dass kleinere Banken eine wichtige Rolle dabei spielen, Haushalten den Zugang zu Dienstleistungen zu ermöglichen; nimmt mit Besorgnis den KI-bedingten Verlust von Arbeitsplätzen zur Kenntnis; betont, dass es die Qualität von Arbeitsplätzen, faire Bedingungen sowie einen gleichberechtigten Zugang zu Banken aufrechtzuerhalten gilt;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betont das Ausmaß des zunehmenden Phänomens der Schließung von Bankfilialen und die daraus resultierende Gefahr des „Filialsterbens“, die sich insbesondere auf die schwächsten Bürger und die Gebiete der EU, die am stärksten von der digitalen Kluft betroffen sind, auswirkt;</w:t>
            </w:r>
            <w:r>
              <w:t xml:space="preserve"> </w:t>
            </w:r>
            <w:r>
              <w:rPr>
                <w:b/>
                <w:i/>
              </w:rPr>
              <w:t>betont, dass mittlere und kleine Banken eine wesentliche Rolle spielen, wenn es darum geht, grundlegende Bankdienstleistungen sicherzustellen, insbesondere in ländlichen Gebieten, Berggebieten, Binnen- und Inselgebieten sowie Gebieten in äußerster Randlage der EU, und Familien, KMU und die lokale Wirtschaft zu unterstützen;</w:t>
            </w:r>
            <w:r>
              <w:t xml:space="preserve"> </w:t>
            </w:r>
            <w:r>
              <w:rPr>
                <w:b/>
                <w:i/>
              </w:rPr>
              <w:t>betont, dass der Regelungsaufwand für die Unternehmen, die eine wichtige sozioökonomische Funktion wahrnehmen, verringert werden muss, indem bei der Bankenaufsicht der Grundsatz der Verhältnismäßigkeit angewendet wird;</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nimmt die strukturellen Veränderungen in den Geschäftsmodellen der Banken einschließlich jener Veränderungen zur Kenntnis, die sich aus der Digitalisierung ergeben, und hält es für sehr wichtig, dafür zu sorgen, dass Familien und KMU auch in Zukunft effektiv Zugang zu grundlegenden Finanzdienstleistungen haben;</w:t>
            </w:r>
            <w:r>
              <w:t xml:space="preserve"> </w:t>
            </w:r>
            <w:r>
              <w:rPr>
                <w:b/>
                <w:i/>
              </w:rPr>
              <w:t>hebt die Rolle hervor, die kleinere Einrichtungen und neue digitale Kanäle in diesem Zusammenhang spielen können;</w:t>
            </w:r>
            <w:r>
              <w:t xml:space="preserve"> </w:t>
            </w:r>
            <w:r>
              <w:rPr>
                <w:b/>
                <w:i/>
              </w:rPr>
              <w:t>weist darauf hin, dass die Einführung neuer Technologien wie künstlicher Intelligenz verantwortungsvoll gehandhabt werden muss und es dabei gilt, die Anpassung von Kompetenzen und die Produktivität zu fördern und zu verhindern, dass die Innovationskraft und die Wettbewerbsfähigkeit des europäischen Finanzsektors gehemmt werden;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fordert die Kommission auf, die Angemessenheit von Initiativen zu prüfen, mit denen ein Mindestmaß an physischem Zugang zu Finanzdienstleistungen auf einheitliche Weise im gesamten Hoheitsgebiet der Mitgliedstaaten sichergestellt werden soll, indem in Erwägung gezogen wird, als Reaktion auf das Phänomen des Bankfilialsterbens einen Teil der Steigerungen der Rentabilität zur Unterstützung des Filialnetzes zuzuweisen;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ist sich der</w:t>
            </w:r>
            <w:r>
              <w:t xml:space="preserve"> Risiken und Chancen </w:t>
            </w:r>
            <w:r>
              <w:rPr>
                <w:b/>
                <w:i/>
              </w:rPr>
              <w:t>im Zusammenhang mit Kryptowerten bewusst</w:t>
            </w:r>
            <w:r>
              <w:t xml:space="preserve">; fordert </w:t>
            </w:r>
            <w:r>
              <w:rPr>
                <w:b/>
                <w:i/>
              </w:rPr>
              <w:t>eine konsequente</w:t>
            </w:r>
            <w:r>
              <w:t xml:space="preserve"> Aufsicht, </w:t>
            </w:r>
            <w:r>
              <w:rPr>
                <w:b/>
                <w:i/>
              </w:rPr>
              <w:t>um sicherzustellen, dass</w:t>
            </w:r>
            <w:r>
              <w:t xml:space="preserve"> Innovationen </w:t>
            </w:r>
            <w:r>
              <w:rPr>
                <w:b/>
                <w:i/>
              </w:rPr>
              <w:t>einem öffentlichen Interesse dienen</w:t>
            </w:r>
            <w:r>
              <w:t>; fordert die Stellen der EU und der Mitgliedstaaten auf, entsprechende Risikopositionen zu überwachen, gegen Spekulationsrisiken vorzugehen, Finanzkriminalität zu bekämpfen und die Verbraucher zu schützen;</w:t>
            </w:r>
          </w:p>
        </w:tc>
        <w:tc>
          <w:tcPr>
            <w:tcW w:w="4876" w:type="dxa"/>
            <w:tcBorders>
              <w:top w:val="nil"/>
              <w:left w:val="nil"/>
              <w:bottom w:val="nil"/>
              <w:right w:val="nil"/>
            </w:tcBorders>
          </w:tcPr>
          <w:p>
            <w:pPr>
              <w:pStyle w:val="Normal6a"/>
            </w:pPr>
            <w:r>
              <w:t>14.</w:t>
            </w:r>
            <w:r>
              <w:tab/>
            </w:r>
            <w:r>
              <w:rPr>
                <w:b/>
                <w:i/>
              </w:rPr>
              <w:t>nimmt die Tokenisierung der mit finanziellen Vermögenswerten verbundenen</w:t>
            </w:r>
            <w:r>
              <w:t xml:space="preserve"> Risiken und Chancen </w:t>
            </w:r>
            <w:r>
              <w:rPr>
                <w:b/>
                <w:i/>
              </w:rPr>
              <w:t>zur Kenntnis</w:t>
            </w:r>
            <w:r>
              <w:t xml:space="preserve">; fordert </w:t>
            </w:r>
            <w:r>
              <w:rPr>
                <w:b/>
                <w:i/>
              </w:rPr>
              <w:t>einen prinzipienbasierten und verhältnismäßigen Ansatz in Bezug auf Regulierung und</w:t>
            </w:r>
            <w:r>
              <w:t xml:space="preserve"> Aufsicht, </w:t>
            </w:r>
            <w:r>
              <w:rPr>
                <w:b/>
                <w:i/>
              </w:rPr>
              <w:t>damit</w:t>
            </w:r>
            <w:r>
              <w:t xml:space="preserve"> Innovationen </w:t>
            </w:r>
            <w:r>
              <w:rPr>
                <w:b/>
                <w:i/>
              </w:rPr>
              <w:t>nicht behindert werden</w:t>
            </w:r>
            <w:r>
              <w:t>; fordert die Stellen der EU und der Mitgliedstaaten auf, entsprechende Risikopositionen zu überwachen, gegen Spekulationsrisiken vorzugehen, Finanzkriminalität zu bekämpfen und die Verbraucher zu schützen;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Aurore Lalucq</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ist sich der</w:t>
            </w:r>
            <w:r>
              <w:t xml:space="preserve"> Risiken </w:t>
            </w:r>
            <w:r>
              <w:rPr>
                <w:b/>
                <w:i/>
              </w:rPr>
              <w:t>und Chancen im Zusammenhang mit</w:t>
            </w:r>
            <w:r>
              <w:t xml:space="preserve"> Kryptowerten </w:t>
            </w:r>
            <w:r>
              <w:rPr>
                <w:b/>
                <w:i/>
              </w:rPr>
              <w:t>bewusst</w:t>
            </w:r>
            <w:r>
              <w:t xml:space="preserve">; fordert eine konsequente Aufsicht, um sicherzustellen, dass Innovationen </w:t>
            </w:r>
            <w:r>
              <w:rPr>
                <w:b/>
                <w:i/>
              </w:rPr>
              <w:t>einem</w:t>
            </w:r>
            <w:r>
              <w:t xml:space="preserve"> öffentlichen Interesse dienen; fordert die </w:t>
            </w:r>
            <w:r>
              <w:rPr>
                <w:b/>
                <w:i/>
              </w:rPr>
              <w:t>Stellen</w:t>
            </w:r>
            <w:r>
              <w:t xml:space="preserve"> der EU und der Mitgliedstaaten auf, entsprechende </w:t>
            </w:r>
            <w:r>
              <w:rPr>
                <w:b/>
                <w:i/>
              </w:rPr>
              <w:t>Risikopositionen</w:t>
            </w:r>
            <w:r>
              <w:t xml:space="preserve"> zu überwachen, gegen </w:t>
            </w:r>
            <w:r>
              <w:rPr>
                <w:b/>
                <w:i/>
              </w:rPr>
              <w:t>Spekulationsrisiken</w:t>
            </w:r>
            <w:r>
              <w:t xml:space="preserve"> vorzugehen, Finanzkriminalität zu bekämpfen und die Verbraucher zu schützen;</w:t>
            </w:r>
          </w:p>
        </w:tc>
        <w:tc>
          <w:tcPr>
            <w:tcW w:w="4876" w:type="dxa"/>
            <w:tcBorders>
              <w:top w:val="nil"/>
              <w:left w:val="nil"/>
              <w:bottom w:val="nil"/>
              <w:right w:val="nil"/>
            </w:tcBorders>
          </w:tcPr>
          <w:p>
            <w:pPr>
              <w:pStyle w:val="Normal6a"/>
            </w:pPr>
            <w:r>
              <w:t>14.</w:t>
            </w:r>
            <w:r>
              <w:tab/>
            </w:r>
            <w:r>
              <w:rPr>
                <w:b/>
                <w:i/>
              </w:rPr>
              <w:t>hebt die</w:t>
            </w:r>
            <w:r>
              <w:t xml:space="preserve"> Risiken </w:t>
            </w:r>
            <w:r>
              <w:rPr>
                <w:b/>
                <w:i/>
              </w:rPr>
              <w:t>von</w:t>
            </w:r>
            <w:r>
              <w:t xml:space="preserve"> Kryptowerten </w:t>
            </w:r>
            <w:r>
              <w:rPr>
                <w:b/>
                <w:i/>
              </w:rPr>
              <w:t>hervor</w:t>
            </w:r>
            <w:r>
              <w:t xml:space="preserve">; fordert eine konsequente Aufsicht, um sicherzustellen, dass Innovationen </w:t>
            </w:r>
            <w:r>
              <w:rPr>
                <w:b/>
                <w:i/>
              </w:rPr>
              <w:t>dem</w:t>
            </w:r>
            <w:r>
              <w:t xml:space="preserve"> öffentlichen Interesse dienen; fordert die </w:t>
            </w:r>
            <w:r>
              <w:rPr>
                <w:b/>
                <w:i/>
              </w:rPr>
              <w:t>Behörden</w:t>
            </w:r>
            <w:r>
              <w:t xml:space="preserve"> der EU und der Mitgliedstaaten auf, entsprechende </w:t>
            </w:r>
            <w:r>
              <w:rPr>
                <w:b/>
                <w:i/>
              </w:rPr>
              <w:t>Risikoexponierungen</w:t>
            </w:r>
            <w:r>
              <w:t xml:space="preserve"> zu überwachen, </w:t>
            </w:r>
            <w:r>
              <w:rPr>
                <w:b/>
                <w:i/>
              </w:rPr>
              <w:t>Risiken anzugehen,</w:t>
            </w:r>
            <w:r>
              <w:t xml:space="preserve"> gegen </w:t>
            </w:r>
            <w:r>
              <w:rPr>
                <w:b/>
                <w:i/>
              </w:rPr>
              <w:t>spekulative Praktiken</w:t>
            </w:r>
            <w:r>
              <w:t xml:space="preserve"> vorzugehen, Finanzkriminalität zu bekämpfen und die Verbraucher zu schützen;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ist sich der</w:t>
            </w:r>
            <w:r>
              <w:t xml:space="preserve"> Risiken </w:t>
            </w:r>
            <w:r>
              <w:rPr>
                <w:b/>
                <w:i/>
              </w:rPr>
              <w:t>und Chancen im Zusammenhang mit</w:t>
            </w:r>
            <w:r>
              <w:t xml:space="preserve"> Kryptowerten </w:t>
            </w:r>
            <w:r>
              <w:rPr>
                <w:b/>
                <w:i/>
              </w:rPr>
              <w:t>bewusst</w:t>
            </w:r>
            <w:r>
              <w:t>; fordert eine konsequente Aufsicht, um sicherzustellen, dass Innovationen einem öffentlichen Interesse dienen; fordert die Stellen der EU und der Mitgliedstaaten auf, entsprechende Risikopositionen zu überwachen, gegen Spekulationsrisiken vorzugehen, Finanzkriminalität zu bekämpfen und die Verbraucher zu schützen;</w:t>
            </w:r>
          </w:p>
        </w:tc>
        <w:tc>
          <w:tcPr>
            <w:tcW w:w="4876" w:type="dxa"/>
            <w:tcBorders>
              <w:top w:val="nil"/>
              <w:left w:val="nil"/>
              <w:bottom w:val="nil"/>
              <w:right w:val="nil"/>
            </w:tcBorders>
          </w:tcPr>
          <w:p>
            <w:pPr>
              <w:pStyle w:val="Normal6a"/>
            </w:pPr>
            <w:r>
              <w:t>14.</w:t>
            </w:r>
            <w:r>
              <w:tab/>
            </w:r>
            <w:r>
              <w:rPr>
                <w:b/>
                <w:i/>
              </w:rPr>
              <w:t>hebt die besonderen</w:t>
            </w:r>
            <w:r>
              <w:t xml:space="preserve"> Risiken </w:t>
            </w:r>
            <w:r>
              <w:rPr>
                <w:b/>
                <w:i/>
              </w:rPr>
              <w:t>hervor, die von</w:t>
            </w:r>
            <w:r>
              <w:t xml:space="preserve"> Kryptowerten </w:t>
            </w:r>
            <w:r>
              <w:rPr>
                <w:b/>
                <w:i/>
              </w:rPr>
              <w:t>ausgehen;</w:t>
            </w:r>
            <w:r>
              <w:t xml:space="preserve"> </w:t>
            </w:r>
            <w:r>
              <w:rPr>
                <w:b/>
                <w:i/>
              </w:rPr>
              <w:t>weist darauf hin, dass Kryptowerte äußerst volatil und unproduktiv sind und hauptsächlich zu spekulativen Zwecken genutzt werden</w:t>
            </w:r>
            <w:r>
              <w:t>; fordert eine konsequente Aufsicht, um sicherzustellen, dass Innovationen einem öffentlichen Interesse dienen; fordert die Stellen der EU und der Mitgliedstaaten auf, entsprechende Risikopositionen zu überwachen, gegen Spekulationsrisiken vorzugehen, Finanzkriminalität zu bekämpfen und die Verbraucher zu schützen;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ist sich der Risiken und Chancen im Zusammenhang mit Kryptowerten bewusst; fordert eine konsequente Aufsicht</w:t>
            </w:r>
            <w:r>
              <w:rPr>
                <w:b/>
                <w:i/>
              </w:rPr>
              <w:t>, um sicherzustellen, dass Innovationen einem öffentlichen Interesse dienen</w:t>
            </w:r>
            <w:r>
              <w:t>; fordert die Stellen der EU und der Mitgliedstaaten auf, entsprechende Risikopositionen zu überwachen, gegen Spekulationsrisiken vorzugehen, Finanzkriminalität zu bekämpfen und die Verbraucher zu schützen;</w:t>
            </w:r>
          </w:p>
        </w:tc>
        <w:tc>
          <w:tcPr>
            <w:tcW w:w="4876" w:type="dxa"/>
            <w:tcBorders>
              <w:top w:val="nil"/>
              <w:left w:val="nil"/>
              <w:bottom w:val="nil"/>
              <w:right w:val="nil"/>
            </w:tcBorders>
          </w:tcPr>
          <w:p>
            <w:pPr>
              <w:pStyle w:val="Normal6a"/>
            </w:pPr>
            <w:r>
              <w:t>14.</w:t>
            </w:r>
            <w:r>
              <w:tab/>
            </w:r>
            <w:r>
              <w:t xml:space="preserve">ist sich der Risiken und Chancen im Zusammenhang mit Kryptowerten bewusst; fordert eine konsequente </w:t>
            </w:r>
            <w:r>
              <w:rPr>
                <w:b/>
                <w:i/>
              </w:rPr>
              <w:t>und innovationsfreundliche</w:t>
            </w:r>
            <w:r>
              <w:t xml:space="preserve"> Aufsicht; fordert die Stellen der EU und der Mitgliedstaaten auf, entsprechende Risikopositionen zu überwachen, gegen Spekulationsrisiken vorzugehen, Finanzkriminalität zu bekämpfen und die Verbraucher zu schützen;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ist sich der Risiken und Chancen im Zusammenhang mit Kryptowerten bewusst; fordert eine </w:t>
            </w:r>
            <w:r>
              <w:rPr>
                <w:b/>
                <w:i/>
              </w:rPr>
              <w:t>konsequente</w:t>
            </w:r>
            <w:r>
              <w:t xml:space="preserve"> Aufsicht, um sicherzustellen, dass Innovationen </w:t>
            </w:r>
            <w:r>
              <w:rPr>
                <w:b/>
                <w:i/>
              </w:rPr>
              <w:t>einem</w:t>
            </w:r>
            <w:r>
              <w:t xml:space="preserve"> öffentlichen Interesse dienen; fordert die Stellen der EU und der Mitgliedstaaten auf, entsprechende Risikopositionen zu überwachen, gegen Spekulationsrisiken vorzugehen, Finanzkriminalität zu bekämpfen und die Verbraucher zu schützen;</w:t>
            </w:r>
          </w:p>
        </w:tc>
        <w:tc>
          <w:tcPr>
            <w:tcW w:w="4876" w:type="dxa"/>
            <w:tcBorders>
              <w:top w:val="nil"/>
              <w:left w:val="nil"/>
              <w:bottom w:val="nil"/>
              <w:right w:val="nil"/>
            </w:tcBorders>
          </w:tcPr>
          <w:p>
            <w:pPr>
              <w:pStyle w:val="Normal6a"/>
            </w:pPr>
            <w:r>
              <w:t>14.</w:t>
            </w:r>
            <w:r>
              <w:tab/>
            </w:r>
            <w:r>
              <w:t xml:space="preserve">ist sich der Risiken und Chancen im Zusammenhang mit Kryptowerten bewusst; fordert eine </w:t>
            </w:r>
            <w:r>
              <w:rPr>
                <w:b/>
                <w:i/>
              </w:rPr>
              <w:t>solide</w:t>
            </w:r>
            <w:r>
              <w:t xml:space="preserve"> Aufsicht, um sicherzustellen, dass Innovationen </w:t>
            </w:r>
            <w:r>
              <w:rPr>
                <w:b/>
                <w:i/>
              </w:rPr>
              <w:t>dem</w:t>
            </w:r>
            <w:r>
              <w:t xml:space="preserve"> öffentlichen Interesse dienen; fordert die Stellen der EU und der Mitgliedstaaten auf, entsprechende Risikopositionen zu überwachen, gegen Spekulationsrisiken vorzugehen, Finanzkriminalität zu bekämpfen und die Verbraucher zu schützen;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ist sich der Risiken und Chancen im Zusammenhang mit Kryptowerten bewusst; fordert eine konsequente Aufsicht, um sicherzustellen, dass Innovationen </w:t>
            </w:r>
            <w:r>
              <w:rPr>
                <w:b/>
                <w:i/>
              </w:rPr>
              <w:t>einem</w:t>
            </w:r>
            <w:r>
              <w:t xml:space="preserve"> öffentlichen Interesse dienen; fordert die Stellen der EU und der Mitgliedstaaten auf, entsprechende Risikopositionen zu überwachen, gegen Spekulationsrisiken vorzugehen, Finanzkriminalität zu bekämpfen und die Verbraucher zu schützen;</w:t>
            </w:r>
          </w:p>
        </w:tc>
        <w:tc>
          <w:tcPr>
            <w:tcW w:w="4876" w:type="dxa"/>
            <w:tcBorders>
              <w:top w:val="nil"/>
              <w:left w:val="nil"/>
              <w:bottom w:val="nil"/>
              <w:right w:val="nil"/>
            </w:tcBorders>
          </w:tcPr>
          <w:p>
            <w:pPr>
              <w:pStyle w:val="Normal6a"/>
            </w:pPr>
            <w:r>
              <w:t>14.</w:t>
            </w:r>
            <w:r>
              <w:tab/>
            </w:r>
            <w:r>
              <w:t xml:space="preserve">ist sich der Risiken und Chancen im Zusammenhang mit Kryptowerten bewusst; fordert eine konsequente Aufsicht, um sicherzustellen, dass Innovationen </w:t>
            </w:r>
            <w:r>
              <w:rPr>
                <w:b/>
                <w:i/>
              </w:rPr>
              <w:t>dem</w:t>
            </w:r>
            <w:r>
              <w:t xml:space="preserve"> öffentlichen Interesse dienen; fordert die Stellen der EU und der Mitgliedstaaten auf, entsprechende Risikopositionen zu überwachen, gegen Spekulationsrisiken vorzugehen, Finanzkriminalität zu bekämpfen und die Verbraucher zu schützen; </w:t>
            </w:r>
            <w:r>
              <w:rPr>
                <w:b/>
                <w:i/>
              </w:rPr>
              <w:t>betont, wie wichtig globale Standards in diesem Bereich sind und dass nach Möglichkeiten gesucht werden muss, die Entwicklung von auf Euro lautenden Stablecoins zu fördern, um die geldpolitische Hoheit der EU zu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fordert die Kommission, die EBA und die zuständigen nationalen Behörden in der Bankenunion auf, als notwendige Ergänzung zum bankbasierten Finanzstabilitätsrahmen der Union für eine strikte, kohärente und getreue Anwendung und Durchsetzung der Verordnung (EU) 2023/1114 (Kryptowerte-Verordnung, MiCAR)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ist sich der Risiken bewusst, die von Stablecoins aus Drittländern für Banken in der EU ausgehen, und weist darauf hin, dass Aufsichtsarbitrage zwischen verschiedenen Jurisdiktionen zu einem Ansturm auf Banken in der EU führen und Spillover-Effekte haben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fordert die Kommission, die EBA und die zuständigen nationalen Behörden auf, die Stellungnahmen, Ratschläge und Empfehlungen der EZB und des ESRB gebührend zu berücksichtigen;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betont, dass sich durch eine von Nachsicht, Fragmentierung und Ausnahmen geprägte Aufsichtspraxis im Zusammenhang mit der Anwendung der Kryptowerte-Verordnung das Risiko erhöhen würde, dass es zu einem Run auf Stablecoins kommt und dieser auf Banken, Staatsanleihenmärkte und Zahlungssysteme innerhalb der Bankenunion übergreift;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begrüßt die</w:t>
            </w:r>
            <w:r>
              <w:t xml:space="preserve"> Reform des Krisenmanagements im Bankensektor und der Einlagensicherung (CMDI), </w:t>
            </w:r>
            <w:r>
              <w:rPr>
                <w:b/>
                <w:i/>
              </w:rPr>
              <w:t>im Zuge derer für Kohärenz beim</w:t>
            </w:r>
            <w:r>
              <w:t xml:space="preserve"> Krisenmanagement </w:t>
            </w:r>
            <w:r>
              <w:rPr>
                <w:b/>
                <w:i/>
              </w:rPr>
              <w:t>und bei der</w:t>
            </w:r>
            <w:r>
              <w:t xml:space="preserve"> Einlagensicherung </w:t>
            </w:r>
            <w:r>
              <w:rPr>
                <w:b/>
                <w:i/>
              </w:rPr>
              <w:t>gesorgt und die Stabilität gestärkt werden soll sowie Ersparnisse und Steuerzahler geschützt werden sollen;</w:t>
            </w:r>
            <w:r>
              <w:t xml:space="preserve"> </w:t>
            </w:r>
            <w:r>
              <w:rPr>
                <w:b/>
                <w:i/>
              </w:rPr>
              <w:t>betont, dass kleinere Banken Flexibilität benötigen und die Behörden über wirksame Instrumente verfügen müssen, damit eine widerstandsfähige und sozial verantwortliche Bankenunion gewährleistet werden kann</w:t>
            </w:r>
            <w:r>
              <w:t>;</w:t>
            </w:r>
          </w:p>
        </w:tc>
        <w:tc>
          <w:tcPr>
            <w:tcW w:w="4876" w:type="dxa"/>
            <w:tcBorders>
              <w:top w:val="nil"/>
              <w:left w:val="nil"/>
              <w:bottom w:val="nil"/>
              <w:right w:val="nil"/>
            </w:tcBorders>
          </w:tcPr>
          <w:p>
            <w:pPr>
              <w:pStyle w:val="Normal6a"/>
            </w:pPr>
            <w:r>
              <w:t>15.</w:t>
            </w:r>
            <w:r>
              <w:tab/>
            </w:r>
            <w:r>
              <w:rPr>
                <w:b/>
                <w:i/>
              </w:rPr>
              <w:t>ist besorgt über den derzeitigen Stand der</w:t>
            </w:r>
            <w:r>
              <w:t xml:space="preserve"> Reform des Krisenmanagements im Bankensektor und der Einlagensicherung (CMDI)</w:t>
            </w:r>
            <w:r>
              <w:rPr>
                <w:b/>
                <w:i/>
              </w:rPr>
              <w:t>;</w:t>
            </w:r>
            <w:r>
              <w:t xml:space="preserve"> </w:t>
            </w:r>
            <w:r>
              <w:rPr>
                <w:b/>
                <w:i/>
              </w:rPr>
              <w:t>spricht sich gegen jede Lösung aus</w:t>
            </w:r>
            <w:r>
              <w:t xml:space="preserve">, </w:t>
            </w:r>
            <w:r>
              <w:rPr>
                <w:b/>
                <w:i/>
              </w:rPr>
              <w:t>bei der zugrunde liegende Insolvenzrisiken durch komplexe Letztsicherungen und Risikoteilung verschleiert werden, und kritisiert das Konzept der Vergemeinschaftung von Verlusten unter den Mitgliedstaaten, das im Wesentlichen zu einer Vergesellschaftung von Bankrisiken und einer geringeren Marktdisziplin führen würde;</w:t>
            </w:r>
            <w:r>
              <w:t xml:space="preserve"> </w:t>
            </w:r>
            <w:r>
              <w:rPr>
                <w:b/>
                <w:i/>
              </w:rPr>
              <w:t>ist der Auffassung, dass der derzeitige Rahmen für das</w:t>
            </w:r>
            <w:r>
              <w:t xml:space="preserve"> Krisenmanagement </w:t>
            </w:r>
            <w:r>
              <w:rPr>
                <w:b/>
                <w:i/>
              </w:rPr>
              <w:t>im Bankensektor und für die</w:t>
            </w:r>
            <w:r>
              <w:t xml:space="preserve"> Einlagensicherung </w:t>
            </w:r>
            <w:r>
              <w:rPr>
                <w:b/>
                <w:i/>
              </w:rPr>
              <w:t>nicht als Rechtfertigung für eine verfrühte Ausweitung der grenzüberschreitenden Risikoteilung dienen sollte, solange es keine klaren Ausstiegs- und Rechenschaftsmechanismen gibt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begrüßt</w:t>
            </w:r>
            <w:r>
              <w:t xml:space="preserve"> die Reform des </w:t>
            </w:r>
            <w:r>
              <w:rPr>
                <w:b/>
                <w:i/>
              </w:rPr>
              <w:t>Krisenmanagements</w:t>
            </w:r>
            <w:r>
              <w:t xml:space="preserve"> im Bankensektor und </w:t>
            </w:r>
            <w:r>
              <w:rPr>
                <w:b/>
                <w:i/>
              </w:rPr>
              <w:t>der</w:t>
            </w:r>
            <w:r>
              <w:t xml:space="preserve"> Einlagensicherung (CMDI), im Zuge derer </w:t>
            </w:r>
            <w:r>
              <w:rPr>
                <w:b/>
                <w:i/>
              </w:rPr>
              <w:t>für Kohärenz beim</w:t>
            </w:r>
            <w:r>
              <w:t xml:space="preserve"> Krisenmanagement und </w:t>
            </w:r>
            <w:r>
              <w:rPr>
                <w:b/>
                <w:i/>
              </w:rPr>
              <w:t>bei der</w:t>
            </w:r>
            <w:r>
              <w:t xml:space="preserve"> Einlagensicherung </w:t>
            </w:r>
            <w:r>
              <w:rPr>
                <w:b/>
                <w:i/>
              </w:rPr>
              <w:t>gesorgt</w:t>
            </w:r>
            <w:r>
              <w:t xml:space="preserve"> und die Stabilität gestärkt werden soll sowie Ersparnisse und Steuerzahler geschützt werden sollen; betont, dass </w:t>
            </w:r>
            <w:r>
              <w:rPr>
                <w:b/>
                <w:i/>
              </w:rPr>
              <w:t>kleinere</w:t>
            </w:r>
            <w:r>
              <w:t xml:space="preserve"> Banken Flexibilität benötigen und die Behörden über wirksame Instrumente verfügen müssen, damit eine widerstandsfähige </w:t>
            </w:r>
            <w:r>
              <w:rPr>
                <w:b/>
                <w:i/>
              </w:rPr>
              <w:t>und sozial verantwortliche</w:t>
            </w:r>
            <w:r>
              <w:t xml:space="preserve"> Bankenunion gewährleistet werden kann;</w:t>
            </w:r>
          </w:p>
        </w:tc>
        <w:tc>
          <w:tcPr>
            <w:tcW w:w="4876" w:type="dxa"/>
            <w:tcBorders>
              <w:top w:val="nil"/>
              <w:left w:val="nil"/>
              <w:bottom w:val="nil"/>
              <w:right w:val="nil"/>
            </w:tcBorders>
          </w:tcPr>
          <w:p>
            <w:pPr>
              <w:pStyle w:val="Normal6a"/>
            </w:pPr>
            <w:r>
              <w:t>15.</w:t>
            </w:r>
            <w:r>
              <w:tab/>
            </w:r>
            <w:r>
              <w:rPr>
                <w:b/>
                <w:i/>
              </w:rPr>
              <w:t>nimmt</w:t>
            </w:r>
            <w:r>
              <w:t xml:space="preserve"> die Reform des </w:t>
            </w:r>
            <w:r>
              <w:rPr>
                <w:b/>
                <w:i/>
              </w:rPr>
              <w:t>Rahmens für das Krisenmanagement</w:t>
            </w:r>
            <w:r>
              <w:t xml:space="preserve"> im Bankensektor und </w:t>
            </w:r>
            <w:r>
              <w:rPr>
                <w:b/>
                <w:i/>
              </w:rPr>
              <w:t>für die</w:t>
            </w:r>
            <w:r>
              <w:t xml:space="preserve"> Einlagensicherung (CMDI) </w:t>
            </w:r>
            <w:r>
              <w:rPr>
                <w:b/>
                <w:i/>
              </w:rPr>
              <w:t>zur Kenntnis</w:t>
            </w:r>
            <w:r>
              <w:t xml:space="preserve">, im Zuge derer </w:t>
            </w:r>
            <w:r>
              <w:rPr>
                <w:b/>
                <w:i/>
              </w:rPr>
              <w:t>das</w:t>
            </w:r>
            <w:r>
              <w:t xml:space="preserve"> Krisenmanagement und </w:t>
            </w:r>
            <w:r>
              <w:rPr>
                <w:b/>
                <w:i/>
              </w:rPr>
              <w:t>die</w:t>
            </w:r>
            <w:r>
              <w:t xml:space="preserve"> Einlagensicherung </w:t>
            </w:r>
            <w:r>
              <w:rPr>
                <w:b/>
                <w:i/>
              </w:rPr>
              <w:t>verbessert</w:t>
            </w:r>
            <w:r>
              <w:t xml:space="preserve"> und die Stabilität gestärkt werden soll sowie Ersparnisse und Steuerzahler geschützt werden sollen; betont, dass </w:t>
            </w:r>
            <w:r>
              <w:rPr>
                <w:b/>
                <w:i/>
              </w:rPr>
              <w:t>kleine und mittelgroße</w:t>
            </w:r>
            <w:r>
              <w:t xml:space="preserve"> Banken Flexibilität benötigen und die Behörden über wirksame Instrumente verfügen müssen, damit eine widerstandsfähige Bankenunion gewährleistet werden kann; </w:t>
            </w:r>
            <w:r>
              <w:rPr>
                <w:b/>
                <w:i/>
              </w:rPr>
              <w:t>betont, dass die Abwicklung nur für diejenigen Banken die Standardoption sein sollte, deren Ausfall Auswirkungen auf die Finanzstabilität hätte, und dass die Insolvenz daher für kleine und mittelgroße Banken nach wie vor die Standardoption darstellt;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begrüßt die Reform des Krisenmanagements im Bankensektor und der Einlagensicherung (CMDI), im Zuge derer für Kohärenz beim Krisenmanagement und bei der Einlagensicherung gesorgt und die Stabilität gestärkt werden soll sowie Ersparnisse und Steuerzahler geschützt werden sollen; betont, dass kleinere Banken Flexibilität benötigen und die Behörden über wirksame Instrumente verfügen müssen, </w:t>
            </w:r>
            <w:r>
              <w:rPr>
                <w:b/>
                <w:i/>
              </w:rPr>
              <w:t>damit eine widerstandsfähige und sozial verantwortliche Bankenunion gewährleistet</w:t>
            </w:r>
            <w:r>
              <w:t xml:space="preserve"> werden </w:t>
            </w:r>
            <w:r>
              <w:rPr>
                <w:b/>
                <w:i/>
              </w:rPr>
              <w:t>kann</w:t>
            </w:r>
            <w:r>
              <w:t>;</w:t>
            </w:r>
          </w:p>
        </w:tc>
        <w:tc>
          <w:tcPr>
            <w:tcW w:w="4876" w:type="dxa"/>
            <w:tcBorders>
              <w:top w:val="nil"/>
              <w:left w:val="nil"/>
              <w:bottom w:val="nil"/>
              <w:right w:val="nil"/>
            </w:tcBorders>
          </w:tcPr>
          <w:p>
            <w:pPr>
              <w:pStyle w:val="Normal6a"/>
            </w:pPr>
            <w:r>
              <w:t>15.</w:t>
            </w:r>
            <w:r>
              <w:tab/>
            </w:r>
            <w:r>
              <w:t xml:space="preserve">begrüßt die Reform des Krisenmanagements im Bankensektor und der Einlagensicherung (CMDI), im Zuge derer für Kohärenz beim Krisenmanagement und bei der Einlagensicherung gesorgt und die Stabilität gestärkt werden soll sowie Ersparnisse und Steuerzahler geschützt werden sollen; betont, dass kleinere Banken Flexibilität benötigen und die Behörden über wirksame Instrumente verfügen müssen, </w:t>
            </w:r>
            <w:r>
              <w:rPr>
                <w:b/>
                <w:i/>
              </w:rPr>
              <w:t>um auf Bankenausfälle zu reagieren und die Finanzstabilität zu wahren, auch in einem systemischen Szenario;</w:t>
            </w:r>
            <w:r>
              <w:t xml:space="preserve"> </w:t>
            </w:r>
            <w:r>
              <w:rPr>
                <w:b/>
                <w:i/>
              </w:rPr>
              <w:t>bekräftigt, dass das Ziel einer Bankenabwicklung darin besteht, die Finanzstabilität zu wahren und kritische Funktionen von Banken sicherzustellen, und nicht darin, Gläubiger oder Anteilseigner zu retten;</w:t>
            </w:r>
            <w:r>
              <w:t xml:space="preserve"> </w:t>
            </w:r>
            <w:r>
              <w:rPr>
                <w:b/>
                <w:i/>
              </w:rPr>
              <w:t>betont, dass in Bezug auf nicht systemrelevante Banken die Abwicklung einer ausfallenden Bank im Wege eines regulären Insolvenzverfahrens die Standardvorgehensweise bleiben sollte, wenn dadurch die kritischen Funktionen einer Bank am effektivsten gewahrt</w:t>
            </w:r>
            <w:r>
              <w:t xml:space="preserve">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begrüßt die Reform des Krisenmanagements im Bankensektor und der Einlagensicherung (CMDI), im Zuge derer für Kohärenz beim Krisenmanagement und bei der Einlagensicherung gesorgt und die Stabilität gestärkt werden soll sowie Ersparnisse und Steuerzahler geschützt werden sollen; betont, dass </w:t>
            </w:r>
            <w:r>
              <w:rPr>
                <w:b/>
                <w:i/>
              </w:rPr>
              <w:t>kleinere Banken Flexibilität benötigen und</w:t>
            </w:r>
            <w:r>
              <w:t xml:space="preserve"> die Behörden über wirksame Instrumente verfügen müssen, damit eine widerstandsfähige und sozial verantwortliche Bankenunion gewährleistet werden kann;</w:t>
            </w:r>
          </w:p>
        </w:tc>
        <w:tc>
          <w:tcPr>
            <w:tcW w:w="4876" w:type="dxa"/>
            <w:tcBorders>
              <w:top w:val="nil"/>
              <w:left w:val="nil"/>
              <w:bottom w:val="nil"/>
              <w:right w:val="nil"/>
            </w:tcBorders>
          </w:tcPr>
          <w:p>
            <w:pPr>
              <w:pStyle w:val="Normal6a"/>
            </w:pPr>
            <w:r>
              <w:t>15.</w:t>
            </w:r>
            <w:r>
              <w:tab/>
            </w:r>
            <w:r>
              <w:t xml:space="preserve">begrüßt die Reform des Krisenmanagements im Bankensektor und der Einlagensicherung (CMDI), im Zuge derer für Kohärenz beim Krisenmanagement und bei der Einlagensicherung gesorgt und die Stabilität gestärkt werden soll sowie Ersparnisse und Steuerzahler geschützt werden sollen; betont, dass die Behörden über wirksame </w:t>
            </w:r>
            <w:r>
              <w:rPr>
                <w:b/>
                <w:i/>
              </w:rPr>
              <w:t>und verhältnismäßige</w:t>
            </w:r>
            <w:r>
              <w:t xml:space="preserve"> Instrumente verfügen müssen, damit eine widerstandsfähige und sozial verantwortliche Bankenunion gewährleistet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begrüßt die Reform des Krisenmanagements im Bankensektor und der Einlagensicherung (CMDI), im Zuge derer für Kohärenz beim Krisenmanagement und bei der Einlagensicherung gesorgt und die Stabilität gestärkt werden soll sowie Ersparnisse und Steuerzahler geschützt werden sollen; betont, dass kleinere Banken Flexibilität benötigen und die Behörden über wirksame Instrumente verfügen müssen, </w:t>
            </w:r>
            <w:r>
              <w:rPr>
                <w:b/>
                <w:i/>
              </w:rPr>
              <w:t>damit eine widerstandsfähige und sozial verantwortliche</w:t>
            </w:r>
            <w:r>
              <w:t xml:space="preserve"> Bankenunion </w:t>
            </w:r>
            <w:r>
              <w:rPr>
                <w:b/>
                <w:i/>
              </w:rPr>
              <w:t>gewährleistet werden kann</w:t>
            </w:r>
            <w:r>
              <w:t>;</w:t>
            </w:r>
          </w:p>
        </w:tc>
        <w:tc>
          <w:tcPr>
            <w:tcW w:w="4876" w:type="dxa"/>
            <w:tcBorders>
              <w:top w:val="nil"/>
              <w:left w:val="nil"/>
              <w:bottom w:val="nil"/>
              <w:right w:val="nil"/>
            </w:tcBorders>
          </w:tcPr>
          <w:p>
            <w:pPr>
              <w:pStyle w:val="Normal6a"/>
            </w:pPr>
            <w:r>
              <w:t>15.</w:t>
            </w:r>
            <w:r>
              <w:tab/>
            </w:r>
            <w:r>
              <w:t xml:space="preserve">begrüßt die Reform des Krisenmanagements im Bankensektor und der Einlagensicherung (CMDI), im Zuge derer für Kohärenz beim Krisenmanagement und bei der Einlagensicherung gesorgt und die Stabilität gestärkt werden soll sowie Ersparnisse und Steuerzahler geschützt werden sollen; betont, dass kleinere Banken Flexibilität benötigen und die Behörden über wirksame Instrumente verfügen müssen, </w:t>
            </w:r>
            <w:r>
              <w:rPr>
                <w:b/>
                <w:i/>
              </w:rPr>
              <w:t>die durch einen Regelungsrahmen unterstützt werden, der die Entwicklung der Banken fördert und zu einer widerstandsfähigen und finanziell stabilen</w:t>
            </w:r>
            <w:r>
              <w:t xml:space="preserve"> Bankenunion </w:t>
            </w:r>
            <w:r>
              <w:rPr>
                <w:b/>
                <w:i/>
              </w:rPr>
              <w:t>beiträgt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begrüßt die Reform des Krisenmanagements im Bankensektor und der Einlagensicherung (CMDI), im Zuge derer für Kohärenz beim Krisenmanagement und bei der Einlagensicherung gesorgt und die Stabilität gestärkt werden soll sowie Ersparnisse und Steuerzahler geschützt werden sollen; betont, dass kleinere Banken Flexibilität benötigen und die Behörden über wirksame Instrumente verfügen müssen, damit eine widerstandsfähige </w:t>
            </w:r>
            <w:r>
              <w:rPr>
                <w:b/>
                <w:i/>
              </w:rPr>
              <w:t>und sozial verantwortliche</w:t>
            </w:r>
            <w:r>
              <w:t xml:space="preserve"> Bankenunion gewährleistet werden kann;</w:t>
            </w:r>
          </w:p>
        </w:tc>
        <w:tc>
          <w:tcPr>
            <w:tcW w:w="4876" w:type="dxa"/>
            <w:tcBorders>
              <w:top w:val="nil"/>
              <w:left w:val="nil"/>
              <w:bottom w:val="nil"/>
              <w:right w:val="nil"/>
            </w:tcBorders>
          </w:tcPr>
          <w:p>
            <w:pPr>
              <w:pStyle w:val="Normal6a"/>
            </w:pPr>
            <w:r>
              <w:t>15.</w:t>
            </w:r>
            <w:r>
              <w:tab/>
            </w:r>
            <w:r>
              <w:t>begrüßt die Reform des Krisenmanagements im Bankensektor und der Einlagensicherung (CMDI), im Zuge derer für Kohärenz beim Krisenmanagement und bei der Einlagensicherung gesorgt und die Stabilität gestärkt werden soll sowie Ersparnisse und Steuerzahler geschützt werden sollen; betont, dass kleinere Banken Flexibilität benötigen und die Behörden über wirksame Instrumente verfügen müssen, damit eine widerstandsfähige Bankenunion gewährleistet werden kann;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begrüßt die Reform des Krisenmanagements im Bankensektor und der Einlagensicherung (CMDI), im Zuge derer für Kohärenz beim Krisenmanagement und bei der Einlagensicherung gesorgt und die Stabilität gestärkt werden soll sowie Ersparnisse und Steuerzahler geschützt werden sollen; betont, </w:t>
            </w:r>
            <w:r>
              <w:rPr>
                <w:b/>
                <w:i/>
              </w:rPr>
              <w:t>dass kleinere Banken Flexibilität benötigen und</w:t>
            </w:r>
            <w:r>
              <w:t xml:space="preserve"> die Behörden über wirksame Instrumente verfügen müssen, damit eine widerstandsfähige und sozial verantwortliche Bankenunion gewährleistet werden kann;</w:t>
            </w:r>
          </w:p>
        </w:tc>
        <w:tc>
          <w:tcPr>
            <w:tcW w:w="4876" w:type="dxa"/>
            <w:tcBorders>
              <w:top w:val="nil"/>
              <w:left w:val="nil"/>
              <w:bottom w:val="nil"/>
              <w:right w:val="nil"/>
            </w:tcBorders>
          </w:tcPr>
          <w:p>
            <w:pPr>
              <w:pStyle w:val="Normal6a"/>
            </w:pPr>
            <w:r>
              <w:t>15.</w:t>
            </w:r>
            <w:r>
              <w:tab/>
            </w:r>
            <w:r>
              <w:t xml:space="preserve">begrüßt die Reform des Krisenmanagements im Bankensektor und der Einlagensicherung (CMDI), im Zuge derer für Kohärenz beim Krisenmanagement und bei der Einlagensicherung gesorgt und die Stabilität gestärkt werden soll sowie Ersparnisse und Steuerzahler geschützt </w:t>
            </w:r>
            <w:r>
              <w:rPr>
                <w:b/>
                <w:i/>
              </w:rPr>
              <w:t>und eine bessere Verwendung öffentlicher Gelder im Falle einer Abwicklung sichergestellt</w:t>
            </w:r>
            <w:r>
              <w:t xml:space="preserve"> werden sollen</w:t>
            </w:r>
            <w:r>
              <w:rPr>
                <w:b/>
                <w:i/>
              </w:rPr>
              <w:t>, sofern dies im öffentlichen Interesse liegt</w:t>
            </w:r>
            <w:r>
              <w:t xml:space="preserve">; betont, </w:t>
            </w:r>
            <w:r>
              <w:rPr>
                <w:b/>
                <w:i/>
              </w:rPr>
              <w:t>wie wichtig ein eindeutiger Rechtsrahmen ist und dass</w:t>
            </w:r>
            <w:r>
              <w:t xml:space="preserve"> die Behörden über wirksame Instrumente</w:t>
            </w:r>
            <w:r>
              <w:rPr>
                <w:b/>
                <w:i/>
              </w:rPr>
              <w:t>, einschlägige Daten und Entscheidungsmechanismen</w:t>
            </w:r>
            <w:r>
              <w:t xml:space="preserve"> verfügen müssen, damit eine widerstandsfähige und sozial verantwortliche Bankenunion gewährleistet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begrüßt die Reform des Krisenmanagements im Bankensektor und der Einlagensicherung (CMDI), im Zuge derer für Kohärenz beim Krisenmanagement und bei der Einlagensicherung gesorgt und die Stabilität gestärkt werden soll sowie Ersparnisse und Steuerzahler geschützt werden sollen; betont, dass kleinere Banken Flexibilität benötigen und die Behörden über wirksame Instrumente verfügen müssen, damit eine widerstandsfähige und sozial verantwortliche Bankenunion gewährleistet werden kann;</w:t>
            </w:r>
          </w:p>
        </w:tc>
        <w:tc>
          <w:tcPr>
            <w:tcW w:w="4876" w:type="dxa"/>
            <w:tcBorders>
              <w:top w:val="nil"/>
              <w:left w:val="nil"/>
              <w:bottom w:val="nil"/>
              <w:right w:val="nil"/>
            </w:tcBorders>
          </w:tcPr>
          <w:p>
            <w:pPr>
              <w:pStyle w:val="Normal6a"/>
            </w:pPr>
            <w:r>
              <w:t>15.</w:t>
            </w:r>
            <w:r>
              <w:tab/>
            </w:r>
            <w:r>
              <w:t xml:space="preserve">begrüßt die Reform des Krisenmanagements im Bankensektor und der Einlagensicherung (CMDI), im Zuge derer für Kohärenz beim Krisenmanagement und bei der Einlagensicherung gesorgt und die Stabilität gestärkt werden soll sowie Ersparnisse und Steuerzahler geschützt werden sollen; betont, dass kleinere </w:t>
            </w:r>
            <w:r>
              <w:rPr>
                <w:b/>
                <w:i/>
              </w:rPr>
              <w:t>und mittelgroße</w:t>
            </w:r>
            <w:r>
              <w:t xml:space="preserve"> Banken</w:t>
            </w:r>
            <w:r>
              <w:rPr>
                <w:b/>
                <w:i/>
              </w:rPr>
              <w:t>, für die der Abwicklungsrahmen häufig nicht das am besten geeignete Instrument ist und die Liquidation im Rahmen eines ordentlichen Insolvenzverfahrens nach wie vor die bevorzugte Option darstellt,</w:t>
            </w:r>
            <w:r>
              <w:t xml:space="preserve"> Flexibilität benötigen und die Behörden über wirksame Instrumente verfügen müssen, damit eine widerstandsfähige und sozial verantwortliche Bankenunion gewährleistet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begrüßt die Reform des Krisenmanagements im Bankensektor und der Einlagensicherung (CMDI), im Zuge derer für Kohärenz beim Krisenmanagement und bei der Einlagensicherung gesorgt und die Stabilität gestärkt werden soll sowie Ersparnisse und Steuerzahler geschützt werden sollen; betont, dass kleinere Banken Flexibilität benötigen und die Behörden über wirksame Instrumente verfügen müssen, damit eine widerstandsfähige und sozial verantwortliche Bankenunion gewährleistet werden kann;</w:t>
            </w:r>
          </w:p>
        </w:tc>
        <w:tc>
          <w:tcPr>
            <w:tcW w:w="4876" w:type="dxa"/>
            <w:tcBorders>
              <w:top w:val="nil"/>
              <w:left w:val="nil"/>
              <w:bottom w:val="nil"/>
              <w:right w:val="nil"/>
            </w:tcBorders>
          </w:tcPr>
          <w:p>
            <w:pPr>
              <w:pStyle w:val="Normal6a"/>
            </w:pPr>
            <w:r>
              <w:t>15.</w:t>
            </w:r>
            <w:r>
              <w:tab/>
            </w:r>
            <w:r>
              <w:t xml:space="preserve">begrüßt die Reform des Krisenmanagements im Bankensektor und der Einlagensicherung (CMDI), im Zuge derer für Kohärenz beim Krisenmanagement und bei der Einlagensicherung gesorgt und die Stabilität gestärkt werden soll sowie Ersparnisse und Steuerzahler geschützt werden sollen; betont, dass kleinere </w:t>
            </w:r>
            <w:r>
              <w:rPr>
                <w:b/>
                <w:i/>
              </w:rPr>
              <w:t>und mittelgroße</w:t>
            </w:r>
            <w:r>
              <w:t xml:space="preserve"> Banken</w:t>
            </w:r>
            <w:r>
              <w:rPr>
                <w:b/>
                <w:i/>
              </w:rPr>
              <w:t>, für die der Abwicklungsrahmen häufig nicht das am besten geeignete Instrument ist und die Liquidation im Rahmen eines ordentlichen Insolvenzverfahrens nach wie vor die bevorzugte Option darstellt,</w:t>
            </w:r>
            <w:r>
              <w:t xml:space="preserve"> Flexibilität benötigen und die Behörden über wirksame Instrumente verfügen müssen, damit eine widerstandsfähige und sozial verantwortliche Bankenunion gewährleistet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begrüßt die Reform des Krisenmanagements im Bankensektor und der Einlagensicherung (CMDI), im Zuge derer für Kohärenz beim Krisenmanagement und bei der Einlagensicherung gesorgt und die Stabilität gestärkt werden soll sowie Ersparnisse und Steuerzahler geschützt werden sollen; betont, dass kleinere Banken Flexibilität benötigen und die Behörden über wirksame Instrumente verfügen müssen, damit eine widerstandsfähige und sozial verantwortliche Bankenunion gewährleistet werden kann;</w:t>
            </w:r>
          </w:p>
        </w:tc>
        <w:tc>
          <w:tcPr>
            <w:tcW w:w="4876" w:type="dxa"/>
            <w:tcBorders>
              <w:top w:val="nil"/>
              <w:left w:val="nil"/>
              <w:bottom w:val="nil"/>
              <w:right w:val="nil"/>
            </w:tcBorders>
          </w:tcPr>
          <w:p>
            <w:pPr>
              <w:pStyle w:val="Normal6a"/>
            </w:pPr>
            <w:r>
              <w:t>15.</w:t>
            </w:r>
            <w:r>
              <w:tab/>
            </w:r>
            <w:r>
              <w:t xml:space="preserve">begrüßt die Reform des Krisenmanagements im Bankensektor und der Einlagensicherung (CMDI), im Zuge derer für Kohärenz beim Krisenmanagement und bei der Einlagensicherung gesorgt und die Stabilität gestärkt werden soll sowie Ersparnisse und Steuerzahler geschützt werden sollen; betont, dass kleinere Banken Flexibilität benötigen und die Behörden über wirksame Instrumente verfügen müssen, damit eine widerstandsfähige und sozial verantwortliche Bankenunion gewährleistet werden kann; </w:t>
            </w:r>
            <w:r>
              <w:rPr>
                <w:b/>
                <w:i/>
              </w:rPr>
              <w:t>betont, dass der Rückgriff auf Einlagensicherungsfonds bei Abwicklungen erleichtert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begrüßt den Vorschlag für eine Richtlinie des Europäischen Parlaments und des Rates zur Harmonisierung bestimmter Aspekte des Insolvenzrechts, da eine weitere Angleichung des Insolvenzrechts und der Restrukturierungsverfahren die Vollendung der Bankenunion fördern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betont, dass </w:t>
            </w:r>
            <w:r>
              <w:rPr>
                <w:b/>
                <w:i/>
              </w:rPr>
              <w:t>bei Bankenausfällen zunächst Anteilseigner, Gläubiger oder branchenfinanzierte Mechanismen haftbar gemacht werden sollten und dass öffentliche Mittel – im Einklang mit den Prinzipien der verantwortungsvollen Fiskalpolitik, der sozialen Gerechtigkeit und der Marktdisziplin – nur als</w:t>
            </w:r>
            <w:r>
              <w:t xml:space="preserve"> letztes Mittel </w:t>
            </w:r>
            <w:r>
              <w:rPr>
                <w:b/>
                <w:i/>
              </w:rPr>
              <w:t>eingesetzt werden sollten</w:t>
            </w:r>
            <w:r>
              <w:t>;</w:t>
            </w:r>
          </w:p>
        </w:tc>
        <w:tc>
          <w:tcPr>
            <w:tcW w:w="4876" w:type="dxa"/>
            <w:tcBorders>
              <w:top w:val="nil"/>
              <w:left w:val="nil"/>
              <w:bottom w:val="nil"/>
              <w:right w:val="nil"/>
            </w:tcBorders>
          </w:tcPr>
          <w:p>
            <w:pPr>
              <w:pStyle w:val="Normal6a"/>
            </w:pPr>
            <w:r>
              <w:t>16.</w:t>
            </w:r>
            <w:r>
              <w:tab/>
            </w:r>
            <w:r>
              <w:t xml:space="preserve">betont, dass </w:t>
            </w:r>
            <w:r>
              <w:rPr>
                <w:b/>
                <w:i/>
              </w:rPr>
              <w:t>eine kontinuierliche und wirksame Überwachung der Einhaltung der Aufsichts- und Abwicklungsvorschriften erforderlich ist, mit denen die Glaubwürdigkeit und wirksame Umsetzung der Bail-in-Instrumente im Falle eines Bankenausfalls sichergestellt wird;</w:t>
            </w:r>
            <w:r>
              <w:t xml:space="preserve"> </w:t>
            </w:r>
            <w:r>
              <w:rPr>
                <w:b/>
                <w:i/>
              </w:rPr>
              <w:t>betont, dass die Rettung von Finanzinstituten mit öffentlichen Mitteln unbedingt ein</w:t>
            </w:r>
            <w:r>
              <w:t xml:space="preserve"> letztes Mittel </w:t>
            </w:r>
            <w:r>
              <w:rPr>
                <w:b/>
                <w:i/>
              </w:rPr>
              <w:t>bleiben muss, um die haushaltspolitische Verantwortung zu wahren, die Steuerzahler zu schützen und die Marktdisziplin aufrechtzuerhalten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betont, dass bei Bankenausfällen zunächst Anteilseigner, Gläubiger </w:t>
            </w:r>
            <w:r>
              <w:rPr>
                <w:b/>
                <w:i/>
              </w:rPr>
              <w:t>oder branchenfinanzierte</w:t>
            </w:r>
            <w:r>
              <w:t xml:space="preserve"> Mechanismen </w:t>
            </w:r>
            <w:r>
              <w:rPr>
                <w:b/>
                <w:i/>
              </w:rPr>
              <w:t>haftbar gemacht werden</w:t>
            </w:r>
            <w:r>
              <w:t xml:space="preserve"> sollten </w:t>
            </w:r>
            <w:r>
              <w:rPr>
                <w:b/>
                <w:i/>
              </w:rPr>
              <w:t>und dass öffentliche</w:t>
            </w:r>
            <w:r>
              <w:t xml:space="preserve"> Mittel</w:t>
            </w:r>
            <w:r>
              <w:rPr>
                <w:b/>
                <w:i/>
              </w:rPr>
              <w:t> – im Einklang mit den Prinzipien der verantwortungsvollen Fiskalpolitik, der sozialen Gerechtigkeit und der Marktdisziplin –</w:t>
            </w:r>
            <w:r>
              <w:t xml:space="preserve"> nur als letztes Mittel </w:t>
            </w:r>
            <w:r>
              <w:rPr>
                <w:b/>
                <w:i/>
              </w:rPr>
              <w:t>eingesetzt</w:t>
            </w:r>
            <w:r>
              <w:t xml:space="preserve"> werden </w:t>
            </w:r>
            <w:r>
              <w:rPr>
                <w:b/>
                <w:i/>
              </w:rPr>
              <w:t>sollten</w:t>
            </w:r>
            <w:r>
              <w:t>;</w:t>
            </w:r>
          </w:p>
        </w:tc>
        <w:tc>
          <w:tcPr>
            <w:tcW w:w="4876" w:type="dxa"/>
            <w:tcBorders>
              <w:top w:val="nil"/>
              <w:left w:val="nil"/>
              <w:bottom w:val="nil"/>
              <w:right w:val="nil"/>
            </w:tcBorders>
          </w:tcPr>
          <w:p>
            <w:pPr>
              <w:pStyle w:val="Normal6a"/>
            </w:pPr>
            <w:r>
              <w:t>16.</w:t>
            </w:r>
            <w:r>
              <w:tab/>
            </w:r>
            <w:r>
              <w:t>betont, dass</w:t>
            </w:r>
            <w:r>
              <w:rPr>
                <w:b/>
                <w:i/>
              </w:rPr>
              <w:t> im Einklang mit dem Grundsatz der Verantwortung und der Marktdisziplin</w:t>
            </w:r>
            <w:r>
              <w:t xml:space="preserve"> bei Bankenausfällen zunächst </w:t>
            </w:r>
            <w:r>
              <w:rPr>
                <w:b/>
                <w:i/>
              </w:rPr>
              <w:t>einmal die</w:t>
            </w:r>
            <w:r>
              <w:t xml:space="preserve"> Anteilseigner, Gläubiger </w:t>
            </w:r>
            <w:r>
              <w:rPr>
                <w:b/>
                <w:i/>
              </w:rPr>
              <w:t>und branchenfinanzierten</w:t>
            </w:r>
            <w:r>
              <w:t xml:space="preserve"> Mechanismen </w:t>
            </w:r>
            <w:r>
              <w:rPr>
                <w:b/>
                <w:i/>
              </w:rPr>
              <w:t>die Verluste tragen</w:t>
            </w:r>
            <w:r>
              <w:t xml:space="preserve"> sollten</w:t>
            </w:r>
            <w:r>
              <w:rPr>
                <w:b/>
                <w:i/>
              </w:rPr>
              <w:t>;</w:t>
            </w:r>
            <w:r>
              <w:t xml:space="preserve"> </w:t>
            </w:r>
            <w:r>
              <w:rPr>
                <w:b/>
                <w:i/>
              </w:rPr>
              <w:t>betont, dass der Einsatz öffentlicher</w:t>
            </w:r>
            <w:r>
              <w:t xml:space="preserve"> Mittel nur als letztes Mittel </w:t>
            </w:r>
            <w:r>
              <w:rPr>
                <w:b/>
                <w:i/>
              </w:rPr>
              <w:t>und bei Vorliegen außergewöhnlicher Umstände in Betracht gezogen</w:t>
            </w:r>
            <w:r>
              <w:t xml:space="preserve"> werden </w:t>
            </w:r>
            <w:r>
              <w:rPr>
                <w:b/>
                <w:i/>
              </w:rPr>
              <w:t>sollte, damit die Steuerzahler geschont werden und die Finanzstabilität gewahrt bleibt</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betont, dass bei Bankenausfällen </w:t>
            </w:r>
            <w:r>
              <w:rPr>
                <w:b/>
                <w:i/>
              </w:rPr>
              <w:t>zunächst Anteilseigner, Gläubiger oder branchenfinanzierte</w:t>
            </w:r>
            <w:r>
              <w:t xml:space="preserve"> Mechanismen </w:t>
            </w:r>
            <w:r>
              <w:rPr>
                <w:b/>
                <w:i/>
              </w:rPr>
              <w:t>haftbar gemacht</w:t>
            </w:r>
            <w:r>
              <w:t xml:space="preserve"> werden </w:t>
            </w:r>
            <w:r>
              <w:rPr>
                <w:b/>
                <w:i/>
              </w:rPr>
              <w:t>sollten und dass</w:t>
            </w:r>
            <w:r>
              <w:t xml:space="preserve"> öffentliche Mittel </w:t>
            </w:r>
            <w:r>
              <w:rPr>
                <w:b/>
                <w:i/>
              </w:rPr>
              <w:t>–</w:t>
            </w:r>
            <w:r>
              <w:t xml:space="preserve"> im Einklang mit </w:t>
            </w:r>
            <w:r>
              <w:rPr>
                <w:b/>
                <w:i/>
              </w:rPr>
              <w:t>den Prinzipien der verantwortungsvollen Fiskalpolitik</w:t>
            </w:r>
            <w:r>
              <w:t>, der sozialen Gerechtigkeit und der Marktdisziplin </w:t>
            </w:r>
            <w:r>
              <w:rPr>
                <w:b/>
                <w:i/>
              </w:rPr>
              <w:t>–</w:t>
            </w:r>
            <w:r>
              <w:t xml:space="preserve"> nur als letztes Mittel eingesetzt werden sollten;</w:t>
            </w:r>
          </w:p>
        </w:tc>
        <w:tc>
          <w:tcPr>
            <w:tcW w:w="4876" w:type="dxa"/>
            <w:tcBorders>
              <w:top w:val="nil"/>
              <w:left w:val="nil"/>
              <w:bottom w:val="nil"/>
              <w:right w:val="nil"/>
            </w:tcBorders>
          </w:tcPr>
          <w:p>
            <w:pPr>
              <w:pStyle w:val="Normal6a"/>
            </w:pPr>
            <w:r>
              <w:t>16.</w:t>
            </w:r>
            <w:r>
              <w:tab/>
            </w:r>
            <w:r>
              <w:t xml:space="preserve">betont, dass bei Bankenausfällen </w:t>
            </w:r>
            <w:r>
              <w:rPr>
                <w:b/>
                <w:i/>
              </w:rPr>
              <w:t>das Bail-in von Anteilseignern und Gläubigern in erster Linie als Hauptquelle für die Abwicklungsfinanzierung zur Rechenschaft gezogen werden sollte, bevor von der Industrie finanzierte</w:t>
            </w:r>
            <w:r>
              <w:t xml:space="preserve"> Mechanismen </w:t>
            </w:r>
            <w:r>
              <w:rPr>
                <w:b/>
                <w:i/>
              </w:rPr>
              <w:t>als zweite Verteidigungslinie eingesetzt</w:t>
            </w:r>
            <w:r>
              <w:t xml:space="preserve"> werden</w:t>
            </w:r>
            <w:r>
              <w:rPr>
                <w:b/>
                <w:i/>
              </w:rPr>
              <w:t>, während</w:t>
            </w:r>
            <w:r>
              <w:t xml:space="preserve"> öffentliche Mittel im Einklang mit </w:t>
            </w:r>
            <w:r>
              <w:rPr>
                <w:b/>
                <w:i/>
              </w:rPr>
              <w:t>der haushaltspolitischen Verantwortung</w:t>
            </w:r>
            <w:r>
              <w:t>, der sozialen Gerechtigkeit und der Marktdisziplin nur als letztes Mittel eingesetzt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betont, dass bei Bankenausfällen zunächst Anteilseigner, Gläubiger oder branchenfinanzierte Mechanismen haftbar gemacht werden sollten und dass öffentliche Mittel – im Einklang mit den Prinzipien der verantwortungsvollen Fiskalpolitik</w:t>
            </w:r>
            <w:r>
              <w:rPr>
                <w:b/>
                <w:i/>
              </w:rPr>
              <w:t>, der sozialen Gerechtigkeit</w:t>
            </w:r>
            <w:r>
              <w:t xml:space="preserve"> und der Marktdisziplin – nur als letztes Mittel eingesetzt werden sollten;</w:t>
            </w:r>
          </w:p>
        </w:tc>
        <w:tc>
          <w:tcPr>
            <w:tcW w:w="4876" w:type="dxa"/>
            <w:tcBorders>
              <w:top w:val="nil"/>
              <w:left w:val="nil"/>
              <w:bottom w:val="nil"/>
              <w:right w:val="nil"/>
            </w:tcBorders>
          </w:tcPr>
          <w:p>
            <w:pPr>
              <w:pStyle w:val="Normal6a"/>
            </w:pPr>
            <w:r>
              <w:t>16.</w:t>
            </w:r>
            <w:r>
              <w:tab/>
            </w:r>
            <w:r>
              <w:t>betont, dass bei Bankenausfällen zunächst Anteilseigner, Gläubiger oder branchenfinanzierte Mechanismen haftbar gemacht werden sollten und dass öffentliche Mittel – im Einklang mit den Prinzipien der verantwortungsvollen Fiskalpolitik und der Marktdisziplin – nur als letztes Mittel eingesetzt werden sollten</w:t>
            </w:r>
            <w:r>
              <w:rPr>
                <w:b/>
                <w:i/>
              </w:rPr>
              <w:t>, da die Inanspruchnahme von Steuerzahlergeldern für die Abwicklung von Banken vermieden werden muss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betont, dass bei Bankenausfällen zunächst Anteilseigner, Gläubiger oder branchenfinanzierte Mechanismen haftbar gemacht werden sollten und dass öffentliche Mittel – im Einklang mit den Prinzipien der verantwortungsvollen Fiskalpolitik, der sozialen Gerechtigkeit und der Marktdisziplin – nur als letztes Mittel eingesetzt werden sollten;</w:t>
            </w:r>
          </w:p>
        </w:tc>
        <w:tc>
          <w:tcPr>
            <w:tcW w:w="4876" w:type="dxa"/>
            <w:tcBorders>
              <w:top w:val="nil"/>
              <w:left w:val="nil"/>
              <w:bottom w:val="nil"/>
              <w:right w:val="nil"/>
            </w:tcBorders>
          </w:tcPr>
          <w:p>
            <w:pPr>
              <w:pStyle w:val="Normal6a"/>
            </w:pPr>
            <w:r>
              <w:t>16.</w:t>
            </w:r>
            <w:r>
              <w:tab/>
            </w:r>
            <w:r>
              <w:t>betont, dass bei Bankenausfällen zunächst Anteilseigner, Gläubiger oder branchenfinanzierte Mechanismen haftbar gemacht werden sollten und dass öffentliche Mittel – im Einklang mit den Prinzipien der verantwortungsvollen Fiskalpolitik, der sozialen Gerechtigkeit und der Marktdisziplin – nur als letztes Mittel eingesetzt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betont, dass bei Bankenausfällen zunächst Anteilseigner, Gläubiger oder branchenfinanzierte Mechanismen haftbar gemacht werden </w:t>
            </w:r>
            <w:r>
              <w:rPr>
                <w:b/>
                <w:i/>
              </w:rPr>
              <w:t>sollten</w:t>
            </w:r>
            <w:r>
              <w:t xml:space="preserve"> und dass öffentliche Mittel – im Einklang mit den Prinzipien der verantwortungsvollen Fiskalpolitik, der sozialen Gerechtigkeit und der Marktdisziplin – nur als letztes Mittel eingesetzt werden sollten;</w:t>
            </w:r>
          </w:p>
        </w:tc>
        <w:tc>
          <w:tcPr>
            <w:tcW w:w="4876" w:type="dxa"/>
            <w:tcBorders>
              <w:top w:val="nil"/>
              <w:left w:val="nil"/>
              <w:bottom w:val="nil"/>
              <w:right w:val="nil"/>
            </w:tcBorders>
          </w:tcPr>
          <w:p>
            <w:pPr>
              <w:pStyle w:val="Normal6a"/>
            </w:pPr>
            <w:r>
              <w:t>16.</w:t>
            </w:r>
            <w:r>
              <w:tab/>
            </w:r>
            <w:r>
              <w:t xml:space="preserve">betont, dass bei Bankenausfällen zunächst Anteilseigner, Gläubiger oder branchenfinanzierte Mechanismen haftbar gemacht werden </w:t>
            </w:r>
            <w:r>
              <w:rPr>
                <w:b/>
                <w:i/>
              </w:rPr>
              <w:t>müssen</w:t>
            </w:r>
            <w:r>
              <w:t xml:space="preserve"> und dass öffentliche Mittel – im Einklang mit den Prinzipien der verantwortungsvollen Fiskalpolitik, der sozialen Gerechtigkeit und der Marktdisziplin – nur als letztes Mittel eingesetzt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weist darauf hin, dass eine ausreichende Mindestanforderung an Eigenmittel und berücksichtigungsfähige Verbindlichkeiten (MREL) von wesentlicher Bedeutung dafür ist, einen belastbaren Abwicklungsrahmen zu schaffen und den Behörden die Flexibilität zu geben, in </w:t>
            </w:r>
            <w:r>
              <w:rPr>
                <w:b/>
                <w:i/>
              </w:rPr>
              <w:t>einer Krise geeignete</w:t>
            </w:r>
            <w:r>
              <w:t xml:space="preserve"> Abwicklungsstrategien anzuwenden;</w:t>
            </w:r>
          </w:p>
        </w:tc>
        <w:tc>
          <w:tcPr>
            <w:tcW w:w="4876" w:type="dxa"/>
            <w:tcBorders>
              <w:top w:val="nil"/>
              <w:left w:val="nil"/>
              <w:bottom w:val="nil"/>
              <w:right w:val="nil"/>
            </w:tcBorders>
          </w:tcPr>
          <w:p>
            <w:pPr>
              <w:pStyle w:val="Normal6a"/>
            </w:pPr>
            <w:r>
              <w:t>17.</w:t>
            </w:r>
            <w:r>
              <w:tab/>
            </w:r>
            <w:r>
              <w:t xml:space="preserve">weist darauf hin, dass eine ausreichende Mindestanforderung an Eigenmittel und berücksichtigungsfähige Verbindlichkeiten (MREL) von wesentlicher Bedeutung dafür ist, einen belastbaren Abwicklungsrahmen zu schaffen und den Behörden die Flexibilität zu geben, in </w:t>
            </w:r>
            <w:r>
              <w:rPr>
                <w:b/>
                <w:i/>
              </w:rPr>
              <w:t>Krisensituationen zielführend</w:t>
            </w:r>
            <w:r>
              <w:t xml:space="preserve"> Abwicklungsstrategien anzuwenden </w:t>
            </w:r>
            <w:r>
              <w:rPr>
                <w:b/>
                <w:i/>
              </w:rPr>
              <w:t>und dabei die Marktdisziplin sicherzustellen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weist darauf hin, dass eine ausreichende Mindestanforderung an Eigenmittel und berücksichtigungsfähige Verbindlichkeiten (MREL) von wesentlicher Bedeutung dafür ist, einen belastbaren Abwicklungsrahmen zu schaffen und den Behörden die Flexibilität zu geben, in einer Krise geeignete Abwicklungsstrategien anzuwenden;</w:t>
            </w:r>
          </w:p>
        </w:tc>
        <w:tc>
          <w:tcPr>
            <w:tcW w:w="4876" w:type="dxa"/>
            <w:tcBorders>
              <w:top w:val="nil"/>
              <w:left w:val="nil"/>
              <w:bottom w:val="nil"/>
              <w:right w:val="nil"/>
            </w:tcBorders>
          </w:tcPr>
          <w:p>
            <w:pPr>
              <w:pStyle w:val="Normal6a"/>
            </w:pPr>
            <w:r>
              <w:t>17.</w:t>
            </w:r>
            <w:r>
              <w:tab/>
            </w:r>
            <w:r>
              <w:t xml:space="preserve">weist darauf hin, dass eine ausreichende Mindestanforderung an Eigenmittel und berücksichtigungsfähige Verbindlichkeiten (MREL) von wesentlicher Bedeutung dafür ist, einen belastbaren Abwicklungsrahmen zu schaffen und den Behörden die Flexibilität zu geben, in einer Krise geeignete Abwicklungsstrategien anzuwenden; </w:t>
            </w:r>
            <w:r>
              <w:rPr>
                <w:b/>
                <w:i/>
              </w:rPr>
              <w:t>betont, dass die MREL-Anforderungen auf die tatsächliche Abwicklungsstrategie jeder Bank zugeschnitten sein sollten, insbesondere wenn neben Bail-in-Mechanismen Übertragungsinstrumente eingesetzt werden, um Rechtsklarheit zu schaffen und für Verhältnismäßigkeit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weist darauf hin, dass eine ausreichende Mindestanforderung an Eigenmittel und berücksichtigungsfähige Verbindlichkeiten (MREL) von wesentlicher Bedeutung dafür ist, einen belastbaren Abwicklungsrahmen zu schaffen und den Behörden die Flexibilität zu geben, in einer Krise geeignete Abwicklungsstrategien anzuwenden;</w:t>
            </w:r>
          </w:p>
        </w:tc>
        <w:tc>
          <w:tcPr>
            <w:tcW w:w="4876" w:type="dxa"/>
            <w:tcBorders>
              <w:top w:val="nil"/>
              <w:left w:val="nil"/>
              <w:bottom w:val="nil"/>
              <w:right w:val="nil"/>
            </w:tcBorders>
          </w:tcPr>
          <w:p>
            <w:pPr>
              <w:pStyle w:val="Normal6a"/>
            </w:pPr>
            <w:r>
              <w:t>17.</w:t>
            </w:r>
            <w:r>
              <w:tab/>
            </w:r>
            <w:r>
              <w:t xml:space="preserve">weist darauf hin, dass eine ausreichende Mindestanforderung an Eigenmittel und berücksichtigungsfähige Verbindlichkeiten (MREL) von wesentlicher Bedeutung dafür ist, einen belastbaren Abwicklungsrahmen zu schaffen und den Behörden die Flexibilität zu geben, in einer Krise geeignete Abwicklungsstrategien anzuwenden; </w:t>
            </w:r>
            <w:r>
              <w:rPr>
                <w:b/>
                <w:i/>
              </w:rPr>
              <w:t>betont, dass die Verfügbarkeit ausreichender MREL und Sicherheiten bei der Abwicklung eine Voraussetzung für die Abwicklungsfähigkeit von Banken ist und dass die MREL mit äußerster Vorsicht festgelegt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weist darauf hin, dass eine ausreichende Mindestanforderung an Eigenmittel und berücksichtigungsfähige Verbindlichkeiten (MREL) von wesentlicher Bedeutung dafür ist, einen belastbaren Abwicklungsrahmen zu schaffen und den Behörden die Flexibilität zu geben, in einer Krise geeignete Abwicklungsstrategien anzuwenden;</w:t>
            </w:r>
          </w:p>
        </w:tc>
        <w:tc>
          <w:tcPr>
            <w:tcW w:w="4876" w:type="dxa"/>
            <w:tcBorders>
              <w:top w:val="nil"/>
              <w:left w:val="nil"/>
              <w:bottom w:val="nil"/>
              <w:right w:val="nil"/>
            </w:tcBorders>
          </w:tcPr>
          <w:p>
            <w:pPr>
              <w:pStyle w:val="Normal6a"/>
            </w:pPr>
            <w:r>
              <w:t>17.</w:t>
            </w:r>
            <w:r>
              <w:tab/>
            </w:r>
            <w:r>
              <w:t xml:space="preserve">weist darauf hin, dass eine ausreichende Mindestanforderung an Eigenmittel und berücksichtigungsfähige Verbindlichkeiten (MREL) von wesentlicher Bedeutung dafür ist, einen belastbaren Abwicklungsrahmen zu schaffen und den Behörden die Flexibilität zu geben, in einer Krise geeignete Abwicklungsstrategien anzuwenden; </w:t>
            </w:r>
            <w:r>
              <w:rPr>
                <w:b/>
                <w:i/>
              </w:rPr>
              <w:t>unterstreicht, dass diese Mindestanforderung ausreichen sollte, um jede der im Abwicklungsplan einer Bank enthaltenen Abwicklungsstrategien wirksam umzusetzen;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betont, dass im Falle der Ausgabe berücksichtigungsfähiger Verbindlichkeiten einer Bank an Anleger außerhalb der EU die Herabschreibung oder Umwandlung dieser Verbindlichkeiten mit voller Sicherheit durchsetzbar sein sollte, damit die Abwicklungsinstrumente wirksam eingesetzt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weist darauf hin, dass Banken nach der Abwicklung weiterhin grundlegende Dienstleistungen erbringen müssen; betont, dass es eines klaren und berechenbaren Rahmens bedarf, mit dem Einleger geschützt und </w:t>
            </w:r>
            <w:r>
              <w:rPr>
                <w:b/>
                <w:i/>
              </w:rPr>
              <w:t>kleinere</w:t>
            </w:r>
            <w:r>
              <w:t xml:space="preserve"> Kunden und </w:t>
            </w:r>
            <w:r>
              <w:rPr>
                <w:b/>
                <w:i/>
              </w:rPr>
              <w:t>KMU</w:t>
            </w:r>
            <w:r>
              <w:t xml:space="preserve"> unterstützt werden;</w:t>
            </w:r>
          </w:p>
        </w:tc>
        <w:tc>
          <w:tcPr>
            <w:tcW w:w="4876" w:type="dxa"/>
            <w:tcBorders>
              <w:top w:val="nil"/>
              <w:left w:val="nil"/>
              <w:bottom w:val="nil"/>
              <w:right w:val="nil"/>
            </w:tcBorders>
          </w:tcPr>
          <w:p>
            <w:pPr>
              <w:pStyle w:val="Normal6a"/>
            </w:pPr>
            <w:r>
              <w:t>18.</w:t>
            </w:r>
            <w:r>
              <w:tab/>
            </w:r>
            <w:r>
              <w:t xml:space="preserve">weist darauf hin, dass Banken nach der Abwicklung weiterhin grundlegende Dienstleistungen erbringen müssen; betont, dass es eines klaren und berechenbaren Rahmens bedarf, mit dem Einleger geschützt und Kunden und </w:t>
            </w:r>
            <w:r>
              <w:rPr>
                <w:b/>
                <w:i/>
              </w:rPr>
              <w:t>Unternehmen, darunter auch KMU,</w:t>
            </w:r>
            <w:r>
              <w:t xml:space="preserve"> unterstützt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weist darauf hin, dass Banken </w:t>
            </w:r>
            <w:r>
              <w:rPr>
                <w:b/>
                <w:i/>
              </w:rPr>
              <w:t>nach</w:t>
            </w:r>
            <w:r>
              <w:t xml:space="preserve"> der Abwicklung weiterhin grundlegende Dienstleistungen erbringen müssen; betont, dass es eines klaren und berechenbaren Rahmens bedarf, mit dem Einleger geschützt und kleinere Kunden und KMU unterstützt werden;</w:t>
            </w:r>
          </w:p>
        </w:tc>
        <w:tc>
          <w:tcPr>
            <w:tcW w:w="4876" w:type="dxa"/>
            <w:tcBorders>
              <w:top w:val="nil"/>
              <w:left w:val="nil"/>
              <w:bottom w:val="nil"/>
              <w:right w:val="nil"/>
            </w:tcBorders>
          </w:tcPr>
          <w:p>
            <w:pPr>
              <w:pStyle w:val="Normal6a"/>
            </w:pPr>
            <w:r>
              <w:t>18.</w:t>
            </w:r>
            <w:r>
              <w:tab/>
            </w:r>
            <w:r>
              <w:t xml:space="preserve">weist darauf hin, dass Banken </w:t>
            </w:r>
            <w:r>
              <w:rPr>
                <w:b/>
                <w:i/>
              </w:rPr>
              <w:t>während</w:t>
            </w:r>
            <w:r>
              <w:t xml:space="preserve"> der Abwicklung weiterhin grundlegende Dienstleistungen erbringen müssen; betont, dass es eines klaren und berechenbaren Rahmens bedarf, mit dem Einleger geschützt und kleinere Kunden und KMU unterstützt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begrüßt den einheitlichen</w:t>
            </w:r>
            <w:r>
              <w:t xml:space="preserve"> Abwicklungsfonds als </w:t>
            </w:r>
            <w:r>
              <w:rPr>
                <w:b/>
                <w:i/>
              </w:rPr>
              <w:t>vollständig vergemeinschaftetes, branchenfinanziertes</w:t>
            </w:r>
            <w:r>
              <w:t xml:space="preserve"> Sicherheitsnetz</w:t>
            </w:r>
            <w:r>
              <w:rPr>
                <w:b/>
                <w:i/>
              </w:rPr>
              <w:t>;</w:t>
            </w:r>
            <w:r>
              <w:t xml:space="preserve"> </w:t>
            </w:r>
            <w:r>
              <w:rPr>
                <w:b/>
                <w:i/>
              </w:rPr>
              <w:t>bekräftigt die Forderung nach einer vollständigen</w:t>
            </w:r>
            <w:r>
              <w:t xml:space="preserve"> Ratifizierung </w:t>
            </w:r>
            <w:r>
              <w:rPr>
                <w:b/>
                <w:i/>
              </w:rPr>
              <w:t>der Änderung des Vertrags zur Einrichtung des Europäischen Stabilitätsmechanismus, mit der die Glaubwürdigkeit und Abwicklungsfähigkeit sowie die Widerstandsfähigkeit des Euro-Währungsgebiets gestärkt werden sollen</w:t>
            </w:r>
            <w:r>
              <w:t>;</w:t>
            </w:r>
          </w:p>
        </w:tc>
        <w:tc>
          <w:tcPr>
            <w:tcW w:w="4876" w:type="dxa"/>
            <w:tcBorders>
              <w:top w:val="nil"/>
              <w:left w:val="nil"/>
              <w:bottom w:val="nil"/>
              <w:right w:val="nil"/>
            </w:tcBorders>
          </w:tcPr>
          <w:p>
            <w:pPr>
              <w:pStyle w:val="Normal6a"/>
            </w:pPr>
            <w:r>
              <w:t>19.</w:t>
            </w:r>
            <w:r>
              <w:tab/>
            </w:r>
            <w:r>
              <w:rPr>
                <w:b/>
                <w:i/>
              </w:rPr>
              <w:t>stellt kritisch fest, dass der einheitliche</w:t>
            </w:r>
            <w:r>
              <w:t xml:space="preserve"> Abwicklungsfonds </w:t>
            </w:r>
            <w:r>
              <w:rPr>
                <w:b/>
                <w:i/>
              </w:rPr>
              <w:t>zwar</w:t>
            </w:r>
            <w:r>
              <w:t xml:space="preserve"> als Sicherheitsnetz </w:t>
            </w:r>
            <w:r>
              <w:rPr>
                <w:b/>
                <w:i/>
              </w:rPr>
              <w:t>gedacht ist, derzeit aber undurchsichtige Beitragsmethoden vorschreibt und es ihm an Transparenz mangelt, wodurch Kostenbelastungen ohne nachweisbare Effizienzgewinne entstehen;</w:t>
            </w:r>
            <w:r>
              <w:t xml:space="preserve"> </w:t>
            </w:r>
            <w:r>
              <w:rPr>
                <w:b/>
                <w:i/>
              </w:rPr>
              <w:t>stattdessen könnten die Ressourcen durch klarere nationale Eventualitäten und marktbasierte Disziplin besser eingesetzt werden;</w:t>
            </w:r>
            <w:r>
              <w:t xml:space="preserve"> </w:t>
            </w:r>
            <w:r>
              <w:rPr>
                <w:b/>
                <w:i/>
              </w:rPr>
              <w:t>respektiert die Vorrechte der nationalen Parlamente in Bezug auf die</w:t>
            </w:r>
            <w:r>
              <w:t xml:space="preserve"> Ratifizierung </w:t>
            </w:r>
            <w:r>
              <w:rPr>
                <w:b/>
                <w:i/>
              </w:rPr>
              <w:t>des zwischenstaatlichen ESM-Vertrags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begrüßt</w:t>
            </w:r>
            <w:r>
              <w:t xml:space="preserve"> den einheitlichen Abwicklungsfonds als vollständig vergemeinschaftetes, branchenfinanziertes Sicherheitsnetz</w:t>
            </w:r>
            <w:r>
              <w:rPr>
                <w:b/>
                <w:i/>
              </w:rPr>
              <w:t>;</w:t>
            </w:r>
            <w:r>
              <w:t xml:space="preserve"> </w:t>
            </w:r>
            <w:r>
              <w:rPr>
                <w:b/>
                <w:i/>
              </w:rPr>
              <w:t>bekräftigt die Forderung nach einer vollständigen Ratifizierung der Änderung des Vertrags zur Einrichtung des Europäischen Stabilitätsmechanismus, mit der die Glaubwürdigkeit und Abwicklungsfähigkeit sowie die Widerstandsfähigkeit des Euro-Währungsgebiets gestärkt werden sollen</w:t>
            </w:r>
            <w:r>
              <w:t>;</w:t>
            </w:r>
          </w:p>
        </w:tc>
        <w:tc>
          <w:tcPr>
            <w:tcW w:w="4876" w:type="dxa"/>
            <w:tcBorders>
              <w:top w:val="nil"/>
              <w:left w:val="nil"/>
              <w:bottom w:val="nil"/>
              <w:right w:val="nil"/>
            </w:tcBorders>
          </w:tcPr>
          <w:p>
            <w:pPr>
              <w:pStyle w:val="Normal6a"/>
            </w:pPr>
            <w:r>
              <w:t>19.</w:t>
            </w:r>
            <w:r>
              <w:tab/>
            </w:r>
            <w:r>
              <w:rPr>
                <w:b/>
                <w:i/>
              </w:rPr>
              <w:t>nimmt</w:t>
            </w:r>
            <w:r>
              <w:t xml:space="preserve"> den einheitlichen Abwicklungsfonds als vollständig vergemeinschaftetes, branchenfinanziertes Sicherheitsnetz </w:t>
            </w:r>
            <w:r>
              <w:rPr>
                <w:b/>
                <w:i/>
              </w:rPr>
              <w:t>zur Kenntnis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begrüßt den einheitlichen Abwicklungsfonds als </w:t>
            </w:r>
            <w:r>
              <w:rPr>
                <w:b/>
                <w:i/>
              </w:rPr>
              <w:t>vollständig vergemeinschaftetes, branchenfinanziertes Sicherheitsnetz</w:t>
            </w:r>
            <w:r>
              <w:t>; bekräftigt die Forderung nach einer vollständigen Ratifizierung der Änderung des Vertrags zur Einrichtung des Europäischen Stabilitätsmechanismus, mit der die Glaubwürdigkeit und Abwicklungsfähigkeit sowie die Widerstandsfähigkeit des Euro-Währungsgebiets gestärkt werden sollen;</w:t>
            </w:r>
          </w:p>
        </w:tc>
        <w:tc>
          <w:tcPr>
            <w:tcW w:w="4876" w:type="dxa"/>
            <w:tcBorders>
              <w:top w:val="nil"/>
              <w:left w:val="nil"/>
              <w:bottom w:val="nil"/>
              <w:right w:val="nil"/>
            </w:tcBorders>
          </w:tcPr>
          <w:p>
            <w:pPr>
              <w:pStyle w:val="Normal6a"/>
            </w:pPr>
            <w:r>
              <w:t>19.</w:t>
            </w:r>
            <w:r>
              <w:tab/>
            </w:r>
            <w:r>
              <w:t xml:space="preserve">begrüßt den einheitlichen Abwicklungsfonds als </w:t>
            </w:r>
            <w:r>
              <w:rPr>
                <w:b/>
                <w:i/>
              </w:rPr>
              <w:t>Letztsicherungsmaßnahme zur Unterstützung einer geordneten Bewältigung von Bankenkrisen</w:t>
            </w:r>
            <w:r>
              <w:t>; bekräftigt die Forderung nach einer vollständigen Ratifizierung der Änderung des Vertrags zur Einrichtung des Europäischen Stabilitätsmechanismus, mit der die Glaubwürdigkeit und Abwicklungsfähigkeit sowie die Widerstandsfähigkeit des Euro-Währungsgebiets gestärkt werden sollen</w:t>
            </w:r>
            <w:r>
              <w:rPr>
                <w:b/>
                <w:i/>
              </w:rPr>
              <w:t>, wobei gleichzeitig die Marktdisziplin gewahrt wird und die Steuerzahler geschützt werden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begrüßt den einheitlichen Abwicklungsfonds als vollständig vergemeinschaftetes, branchenfinanziertes Sicherheitsnetz; bekräftigt die Forderung nach einer vollständigen Ratifizierung der Änderung des Vertrags zur Einrichtung des Europäischen Stabilitätsmechanismus, mit der die Glaubwürdigkeit und Abwicklungsfähigkeit sowie die Widerstandsfähigkeit des Euro-Währungsgebiets gestärkt werden sollen;</w:t>
            </w:r>
          </w:p>
        </w:tc>
        <w:tc>
          <w:tcPr>
            <w:tcW w:w="4876" w:type="dxa"/>
            <w:tcBorders>
              <w:top w:val="nil"/>
              <w:left w:val="nil"/>
              <w:bottom w:val="nil"/>
              <w:right w:val="nil"/>
            </w:tcBorders>
          </w:tcPr>
          <w:p>
            <w:pPr>
              <w:pStyle w:val="Normal6a"/>
            </w:pPr>
            <w:r>
              <w:t>19.</w:t>
            </w:r>
            <w:r>
              <w:tab/>
            </w:r>
            <w:r>
              <w:t xml:space="preserve">begrüßt den einheitlichen Abwicklungsfonds als vollständig vergemeinschaftetes, branchenfinanziertes Sicherheitsnetz; bekräftigt die Forderung nach einer vollständigen Ratifizierung der Änderung des Vertrags zur Einrichtung des Europäischen Stabilitätsmechanismus, mit der die Glaubwürdigkeit und Abwicklungsfähigkeit sowie die Widerstandsfähigkeit des Euro-Währungsgebiets gestärkt werden sollen; </w:t>
            </w:r>
            <w:r>
              <w:rPr>
                <w:b/>
                <w:i/>
              </w:rPr>
              <w:t>hebt das Ziel hervor, die Steuerzahler im Falle einer Abwicklung zu schützen, und weist darauf hin, dass über die vereinbarte gemeinsame Letztsicherung hinaus keine zusätzlichen Mittel der Steuerzahler für ausfallende Banken verwendet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fordert die vollständige Ratifizierung des Änderungsvertrags zum ESM-Vertrag durch alle Mitgliedstaaten, einschließlich der Einrichtung einer gemeinsamen Letztsicherung für den einheitlichen Abwicklungsfonds;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weist darauf hin, dass die Null-Risiko-Gewichtung der Staatsverschuldung ein Problem ist, das angegangen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bedauert das unausgewogene Geschlechterverhältnis in der Leitung des SRB;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betont, dass der Vorschlag der Kommission zur Einrichtung eines europäischen Einlagensicherungssystems bereits 2015 veröffentlicht wurde und dass sich das Umfeld seitdem erheblich verändert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bekräftigt seine entschiedene Unterstützung für die Schaffung eines vollwertigen EDIS als dritte, letzte und wesentliche Säule der Bankenunion;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bekräftigt seine entschiedene Unterstützung für die Schaffung eines vollwertigen EDIS als dritte, letzte und wesentliche Säule der Bankenunion;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bekräftigt seine entschiedene Unterstützung für die Schaffung eines vollwertigen EDIS als dritte, letzte und wesentliche Säule der Bankenunion</w:t>
            </w:r>
            <w:r>
              <w:t>;</w:t>
            </w:r>
          </w:p>
        </w:tc>
        <w:tc>
          <w:tcPr>
            <w:tcW w:w="4876" w:type="dxa"/>
            <w:tcBorders>
              <w:top w:val="nil"/>
              <w:left w:val="nil"/>
              <w:bottom w:val="nil"/>
              <w:right w:val="nil"/>
            </w:tcBorders>
          </w:tcPr>
          <w:p>
            <w:pPr>
              <w:pStyle w:val="Normal6a"/>
            </w:pPr>
            <w:r>
              <w:t>20.</w:t>
            </w:r>
            <w:r>
              <w:tab/>
            </w:r>
            <w:r>
              <w:rPr>
                <w:b/>
                <w:i/>
              </w:rPr>
              <w:t>spricht sich gegen das EDIS aus;</w:t>
            </w:r>
            <w:r>
              <w:t xml:space="preserve"> </w:t>
            </w:r>
            <w:r>
              <w:rPr>
                <w:b/>
                <w:i/>
              </w:rPr>
              <w:t>vertritt die Auffassung, dass die vergemeinschaftete Einlagenversicherung das Risiko naturgemäß in stärkere Volkswirtschaften verlagert und die Anreize für Einleger, das Bankenrisiko zu überwachen, schwächt, was zu moralischem Risiko führt</w:t>
            </w:r>
            <w:r>
              <w:t xml:space="preserve">; </w:t>
            </w:r>
            <w:r>
              <w:rPr>
                <w:b/>
                <w:i/>
              </w:rPr>
              <w:t>spricht sich stattdessen für robuste nationale Systeme mit harmonisierten Mindeststandards aus, die Marktpreissignale und Verantwortung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bekräftigt seine entschiedene Unterstützung für die Schaffung eines vollwertigen EDIS als dritte, letzte und wesentliche Säule der Bankenunion</w:t>
            </w:r>
            <w:r>
              <w:t>;</w:t>
            </w:r>
          </w:p>
        </w:tc>
        <w:tc>
          <w:tcPr>
            <w:tcW w:w="4876" w:type="dxa"/>
            <w:tcBorders>
              <w:top w:val="nil"/>
              <w:left w:val="nil"/>
              <w:bottom w:val="nil"/>
              <w:right w:val="nil"/>
            </w:tcBorders>
          </w:tcPr>
          <w:p>
            <w:pPr>
              <w:pStyle w:val="Normal6a"/>
            </w:pPr>
            <w:r>
              <w:t>20.</w:t>
            </w:r>
            <w:r>
              <w:tab/>
            </w:r>
            <w:r>
              <w:rPr>
                <w:b/>
                <w:i/>
              </w:rPr>
              <w:t>betont, dass institutsbezogene Sicherungssysteme von einem europäischen Einlagenversicherungssystem ausgenommen werden müssen, um ihr kontinuierliches Funktionieren sicherzustellen, wobei die Autonomie und Wirksamkeit der institutsbezogenen Sicherungssysteme (IPS) gewahrt und die im Rahmen der CMDI-Überprüfung vereinbarten spezifischen Vorschriften für institutsbezogene Sicherungssysteme eingehalten werden müssen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bekräftigt seine entschiedene Unterstützung für die Schaffung eines vollwertigen EDIS als dritte, letzte und wesentliche Säule</w:t>
            </w:r>
            <w:r>
              <w:t xml:space="preserve"> der Bankenunion;</w:t>
            </w:r>
          </w:p>
        </w:tc>
        <w:tc>
          <w:tcPr>
            <w:tcW w:w="4876" w:type="dxa"/>
            <w:tcBorders>
              <w:top w:val="nil"/>
              <w:left w:val="nil"/>
              <w:bottom w:val="nil"/>
              <w:right w:val="nil"/>
            </w:tcBorders>
          </w:tcPr>
          <w:p>
            <w:pPr>
              <w:pStyle w:val="Normal6a"/>
            </w:pPr>
            <w:r>
              <w:t>20.</w:t>
            </w:r>
            <w:r>
              <w:tab/>
            </w:r>
            <w:r>
              <w:rPr>
                <w:b/>
                <w:i/>
              </w:rPr>
              <w:t>nimmt die Erklärung der Euro-Gruppe vom 16. Juni 2022 zur Zukunft</w:t>
            </w:r>
            <w:r>
              <w:t xml:space="preserve"> der Bankenunion </w:t>
            </w:r>
            <w:r>
              <w:rPr>
                <w:b/>
                <w:i/>
              </w:rPr>
              <w:t>zur Kenntnis und erkennt an, dass jede Diskussion über das EDIS Teil einer umfassenderen Diskussion über alle verbleibenden Elemente der Bankenunion sein sollte, um die Verhältnismäßigkeit sicherzustellen und nationalen Besonderheiten Rechnung zu tragen</w:t>
            </w:r>
            <w:r>
              <w:t xml:space="preserve">; </w:t>
            </w:r>
            <w:r>
              <w:rPr>
                <w:b/>
                <w:i/>
              </w:rPr>
              <w:t>betont, dass eine einvernehmliche Einigung über mögliche weitere Schlüsselelemente der Bankenunion erzielt werden sollte, bevor mit der Ausarbeitung konkreter Legislativvorschläge begonnen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bekräftigt seine entschiedene Unterstützung für </w:t>
            </w:r>
            <w:r>
              <w:rPr>
                <w:b/>
                <w:i/>
              </w:rPr>
              <w:t>die Schaffung eines vollwertigen EDIS als dritte, letzte und wesentliche Säule</w:t>
            </w:r>
            <w:r>
              <w:t xml:space="preserve"> der Bankenunion;</w:t>
            </w:r>
          </w:p>
        </w:tc>
        <w:tc>
          <w:tcPr>
            <w:tcW w:w="4876" w:type="dxa"/>
            <w:tcBorders>
              <w:top w:val="nil"/>
              <w:left w:val="nil"/>
              <w:bottom w:val="nil"/>
              <w:right w:val="nil"/>
            </w:tcBorders>
          </w:tcPr>
          <w:p>
            <w:pPr>
              <w:pStyle w:val="Normal6a"/>
            </w:pPr>
            <w:r>
              <w:t>20.</w:t>
            </w:r>
            <w:r>
              <w:tab/>
            </w:r>
            <w:r>
              <w:t xml:space="preserve">bekräftigt seine entschiedene Unterstützung für </w:t>
            </w:r>
            <w:r>
              <w:rPr>
                <w:b/>
                <w:i/>
              </w:rPr>
              <w:t>eine Weiterentwicklung</w:t>
            </w:r>
            <w:r>
              <w:t xml:space="preserve"> der Bankenunion </w:t>
            </w:r>
            <w:r>
              <w:rPr>
                <w:b/>
                <w:i/>
              </w:rPr>
              <w:t>unter gebührender Berücksichtigung der nationalen Besonderheiten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bekräftigt seine entschiedene Unterstützung für </w:t>
            </w:r>
            <w:r>
              <w:rPr>
                <w:b/>
                <w:i/>
              </w:rPr>
              <w:t>die Schaffung eines vollwertigen EDIS als dritte, letzte und wesentliche Säule der</w:t>
            </w:r>
            <w:r>
              <w:t xml:space="preserve"> Bankenunion;</w:t>
            </w:r>
          </w:p>
        </w:tc>
        <w:tc>
          <w:tcPr>
            <w:tcW w:w="4876" w:type="dxa"/>
            <w:tcBorders>
              <w:top w:val="nil"/>
              <w:left w:val="nil"/>
              <w:bottom w:val="nil"/>
              <w:right w:val="nil"/>
            </w:tcBorders>
          </w:tcPr>
          <w:p>
            <w:pPr>
              <w:pStyle w:val="Normal6a"/>
            </w:pPr>
            <w:r>
              <w:t>20.</w:t>
            </w:r>
            <w:r>
              <w:tab/>
            </w:r>
            <w:r>
              <w:t xml:space="preserve">bekräftigt seine entschiedene Unterstützung für </w:t>
            </w:r>
            <w:r>
              <w:rPr>
                <w:b/>
                <w:i/>
              </w:rPr>
              <w:t>eine robuste und vollständige</w:t>
            </w:r>
            <w:r>
              <w:t xml:space="preserve"> Bankenunion; </w:t>
            </w:r>
            <w:r>
              <w:rPr>
                <w:b/>
                <w:i/>
              </w:rPr>
              <w:t>weist erneut darauf hin, dass die beiden gesetzgebenden Organe keine Fortschritte beim EDIS erzielt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bekräftigt seine entschiedene Unterstützung für die Schaffung eines </w:t>
            </w:r>
            <w:r>
              <w:rPr>
                <w:b/>
                <w:i/>
              </w:rPr>
              <w:t>vollwertigen</w:t>
            </w:r>
            <w:r>
              <w:t xml:space="preserve"> EDIS als dritte, letzte und wesentliche Säule der Bankenunion;</w:t>
            </w:r>
          </w:p>
        </w:tc>
        <w:tc>
          <w:tcPr>
            <w:tcW w:w="4876" w:type="dxa"/>
            <w:tcBorders>
              <w:top w:val="nil"/>
              <w:left w:val="nil"/>
              <w:bottom w:val="nil"/>
              <w:right w:val="nil"/>
            </w:tcBorders>
          </w:tcPr>
          <w:p>
            <w:pPr>
              <w:pStyle w:val="Normal6a"/>
            </w:pPr>
            <w:r>
              <w:t>20.</w:t>
            </w:r>
            <w:r>
              <w:tab/>
            </w:r>
            <w:r>
              <w:t>bekräftigt seine entschiedene Unterstützung für die Schaffung eines EDIS</w:t>
            </w:r>
            <w:r>
              <w:rPr>
                <w:b/>
                <w:i/>
              </w:rPr>
              <w:t>, das den nationalen Besonderheiten umfassend Rechnung trägt,</w:t>
            </w:r>
            <w:r>
              <w:t xml:space="preserve"> als dritte, letzte und wesentliche Säule der Bankenunion;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bekräftigt seine entschiedene Unterstützung für die Schaffung eines vollwertigen EDIS als dritte, letzte und wesentliche Säule der Bankenunion;</w:t>
            </w:r>
          </w:p>
        </w:tc>
        <w:tc>
          <w:tcPr>
            <w:tcW w:w="4876" w:type="dxa"/>
            <w:tcBorders>
              <w:top w:val="nil"/>
              <w:left w:val="nil"/>
              <w:bottom w:val="nil"/>
              <w:right w:val="nil"/>
            </w:tcBorders>
          </w:tcPr>
          <w:p>
            <w:pPr>
              <w:pStyle w:val="Normal6a"/>
            </w:pPr>
            <w:r>
              <w:t>20.</w:t>
            </w:r>
            <w:r>
              <w:tab/>
            </w:r>
            <w:r>
              <w:t>bekräftigt seine entschiedene Unterstützung für die Schaffung eines vollwertigen</w:t>
            </w:r>
            <w:r>
              <w:rPr>
                <w:b/>
                <w:i/>
              </w:rPr>
              <w:t>, gegenseitigen</w:t>
            </w:r>
            <w:r>
              <w:t xml:space="preserve"> EDIS als dritte, letzte und wesentliche Säule der Bankenunion; </w:t>
            </w:r>
            <w:r>
              <w:rPr>
                <w:b/>
                <w:i/>
              </w:rPr>
              <w:t>betont, dass ein gemeinsames Einlagensicherungssystem unerlässlich ist, um einen einheitlichen Einlegerschutz in der gesamten Union sicherzustellen, die Finanzstabilität weiter zu stärken und die verbleibenden Verbindungen zwischen Banken und Staaten entscheidend zu verringern;</w:t>
            </w:r>
            <w:r>
              <w:t xml:space="preserve"> </w:t>
            </w:r>
            <w:r>
              <w:rPr>
                <w:b/>
                <w:i/>
              </w:rPr>
              <w:t>betont, dass die Vollendung des europäischen Einlagenversicherungssystems in einer Weise angestrebt werden sollte, die risikobasiert und haushaltspolitisch verantwortungsvoll ist und mit kontinuierlichen Bemühungen um Risikominderung einhergeht, wodurch das Vertrauen in den Markt und die Integrität des Bankenbinnenmarkts gestärkt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bekräftigt seine entschiedene Unterstützung für die Schaffung eines vollwertigen EDIS als dritte, letzte und wesentliche Säule der Bankenunion;</w:t>
            </w:r>
          </w:p>
        </w:tc>
        <w:tc>
          <w:tcPr>
            <w:tcW w:w="4876" w:type="dxa"/>
            <w:tcBorders>
              <w:top w:val="nil"/>
              <w:left w:val="nil"/>
              <w:bottom w:val="nil"/>
              <w:right w:val="nil"/>
            </w:tcBorders>
          </w:tcPr>
          <w:p>
            <w:pPr>
              <w:pStyle w:val="Normal6a"/>
            </w:pPr>
            <w:r>
              <w:t>20.</w:t>
            </w:r>
            <w:r>
              <w:tab/>
            </w:r>
            <w:r>
              <w:t>bekräftigt seine entschiedene Unterstützung für die Schaffung eines vollwertigen EDIS</w:t>
            </w:r>
            <w:r>
              <w:rPr>
                <w:b/>
                <w:i/>
              </w:rPr>
              <w:t>, das die Abdeckung von Verlusten ermöglicht,</w:t>
            </w:r>
            <w:r>
              <w:t xml:space="preserve"> als dritte, letzte und wesentliche Säule der Bankenunion; </w:t>
            </w:r>
            <w:r>
              <w:rPr>
                <w:b/>
                <w:i/>
              </w:rPr>
              <w:t>weist darauf hin, dass das europäische Einlagenversicherungssystem den Teufelskreis zwischen Banken und ihren eigenen Staaten erheblich verringern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bekräftigt seine entschiedene Unterstützung für die Schaffung eines vollwertigen EDIS als dritte, letzte und wesentliche Säule der Bankenunion;</w:t>
            </w:r>
          </w:p>
        </w:tc>
        <w:tc>
          <w:tcPr>
            <w:tcW w:w="4876" w:type="dxa"/>
            <w:tcBorders>
              <w:top w:val="nil"/>
              <w:left w:val="nil"/>
              <w:bottom w:val="nil"/>
              <w:right w:val="nil"/>
            </w:tcBorders>
          </w:tcPr>
          <w:p>
            <w:pPr>
              <w:pStyle w:val="Normal6a"/>
            </w:pPr>
            <w:r>
              <w:t>20.</w:t>
            </w:r>
            <w:r>
              <w:tab/>
            </w:r>
            <w:r>
              <w:t>bekräftigt seine entschiedene Unterstützung für die Schaffung eines vollwertigen EDIS als dritte, letzte und wesentliche Säule der Bankenunion</w:t>
            </w:r>
            <w:r>
              <w:rPr>
                <w:b/>
                <w:i/>
              </w:rPr>
              <w:t>, die auf einer angemessenen Risikominderung, den richtigen Anreizen und einer Gestaltung beruht, die das Vertrauen der Einleger, die Marktdisziplin und die Finanzstabilität in der gesamten Union stärkt</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bekräftigt seine entschiedene Unterstützung für die Schaffung eines </w:t>
            </w:r>
            <w:r>
              <w:rPr>
                <w:b/>
                <w:i/>
              </w:rPr>
              <w:t>vollwertigen</w:t>
            </w:r>
            <w:r>
              <w:t xml:space="preserve"> EDIS als dritte, letzte und wesentliche Säule der Bankenunion;</w:t>
            </w:r>
          </w:p>
        </w:tc>
        <w:tc>
          <w:tcPr>
            <w:tcW w:w="4876" w:type="dxa"/>
            <w:tcBorders>
              <w:top w:val="nil"/>
              <w:left w:val="nil"/>
              <w:bottom w:val="nil"/>
              <w:right w:val="nil"/>
            </w:tcBorders>
          </w:tcPr>
          <w:p>
            <w:pPr>
              <w:pStyle w:val="Normal6a"/>
            </w:pPr>
            <w:r>
              <w:t>20.</w:t>
            </w:r>
            <w:r>
              <w:tab/>
            </w:r>
            <w:r>
              <w:t xml:space="preserve">bekräftigt seine entschiedene Unterstützung für die Schaffung eines EDIS als dritte, letzte und wesentliche Säule der Bankenunion; </w:t>
            </w:r>
            <w:r>
              <w:rPr>
                <w:b/>
                <w:i/>
              </w:rPr>
              <w:t>ist der Ansicht, dass die schrittweise Einführung eines europäischen Einlagenversicherungssystems zu einer Verringerung des Risikos für alle Banken in der Bankenunion führen sollte;</w:t>
            </w:r>
            <w:r>
              <w:t xml:space="preserve"> </w:t>
            </w:r>
            <w:r>
              <w:rPr>
                <w:b/>
                <w:i/>
              </w:rPr>
              <w:t>betont, dass die Beiträge zu einem europäischen Einlagenversicherungssystem dem Risikoprofil der einzelnen teilnehmenden Sektoren Rechnung tragen sollten;</w:t>
            </w:r>
            <w:r>
              <w:t xml:space="preserve"> </w:t>
            </w:r>
            <w:r>
              <w:rPr>
                <w:b/>
                <w:i/>
              </w:rPr>
              <w:t>betont ferner, wie wichtig die vollständige Anwendung der geltenden Vorschriften, einschließlich Mechanismen wie Liquiditätsausnahmen, als eine Möglichkeit ist, freie gruppeninterne Kapital- und Liquiditätsströme sicherzustellen, wodurch die europäischen Banken in die Lage versetzt werden, Unternehmen in der gesamten EU effizient zu finanzieren und die Wettbewerbsfähigkeit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bekräftigt seine entschiedene Unterstützung für die Schaffung eines vollwertigen EDIS als dritte, letzte und wesentliche Säule der Bankenunion;</w:t>
            </w:r>
          </w:p>
        </w:tc>
        <w:tc>
          <w:tcPr>
            <w:tcW w:w="4876" w:type="dxa"/>
            <w:tcBorders>
              <w:top w:val="nil"/>
              <w:left w:val="nil"/>
              <w:bottom w:val="nil"/>
              <w:right w:val="nil"/>
            </w:tcBorders>
          </w:tcPr>
          <w:p>
            <w:pPr>
              <w:pStyle w:val="Normal6a"/>
            </w:pPr>
            <w:r>
              <w:t>20.</w:t>
            </w:r>
            <w:r>
              <w:tab/>
            </w:r>
            <w:r>
              <w:t xml:space="preserve">bekräftigt seine entschiedene Unterstützung für die Schaffung eines vollwertigen EDIS als dritte, letzte und wesentliche Säule der Bankenunion; </w:t>
            </w:r>
            <w:r>
              <w:rPr>
                <w:b/>
                <w:i/>
              </w:rPr>
              <w:t>bedauert, dass die Bankenunion immer noch unvollständig ist, da es kein europäisches Einlagenversicherungssystem gibt;</w:t>
            </w:r>
            <w:r>
              <w:t xml:space="preserve"> </w:t>
            </w:r>
            <w:r>
              <w:rPr>
                <w:b/>
                <w:i/>
              </w:rPr>
              <w:t>weist darauf hin, dass das europäische Einlagenversicherungssystem den Schutz von Einlegern in der EU verbessern würde;</w:t>
            </w:r>
            <w:r>
              <w:t xml:space="preserve"> </w:t>
            </w:r>
            <w:r>
              <w:rPr>
                <w:b/>
                <w:i/>
              </w:rPr>
              <w:t>weist darauf hin, dass das europäische Einlagenversicherungssystem für die Unionsbürger –zusammen mit mehr Wettbewerb und einer größeren Auswahl für die Verbraucher – einen greifbaren Aspekt der Bankenunion darstellen würde;</w:t>
            </w:r>
            <w:r>
              <w:t xml:space="preserve"> </w:t>
            </w:r>
            <w:r>
              <w:rPr>
                <w:b/>
                <w:i/>
              </w:rPr>
              <w:t>ist der Ansicht, dass das EDIS Folgendes bieten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stellt fest, dass ein europäisches Einlagenversicherungssystem (EDIS) besseren Schutz für Einleger in der EU bieten könnte;</w:t>
            </w:r>
            <w:r>
              <w:t xml:space="preserve"> </w:t>
            </w:r>
            <w:r>
              <w:rPr>
                <w:b/>
                <w:i/>
              </w:rPr>
              <w:t>ist jedoch der Ansicht, dass das Haupthindernis für die Einführung des EDIS die Bedenken hinsichtlich der Risiken in einigen Bankensystemen sind;</w:t>
            </w:r>
            <w:r>
              <w:t xml:space="preserve"> </w:t>
            </w:r>
            <w:r>
              <w:rPr>
                <w:b/>
                <w:i/>
              </w:rPr>
              <w:t>betont, dass die Verringerung dieser Risiken von entscheidender Bedeutung ist, um eine Einigung über ein EDIS zu erzielen;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eeist darauf hin, dass die ursprünglich vorgeschlagene Form des EDIS nicht mehr aktuell ist und keine Aussicht auf Unterstützung besteht, die seine Umsetzung ermöglicht;</w:t>
            </w:r>
            <w:r>
              <w:t xml:space="preserve"> </w:t>
            </w:r>
            <w:r>
              <w:rPr>
                <w:b/>
                <w:i/>
              </w:rPr>
              <w:t>ist der Ansicht, dass ein mögliches europäisches Einlagenversicherungssystem nicht die Form eines vollständig integrierten Systems annehmen sollte, sondern vielmehr eine Form der Rückversicherung;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begrüßt die Annahme des CMDI-Pakets als positiven Schritt, mit dem die nationalen Einlagensicherungssysteme gestärkt, das Vertrauen in den Bankensektor erhöht und die operativen und rechtlichen Bedingungen für den Übergang zu einem gemeinsamen EU-Schutz für Einleger und Steuerzahler verbessert werden;</w:t>
            </w:r>
            <w:r>
              <w:t xml:space="preserve"> </w:t>
            </w:r>
            <w:r>
              <w:rPr>
                <w:b/>
                <w:i/>
              </w:rPr>
              <w:t>weist auf den Standpunkt des Ausschusses für Wirtschaft und Währung aus dem Jahr 2024 zum EDIS hin;</w:t>
            </w:r>
            <w:r>
              <w:t xml:space="preserve"> </w:t>
            </w:r>
            <w:r>
              <w:rPr>
                <w:b/>
                <w:i/>
              </w:rPr>
              <w:t>fordert den Rat nachdrücklich auf, bei den entsprechenden Verhandlungen Fortschritte zu erzielen;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begrüßt die Annahme des CMDI-Pakets als positiven Schritt, mit dem die nationalen Einlagensicherungssysteme gestärkt, das Vertrauen in den Bankensektor erhöht und die operativen und rechtlichen Bedingungen für den Übergang zu einem gemeinsamen EU-Schutz für Einleger und Steuerzahler verbessert werden;</w:t>
            </w:r>
            <w:r>
              <w:t xml:space="preserve"> </w:t>
            </w:r>
            <w:r>
              <w:rPr>
                <w:b/>
                <w:i/>
              </w:rPr>
              <w:t>weist auf den Standpunkt des Ausschusses für Wirtschaft und Währung aus dem Jahr 2024</w:t>
            </w:r>
            <w:r>
              <w:t xml:space="preserve"> zum EDIS </w:t>
            </w:r>
            <w:r>
              <w:rPr>
                <w:b/>
                <w:i/>
              </w:rPr>
              <w:t>hin;</w:t>
            </w:r>
            <w:r>
              <w:t xml:space="preserve"> </w:t>
            </w:r>
            <w:r>
              <w:rPr>
                <w:b/>
                <w:i/>
              </w:rPr>
              <w:t>fordert den Rat nachdrücklich auf, bei den entsprechenden Verhandlungen</w:t>
            </w:r>
            <w:r>
              <w:t xml:space="preserve"> Fortschritte zu erzielen;</w:t>
            </w:r>
          </w:p>
        </w:tc>
        <w:tc>
          <w:tcPr>
            <w:tcW w:w="4876" w:type="dxa"/>
            <w:tcBorders>
              <w:top w:val="nil"/>
              <w:left w:val="nil"/>
              <w:bottom w:val="nil"/>
              <w:right w:val="nil"/>
            </w:tcBorders>
          </w:tcPr>
          <w:p>
            <w:pPr>
              <w:pStyle w:val="Normal6a"/>
            </w:pPr>
            <w:r>
              <w:t>21.</w:t>
            </w:r>
            <w:r>
              <w:tab/>
            </w:r>
            <w:r>
              <w:rPr>
                <w:b/>
                <w:i/>
              </w:rPr>
              <w:t>fordert die Kommission auf, anzuerkennen, dass der derzeitige Legislativvorschlag</w:t>
            </w:r>
            <w:r>
              <w:t xml:space="preserve"> zum EDIS </w:t>
            </w:r>
            <w:r>
              <w:rPr>
                <w:b/>
                <w:i/>
              </w:rPr>
              <w:t>seit mehreren Jahren ins Stocken geraten ist, ohne greifbare</w:t>
            </w:r>
            <w:r>
              <w:t xml:space="preserve"> Fortschritte zu erzielen</w:t>
            </w:r>
            <w:r>
              <w:rPr>
                <w:b/>
                <w:i/>
              </w:rPr>
              <w:t>, bedauert, dass diese anhaltende Blockade die Glaubwürdigkeit der Verpflichtung zur Vollendung der Bankenunion untergraben hat, und fordert die Kommission nachdrücklich auf, den bestehenden Vorschlag zurückzuziehen und unverzüglich eine erneuerte und ehrgeizigere Initiative vorzulegen, mit der eine echte politische Einigung über das EDIS herbeigeführt werden kann</w:t>
            </w:r>
            <w:r>
              <w:t xml:space="preserve">; </w:t>
            </w:r>
            <w:r>
              <w:rPr>
                <w:b/>
                <w:i/>
              </w:rPr>
              <w:t>betont, dass ein solcher neuer Vorschlag einen glaubwürdigen, wirksamen und risikobasierten Rahmen bieten sollte, der einen echten Impuls für die Vollendung des europäischen Einlagenversicherungssystems gibt, das Vertrauen der Einleger stärkt und gleiche Wettbewerbsbedingungen im gesamten Bankenbinnenmarkt sicherstellt;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begrüßt die Annahme des CMDI-Pakets als positiven Schritt, mit dem die nationalen Einlagensicherungssysteme gestärkt, das Vertrauen in den Bankensektor erhöht und die operativen und rechtlichen Bedingungen für den Übergang zu einem gemeinsamen EU-Schutz für Einleger und Steuerzahler verbessert werden;</w:t>
            </w:r>
            <w:r>
              <w:t xml:space="preserve"> </w:t>
            </w:r>
            <w:r>
              <w:rPr>
                <w:b/>
                <w:i/>
              </w:rPr>
              <w:t>weist auf den Standpunkt des Ausschusses für Wirtschaft und Währung aus dem Jahr 2024 zum EDIS hin;</w:t>
            </w:r>
            <w:r>
              <w:t xml:space="preserve"> </w:t>
            </w:r>
            <w:r>
              <w:rPr>
                <w:b/>
                <w:i/>
              </w:rPr>
              <w:t>fordert den Rat nachdrücklich auf, bei den entsprechenden Verhandlungen</w:t>
            </w:r>
            <w:r>
              <w:t xml:space="preserve"> Fortschritte </w:t>
            </w:r>
            <w:r>
              <w:rPr>
                <w:b/>
                <w:i/>
              </w:rPr>
              <w:t>zu erzielen</w:t>
            </w:r>
            <w:r>
              <w:t>;</w:t>
            </w:r>
          </w:p>
        </w:tc>
        <w:tc>
          <w:tcPr>
            <w:tcW w:w="4876" w:type="dxa"/>
            <w:tcBorders>
              <w:top w:val="nil"/>
              <w:left w:val="nil"/>
              <w:bottom w:val="nil"/>
              <w:right w:val="nil"/>
            </w:tcBorders>
          </w:tcPr>
          <w:p>
            <w:pPr>
              <w:pStyle w:val="Normal6a"/>
            </w:pPr>
            <w:r>
              <w:t>21.</w:t>
            </w:r>
            <w:r>
              <w:tab/>
            </w:r>
            <w:r>
              <w:rPr>
                <w:b/>
                <w:i/>
              </w:rPr>
              <w:t>erkennt die</w:t>
            </w:r>
            <w:r>
              <w:t xml:space="preserve"> Fortschritte </w:t>
            </w:r>
            <w:r>
              <w:rPr>
                <w:b/>
                <w:i/>
              </w:rPr>
              <w:t>an, die beim CMDI erzielt wurden, warnt jedoch davor, sich zu sehr auf zentralisierte Systeme zu verlassen, die die Rechenschaftspflicht verwässern und haushaltspolitisch verantwortliche Mitgliedstaaten systemischen Verbindlichkeiten aussetzen könnten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begrüßt die Annahme des CMDI-Pakets als positiven Schritt, mit dem die nationalen Einlagensicherungssysteme gestärkt</w:t>
            </w:r>
            <w:r>
              <w:rPr>
                <w:b/>
                <w:i/>
              </w:rPr>
              <w:t>,</w:t>
            </w:r>
            <w:r>
              <w:t xml:space="preserve"> das Vertrauen in den Bankensektor erhöht </w:t>
            </w:r>
            <w:r>
              <w:rPr>
                <w:b/>
                <w:i/>
              </w:rPr>
              <w:t>und die operativen und rechtlichen Bedingungen für den Übergang zu einem gemeinsamen EU-Schutz für Einleger und Steuerzahler verbessert werden;</w:t>
            </w:r>
            <w:r>
              <w:t xml:space="preserve"> </w:t>
            </w:r>
            <w:r>
              <w:rPr>
                <w:b/>
                <w:i/>
              </w:rPr>
              <w:t>weist auf den Standpunkt des Ausschusses für Wirtschaft und Währung aus dem Jahr 2024 zum EDIS hin;</w:t>
            </w:r>
            <w:r>
              <w:t xml:space="preserve"> </w:t>
            </w:r>
            <w:r>
              <w:rPr>
                <w:b/>
                <w:i/>
              </w:rPr>
              <w:t>fordert den Rat nachdrücklich auf, bei den entsprechenden Verhandlungen Fortschritte zu erzielen;</w:t>
            </w:r>
          </w:p>
        </w:tc>
        <w:tc>
          <w:tcPr>
            <w:tcW w:w="4876" w:type="dxa"/>
            <w:tcBorders>
              <w:top w:val="nil"/>
              <w:left w:val="nil"/>
              <w:bottom w:val="nil"/>
              <w:right w:val="nil"/>
            </w:tcBorders>
          </w:tcPr>
          <w:p>
            <w:pPr>
              <w:pStyle w:val="Normal6a"/>
            </w:pPr>
            <w:r>
              <w:t>21.</w:t>
            </w:r>
            <w:r>
              <w:tab/>
            </w:r>
            <w:r>
              <w:t xml:space="preserve">begrüßt die Annahme des CMDI-Pakets als positiven Schritt, mit dem die nationalen Einlagensicherungssysteme gestärkt </w:t>
            </w:r>
            <w:r>
              <w:rPr>
                <w:b/>
                <w:i/>
              </w:rPr>
              <w:t>und</w:t>
            </w:r>
            <w:r>
              <w:t xml:space="preserve"> das Vertrauen in den Bankensektor erhöht </w:t>
            </w:r>
            <w:r>
              <w:rPr>
                <w:b/>
                <w:i/>
              </w:rPr>
              <w:t>wird;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begrüßt die Annahme des CMDI-Pakets als positiven Schritt, mit dem die nationalen Einlagensicherungssysteme gestärkt, das Vertrauen in den Bankensektor erhöht und die operativen und rechtlichen Bedingungen für den Übergang zu einem gemeinsamen EU-Schutz für Einleger und Steuerzahler verbessert werden; </w:t>
            </w:r>
            <w:r>
              <w:rPr>
                <w:b/>
                <w:i/>
              </w:rPr>
              <w:t>weist auf den Standpunkt des Ausschusses für Wirtschaft und Währung aus dem Jahr 2024 zum EDIS hin;</w:t>
            </w:r>
            <w:r>
              <w:t xml:space="preserve"> </w:t>
            </w:r>
            <w:r>
              <w:rPr>
                <w:b/>
                <w:i/>
              </w:rPr>
              <w:t>fordert den Rat nachdrücklich auf, bei den entsprechenden Verhandlungen Fortschritte zu erzielen;</w:t>
            </w:r>
          </w:p>
        </w:tc>
        <w:tc>
          <w:tcPr>
            <w:tcW w:w="4876" w:type="dxa"/>
            <w:tcBorders>
              <w:top w:val="nil"/>
              <w:left w:val="nil"/>
              <w:bottom w:val="nil"/>
              <w:right w:val="nil"/>
            </w:tcBorders>
          </w:tcPr>
          <w:p>
            <w:pPr>
              <w:pStyle w:val="Normal6a"/>
            </w:pPr>
            <w:r>
              <w:t>21.</w:t>
            </w:r>
            <w:r>
              <w:tab/>
            </w:r>
            <w:r>
              <w:t>begrüßt die Annahme des CMDI-Pakets als positiven Schritt, mit dem die nationalen Einlagensicherungssysteme gestärkt, das Vertrauen in den Bankensektor erhöht und die operativen und rechtlichen Bedingungen für den Übergang zu einem gemeinsamen EU-Schutz für Einleger und Steuerzahler verbessert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begrüßt die Annahme des CMDI-Pakets als positiven Schritt, mit dem die nationalen Einlagensicherungssysteme gestärkt, das Vertrauen in den Bankensektor erhöht und die operativen und rechtlichen Bedingungen für den Übergang zu einem gemeinsamen EU-Schutz für Einleger und Steuerzahler verbessert werden; </w:t>
            </w:r>
            <w:r>
              <w:rPr>
                <w:b/>
                <w:i/>
              </w:rPr>
              <w:t>weist auf den Standpunkt des Ausschusses für Wirtschaft und Währung aus dem Jahr 2024 zum EDIS hin;</w:t>
            </w:r>
            <w:r>
              <w:t xml:space="preserve"> </w:t>
            </w:r>
            <w:r>
              <w:rPr>
                <w:b/>
                <w:i/>
              </w:rPr>
              <w:t>fordert den Rat nachdrücklich auf, bei den entsprechenden Verhandlungen Fortschritte zu erzielen;</w:t>
            </w:r>
          </w:p>
        </w:tc>
        <w:tc>
          <w:tcPr>
            <w:tcW w:w="4876" w:type="dxa"/>
            <w:tcBorders>
              <w:top w:val="nil"/>
              <w:left w:val="nil"/>
              <w:bottom w:val="nil"/>
              <w:right w:val="nil"/>
            </w:tcBorders>
          </w:tcPr>
          <w:p>
            <w:pPr>
              <w:pStyle w:val="Normal6a"/>
            </w:pPr>
            <w:r>
              <w:t>21.</w:t>
            </w:r>
            <w:r>
              <w:tab/>
            </w:r>
            <w:r>
              <w:t>begrüßt die Annahme des CMDI-Pakets als positiven Schritt, mit dem die nationalen Einlagensicherungssysteme gestärkt, das Vertrauen in den Bankensektor erhöht und die operativen und rechtlichen Bedingungen für den Übergang zu einem gemeinsamen EU-Schutz für Einleger und Steuerzahler verbessert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begrüßt die Annahme des CMDI-Pakets als positiven Schritt, mit dem die nationalen Einlagensicherungssysteme gestärkt, das Vertrauen in den Bankensektor erhöht und die operativen und rechtlichen Bedingungen für den Übergang zu einem gemeinsamen EU-Schutz für Einleger und Steuerzahler verbessert werden; </w:t>
            </w:r>
            <w:r>
              <w:rPr>
                <w:b/>
                <w:i/>
              </w:rPr>
              <w:t>weist auf den Standpunkt des Ausschusses für Wirtschaft und Währung aus dem Jahr 2024 zum EDIS hin;</w:t>
            </w:r>
            <w:r>
              <w:t xml:space="preserve"> fordert den Rat nachdrücklich auf, bei den entsprechenden Verhandlungen Fortschritte zu erzielen;</w:t>
            </w:r>
          </w:p>
        </w:tc>
        <w:tc>
          <w:tcPr>
            <w:tcW w:w="4876" w:type="dxa"/>
            <w:tcBorders>
              <w:top w:val="nil"/>
              <w:left w:val="nil"/>
              <w:bottom w:val="nil"/>
              <w:right w:val="nil"/>
            </w:tcBorders>
          </w:tcPr>
          <w:p>
            <w:pPr>
              <w:pStyle w:val="Normal6a"/>
            </w:pPr>
            <w:r>
              <w:t>21.</w:t>
            </w:r>
            <w:r>
              <w:tab/>
            </w:r>
            <w:r>
              <w:t>begrüßt die Annahme des CMDI-Pakets als positiven Schritt, mit dem die nationalen Einlagensicherungssysteme gestärkt, das Vertrauen in den Bankensektor erhöht und die operativen und rechtlichen Bedingungen für den Übergang zu einem gemeinsamen EU-Schutz für Einleger und Steuerzahler verbessert werden; fordert den Rat nachdrücklich auf, bei den entsprechenden Verhandlungen Fortschritte zu erzielen;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begrüßt die Annahme des CMDI-Pakets als positiven Schritt, mit dem die nationalen Einlagensicherungssysteme gestärkt, das Vertrauen in den Bankensektor erhöht und die operativen und rechtlichen Bedingungen für den Übergang zu einem gemeinsamen EU-Schutz für Einleger und Steuerzahler verbessert werden; </w:t>
            </w:r>
            <w:r>
              <w:rPr>
                <w:b/>
                <w:i/>
              </w:rPr>
              <w:t>weist auf den Standpunkt des Ausschusses für Wirtschaft und Währung aus dem Jahr 2024 zum EDIS hin;</w:t>
            </w:r>
            <w:r>
              <w:t xml:space="preserve"> fordert den Rat nachdrücklich auf, bei den entsprechenden Verhandlungen Fortschritte zu erzielen;</w:t>
            </w:r>
          </w:p>
        </w:tc>
        <w:tc>
          <w:tcPr>
            <w:tcW w:w="4876" w:type="dxa"/>
            <w:tcBorders>
              <w:top w:val="nil"/>
              <w:left w:val="nil"/>
              <w:bottom w:val="nil"/>
              <w:right w:val="nil"/>
            </w:tcBorders>
          </w:tcPr>
          <w:p>
            <w:pPr>
              <w:pStyle w:val="Normal6a"/>
            </w:pPr>
            <w:r>
              <w:t>21.</w:t>
            </w:r>
            <w:r>
              <w:tab/>
            </w:r>
            <w:r>
              <w:t>begrüßt die Annahme des CMDI-Pakets als positiven Schritt, mit dem die nationalen Einlagensicherungssysteme gestärkt, das Vertrauen in den Bankensektor erhöht und die operativen und rechtlichen Bedingungen für den Übergang zu einem gemeinsamen EU-Schutz für Einleger und Steuerzahler verbessert werden; fordert den Rat nachdrücklich auf, bei den entsprechenden Verhandlungen Fortschritte zu erzielen;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begrüßt die Annahme des CMDI-Pakets als positiven Schritt, mit dem </w:t>
            </w:r>
            <w:r>
              <w:rPr>
                <w:b/>
                <w:i/>
              </w:rPr>
              <w:t>die nationalen Einlagensicherungssysteme gestärkt,</w:t>
            </w:r>
            <w:r>
              <w:t xml:space="preserve"> das Vertrauen in den Bankensektor erhöht und die operativen und rechtlichen Bedingungen für den Übergang zu einem gemeinsamen EU-Schutz für Einleger und Steuerzahler verbessert werden; weist auf den Standpunkt des Ausschusses für Wirtschaft und Währung aus dem Jahr 2024 zum EDIS hin; fordert den Rat nachdrücklich auf, bei den entsprechenden Verhandlungen Fortschritte zu erzielen;</w:t>
            </w:r>
          </w:p>
        </w:tc>
        <w:tc>
          <w:tcPr>
            <w:tcW w:w="4876" w:type="dxa"/>
            <w:tcBorders>
              <w:top w:val="nil"/>
              <w:left w:val="nil"/>
              <w:bottom w:val="nil"/>
              <w:right w:val="nil"/>
            </w:tcBorders>
          </w:tcPr>
          <w:p>
            <w:pPr>
              <w:pStyle w:val="Normal6a"/>
            </w:pPr>
            <w:r>
              <w:t>21.</w:t>
            </w:r>
            <w:r>
              <w:tab/>
            </w:r>
            <w:r>
              <w:t xml:space="preserve">begrüßt die Annahme des CMDI-Pakets als positiven Schritt, mit dem das Vertrauen in den Bankensektor erhöht und die operativen und rechtlichen Bedingungen für den Übergang zu einem gemeinsamen EU-Schutz für Einleger und Steuerzahler verbessert werden; weist auf den Standpunkt des Ausschusses für Wirtschaft und Währung aus dem Jahr 2024 zum EDIS hin; fordert den Rat nachdrücklich auf, bei den entsprechenden Verhandlungen Fortschritte zu erzielen; </w:t>
            </w:r>
            <w:r>
              <w:rPr>
                <w:b/>
                <w:i/>
              </w:rPr>
              <w:t>fordert den neuen Präsidenten der Euro-Gruppe nachdrücklich auf, die Beratungen über dieses Thema so bald wie möglich wieder aufzunehmen;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begrüßt die Annahme des CMDI-Pakets als positiven Schritt, mit dem die nationalen Einlagensicherungssysteme gestärkt, das Vertrauen in den Bankensektor erhöht und die operativen und rechtlichen Bedingungen für den Übergang zu einem gemeinsamen EU-Schutz für Einleger und Steuerzahler verbessert werden; weist auf den Standpunkt des Ausschusses für Wirtschaft und Währung aus dem Jahr 2024 zum EDIS hin; fordert den Rat nachdrücklich auf, bei den entsprechenden Verhandlungen Fortschritte zu erzielen;</w:t>
            </w:r>
          </w:p>
        </w:tc>
        <w:tc>
          <w:tcPr>
            <w:tcW w:w="4876" w:type="dxa"/>
            <w:tcBorders>
              <w:top w:val="nil"/>
              <w:left w:val="nil"/>
              <w:bottom w:val="nil"/>
              <w:right w:val="nil"/>
            </w:tcBorders>
          </w:tcPr>
          <w:p>
            <w:pPr>
              <w:pStyle w:val="Normal6a"/>
            </w:pPr>
            <w:r>
              <w:t>21.</w:t>
            </w:r>
            <w:r>
              <w:tab/>
            </w:r>
            <w:r>
              <w:t xml:space="preserve">begrüßt die Annahme des CMDI-Pakets als positiven Schritt, mit dem die nationalen Einlagensicherungssysteme gestärkt, das Vertrauen in den Bankensektor erhöht und die operativen und rechtlichen Bedingungen für den Übergang zu einem gemeinsamen EU-Schutz für Einleger und Steuerzahler </w:t>
            </w:r>
            <w:r>
              <w:rPr>
                <w:b/>
                <w:i/>
              </w:rPr>
              <w:t>auf verlässliche Weise sukzessiv </w:t>
            </w:r>
            <w:r>
              <w:t>verbessert werden; weist auf den Standpunkt des Ausschusses für Wirtschaft und Währung aus dem Jahr 2024 zum EDIS hin; fordert den Rat nachdrücklich auf, bei den entsprechenden Verhandlungen Fortschritte zu erzielen;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782.353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156</w:t>
    </w:r>
    <w:r>
      <w:fldChar w:fldCharType="end"/>
    </w:r>
    <w:r>
      <w:t>/</w:t>
    </w:r>
    <w:r>
      <w:fldChar w:fldCharType="begin"/>
    </w:r>
    <w:r>
      <w:instrText xml:space="preserve"> NUMPAGES </w:instrText>
    </w:r>
    <w:r>
      <w:fldChar w:fldCharType="separate"/>
    </w:r>
    <w:r>
      <w:t>156</w:t>
    </w:r>
    <w:r>
      <w:fldChar w:fldCharType="end"/>
    </w:r>
    <w:r>
      <w:tab/>
    </w:r>
    <w:r>
      <w:rPr>
        <w:rStyle w:val="HideTWBExt"/>
      </w:rPr>
      <w:t>&lt;PathFdR&gt;</w:t>
    </w:r>
    <w:r>
      <w:t>AM\1335561DE.docx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AM\1335561DE.docx</w:t>
    </w:r>
    <w:r>
      <w:rPr>
        <w:rStyle w:val="HideTWBExt"/>
      </w:rPr>
      <w:t>&lt;/PathFdR&gt;</w:t>
    </w:r>
    <w:r>
      <w:tab/>
    </w:r>
    <w:r>
      <w:fldChar w:fldCharType="begin"/>
    </w:r>
    <w:r>
      <w:instrText xml:space="preserve"> PAGE </w:instrText>
    </w:r>
    <w:r>
      <w:fldChar w:fldCharType="separate"/>
    </w:r>
    <w:r>
      <w:t>155</w:t>
    </w:r>
    <w:r>
      <w:fldChar w:fldCharType="end"/>
    </w:r>
    <w:r>
      <w:t>/</w:t>
    </w:r>
    <w:r>
      <w:fldChar w:fldCharType="begin"/>
    </w:r>
    <w:r>
      <w:instrText xml:space="preserve"> NUMPAGES </w:instrText>
    </w:r>
    <w:r>
      <w:fldChar w:fldCharType="separate"/>
    </w:r>
    <w:r>
      <w:t>156</w:t>
    </w:r>
    <w:r>
      <w:fldChar w:fldCharType="end"/>
    </w:r>
    <w:r>
      <w:tab/>
    </w:r>
    <w:r>
      <w:t>PE</w:t>
    </w:r>
    <w:r>
      <w:rPr>
        <w:rStyle w:val="HideTWBExt"/>
      </w:rPr>
      <w:t>&lt;NoPE&gt;</w:t>
    </w:r>
    <w:r>
      <w:t>782.353</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AM\1335561DE.docx</w:t>
    </w:r>
    <w:r>
      <w:rPr>
        <w:rStyle w:val="HideTWBExt"/>
      </w:rPr>
      <w:t>&lt;/PathFdR&gt;</w:t>
    </w:r>
    <w:r>
      <w:tab/>
    </w:r>
    <w:r>
      <w:tab/>
    </w:r>
    <w:r>
      <w:t>PE</w:t>
    </w:r>
    <w:r>
      <w:rPr>
        <w:rStyle w:val="HideTWBExt"/>
      </w:rPr>
      <w:t>&lt;NoPE&gt;</w:t>
    </w:r>
    <w:r>
      <w:t>782.353</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156</Pages>
  <Words>29083</Words>
  <Characters>205014</Characters>
  <Application>Microsoft Office Word</Application>
  <DocSecurity>0</DocSecurity>
  <Lines>1</Lines>
  <Paragraphs>2618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1335561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361109</vt:lpwstr>
  </property>
  <property fmtid="{D5CDD505-2E9C-101B-9397-08002B2CF9AE}" pid="7" name="dmxml.render.traceId">
    <vt:lpwstr>6981db1694a5531a62455fc7debe7de9</vt:lpwstr>
  </property>
  <property fmtid="{D5CDD505-2E9C-101B-9397-08002B2CF9AE}" pid="8" name="FooterPath">
    <vt:lpwstr>AM\1335561DE.docx</vt:lpwstr>
  </property>
  <property fmtid="{D5CDD505-2E9C-101B-9397-08002B2CF9AE}" pid="9" name="PE Number">
    <vt:lpwstr>782.353</vt:lpwstr>
  </property>
  <property fmtid="{D5CDD505-2E9C-101B-9397-08002B2CF9AE}" pid="10" name="UID">
    <vt:lpwstr>eu.europa.europarl-DIN1-2026-0000006414_01.00-de-01.00_text-xml</vt:lpwstr>
  </property>
</Properties>
</file>