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Majandus- ja rahanduskomisjon</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Pangandusliit – 2025. aasta aruanne</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majandus- ja rahanduskomisjoni 23. aprilli 2024. aasta raportit ettepaneku kohta võtta vastu Euroopa Parlamendi ja nõukogu määrus, millega muudetakse määrust (EL) nr 806/2014, et luua Euroopa hoiuste tagamise skeem,</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majandus- ja rahanduskomisjoni 23. aprilli 2024. aasta raportit ettepaneku kohta võtta vastu Euroopa Parlamendi ja nõukogu määrus, millega muudetakse määrust (EL) nr 806/2014, et luua Euroopa hoiuste tagamise skeem,</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viie juhi 22. juuni 2015. aasta aruannet „Euroopa majandus- ja rahaliidu loomise lõpuleviimine“,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EKP 2023. aasta üldtoimetist nr 328 „The Road to Paris: stress testing the transition towards a net-zero economy“ (Pariisi kliimakonverentsi eesmärkide saavutamine:</w:t>
            </w:r>
            <w:r>
              <w:t xml:space="preserve"> </w:t>
            </w:r>
            <w:r>
              <w:rPr>
                <w:b/>
                <w:i/>
              </w:rPr>
              <w:t>kliimaneutraalsele majandusele ülemineku stressitest),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EKP 2023. aasta üldtoimetist nr 328 „The Road to Paris: stress testing the transition towards a net-zero economy“ (Pariisi kliimakonverentsi eesmärkide saavutamine:</w:t>
            </w:r>
            <w:r>
              <w:t xml:space="preserve"> </w:t>
            </w:r>
            <w:r>
              <w:rPr>
                <w:b/>
                <w:i/>
              </w:rPr>
              <w:t>kliimaneutraalsele majandusele ülemineku stressitest),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EKP 2025. aasta üldtoimetist nr 376 „Capital requirements: a pillar or a burden for banks competitiveness?“ (Kapitalinõuded: kas pankade konkurentsivõime tugisammas või koormus?),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Baseli pangajärelevalve komitee 10. juuli 2025. aasta aruannet „Banks interconnections with non-bank financial intermediaries“ (Pankade seosed pangaväliste finantsvahendajatega),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30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Kindlustus- ja Tööandjapensionide Järelevalve 7. novembri 2024. aasta aruannet kestlikkusriskide usaldatavusnõuete kohase käsitlemise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34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EKP 2025. aasta detsembri aruannet Euroopa usaldatavusnõuete regulatiivse, järelevalve- ja aruandlusraamistiku lihtsustamise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34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EBA 1. oktoobri 2025. aasta aruannet õigus- ja järelevalveraamistiku tõhususe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pangandusliidu eesmärk on kaitsta </w:t>
            </w:r>
            <w:r>
              <w:rPr>
                <w:b/>
                <w:i/>
              </w:rPr>
              <w:t>panganduse</w:t>
            </w:r>
            <w:r>
              <w:t xml:space="preserve"> stabiilsust, vältida maksumaksjate rahastatavaid päästemeetmeid, tugevdada vastupanuvõimet, võimaldada nõuetekohast kriisilahendust, vähendada turu killustatust ning suurendada konkurentsivõimet, piiriülest tegevust ja juurdepääsu rahastamisele</w:t>
            </w:r>
            <w:r>
              <w:rPr>
                <w:b/>
                <w:i/>
              </w:rPr>
              <w:t>, samas kui „pankrotti minemiseks liiga suure“ probleem on endiselt lahendamata</w:t>
            </w:r>
            <w:r>
              <w:t>;</w:t>
            </w:r>
          </w:p>
        </w:tc>
        <w:tc>
          <w:tcPr>
            <w:tcW w:w="4876" w:type="dxa"/>
            <w:tcBorders>
              <w:top w:val="nil"/>
              <w:left w:val="nil"/>
              <w:bottom w:val="nil"/>
              <w:right w:val="nil"/>
            </w:tcBorders>
          </w:tcPr>
          <w:p>
            <w:pPr>
              <w:pStyle w:val="Normal6a"/>
            </w:pPr>
            <w:r>
              <w:t>A.</w:t>
            </w:r>
            <w:r>
              <w:tab/>
            </w:r>
            <w:r>
              <w:t xml:space="preserve">arvestades, et pangandusliidu eesmärk on kaitsta </w:t>
            </w:r>
            <w:r>
              <w:rPr>
                <w:b/>
                <w:i/>
              </w:rPr>
              <w:t>finantssüsteemi</w:t>
            </w:r>
            <w:r>
              <w:t xml:space="preserve"> stabiilsust </w:t>
            </w:r>
            <w:r>
              <w:rPr>
                <w:b/>
                <w:i/>
              </w:rPr>
              <w:t>ja tagada panganduskriisi nõuetekohane ohjamine</w:t>
            </w:r>
            <w:r>
              <w:t>, vältida maksumaksjate rahastatavaid päästemeetmeid, tugevdada vastupanuvõimet, võimaldada nõuetekohast kriisilahendust, vähendada turu killustatust ning suurendada konkurentsivõimet, piiriülest tegevust ja juurdepääsu rahastamisele;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kui „pankrotti minemiseks liiga suure“ probleem on endiselt lahendamata;</w:t>
            </w:r>
          </w:p>
        </w:tc>
        <w:tc>
          <w:tcPr>
            <w:tcW w:w="4876" w:type="dxa"/>
            <w:tcBorders>
              <w:top w:val="nil"/>
              <w:left w:val="nil"/>
              <w:bottom w:val="nil"/>
              <w:right w:val="nil"/>
            </w:tcBorders>
          </w:tcPr>
          <w:p>
            <w:pPr>
              <w:pStyle w:val="Normal6a"/>
            </w:pPr>
            <w:r>
              <w:t>A.</w:t>
            </w:r>
            <w:r>
              <w:tab/>
            </w:r>
            <w:r>
              <w:t>arvestades, et pangandusliidu eesmärk on kaitsta panganduse stabiilsust</w:t>
            </w:r>
            <w:r>
              <w:rPr>
                <w:b/>
                <w:i/>
              </w:rPr>
              <w:t>, katkestades riigi ja pankade kriisiringi</w:t>
            </w:r>
            <w:r>
              <w:t>, vältida maksumaksjate rahastatavaid päästemeetmeid, tugevdada vastupanuvõimet, võimaldada nõuetekohast kriisilahendust, vähendada turu killustatust ning suurendada konkurentsivõimet, piiriülest tegevust ja juurdepääsu rahastamisele, samas kui „pankrotti minemiseks liiga suure“ probleem on endiselt lahendamata;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w:t>
            </w:r>
            <w:r>
              <w:rPr>
                <w:b/>
                <w:i/>
              </w:rPr>
              <w:t>, samas kui „pankrotti minemiseks liiga suure“ probleem on endiselt lahendamata</w:t>
            </w:r>
            <w:r>
              <w:t>;</w:t>
            </w:r>
          </w:p>
        </w:tc>
        <w:tc>
          <w:tcPr>
            <w:tcW w:w="4876" w:type="dxa"/>
            <w:tcBorders>
              <w:top w:val="nil"/>
              <w:left w:val="nil"/>
              <w:bottom w:val="nil"/>
              <w:right w:val="nil"/>
            </w:tcBorders>
          </w:tcPr>
          <w:p>
            <w:pPr>
              <w:pStyle w:val="Normal6a"/>
            </w:pPr>
            <w:r>
              <w:t>A.</w:t>
            </w:r>
            <w:r>
              <w:tab/>
            </w:r>
            <w:r>
              <w:t>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w:t>
            </w:r>
            <w:r>
              <w:rPr>
                <w:b/>
                <w:i/>
              </w:rPr>
              <w:t>kui „pankrotti minemiseks liiga suure“ probleem on endiselt lahendamata</w:t>
            </w:r>
            <w:r>
              <w:t>;</w:t>
            </w:r>
          </w:p>
        </w:tc>
        <w:tc>
          <w:tcPr>
            <w:tcW w:w="4876" w:type="dxa"/>
            <w:tcBorders>
              <w:top w:val="nil"/>
              <w:left w:val="nil"/>
              <w:bottom w:val="nil"/>
              <w:right w:val="nil"/>
            </w:tcBorders>
          </w:tcPr>
          <w:p>
            <w:pPr>
              <w:pStyle w:val="Normal6a"/>
            </w:pPr>
            <w:r>
              <w:t>A.</w:t>
            </w:r>
            <w:r>
              <w:tab/>
            </w:r>
            <w:r>
              <w:t xml:space="preserve">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w:t>
            </w:r>
            <w:r>
              <w:rPr>
                <w:b/>
                <w:i/>
              </w:rPr>
              <w:t>on Euroopa Liidu pangandusmaastik mitmekesine ning erinevad pangandusstruktuurid pakuvad Euroopa kodanikele ja ettevõtjatele mitmesuguseid teenuseid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kui „pankrotti minemiseks liiga </w:t>
            </w:r>
            <w:r>
              <w:rPr>
                <w:b/>
                <w:i/>
              </w:rPr>
              <w:t>suure</w:t>
            </w:r>
            <w:r>
              <w:t xml:space="preserve">“ </w:t>
            </w:r>
            <w:r>
              <w:rPr>
                <w:b/>
                <w:i/>
              </w:rPr>
              <w:t>probleem on</w:t>
            </w:r>
            <w:r>
              <w:t xml:space="preserve"> endiselt </w:t>
            </w:r>
            <w:r>
              <w:rPr>
                <w:b/>
                <w:i/>
              </w:rPr>
              <w:t>lahendamata</w:t>
            </w:r>
            <w:r>
              <w:t>;</w:t>
            </w:r>
          </w:p>
        </w:tc>
        <w:tc>
          <w:tcPr>
            <w:tcW w:w="4876" w:type="dxa"/>
            <w:tcBorders>
              <w:top w:val="nil"/>
              <w:left w:val="nil"/>
              <w:bottom w:val="nil"/>
              <w:right w:val="nil"/>
            </w:tcBorders>
          </w:tcPr>
          <w:p>
            <w:pPr>
              <w:pStyle w:val="Normal6a"/>
            </w:pPr>
            <w:r>
              <w:t>A.</w:t>
            </w:r>
            <w:r>
              <w:tab/>
            </w:r>
            <w:r>
              <w:t xml:space="preserve">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kui </w:t>
            </w:r>
            <w:r>
              <w:rPr>
                <w:b/>
                <w:i/>
              </w:rPr>
              <w:t>jätkuv dünaamika, et mille kohaselt teatavad pangad on</w:t>
            </w:r>
            <w:r>
              <w:t xml:space="preserve"> „pankrotti minemiseks liiga </w:t>
            </w:r>
            <w:r>
              <w:rPr>
                <w:b/>
                <w:i/>
              </w:rPr>
              <w:t>suured</w:t>
            </w:r>
            <w:r>
              <w:t>“</w:t>
            </w:r>
            <w:r>
              <w:rPr>
                <w:b/>
                <w:i/>
              </w:rPr>
              <w:t>, moonutab</w:t>
            </w:r>
            <w:r>
              <w:t xml:space="preserve"> endiselt </w:t>
            </w:r>
            <w:r>
              <w:rPr>
                <w:b/>
                <w:i/>
              </w:rPr>
              <w:t>turustiimuleid ja suurendab kaudseid riigigarantiisid</w:t>
            </w:r>
            <w:r>
              <w:t xml:space="preserve">; </w:t>
            </w:r>
            <w:r>
              <w:rPr>
                <w:b/>
                <w:i/>
              </w:rPr>
              <w:t>nõuab tugevamat turudistsipliini, mitte regulatiivset lisakihti;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kui „pankrotti minemiseks liiga suure“ probleem on endiselt lahendamata;</w:t>
            </w:r>
          </w:p>
        </w:tc>
        <w:tc>
          <w:tcPr>
            <w:tcW w:w="4876" w:type="dxa"/>
            <w:tcBorders>
              <w:top w:val="nil"/>
              <w:left w:val="nil"/>
              <w:bottom w:val="nil"/>
              <w:right w:val="nil"/>
            </w:tcBorders>
          </w:tcPr>
          <w:p>
            <w:pPr>
              <w:pStyle w:val="Normal6a"/>
            </w:pPr>
            <w:r>
              <w:t>A.</w:t>
            </w:r>
            <w:r>
              <w:tab/>
            </w:r>
            <w:r>
              <w:t xml:space="preserve">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w:t>
            </w:r>
            <w:r>
              <w:rPr>
                <w:b/>
                <w:i/>
              </w:rPr>
              <w:t>millega vähendatakse pangaklientide kulusid,</w:t>
            </w:r>
            <w:r>
              <w:t xml:space="preserve"> samas kui „pankrotti minemiseks liiga suure“ probleem on endiselt lahendamata;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pangandusliidu eesmärk on kaitsta panganduse stabiilsust, vältida maksumaksjate rahastatavaid päästemeetmeid, tugevdada vastupanuvõimet, võimaldada nõuetekohast kriisilahendust, vähendada turu killustatust ning suurendada konkurentsivõimet, piiriülest tegevust ja juurdepääsu rahastamisele, samas kui „pankrotti minemiseks liiga suure“ probleem on endiselt lahendamata;</w:t>
            </w:r>
          </w:p>
        </w:tc>
        <w:tc>
          <w:tcPr>
            <w:tcW w:w="4876" w:type="dxa"/>
            <w:tcBorders>
              <w:top w:val="nil"/>
              <w:left w:val="nil"/>
              <w:bottom w:val="nil"/>
              <w:right w:val="nil"/>
            </w:tcBorders>
          </w:tcPr>
          <w:p>
            <w:pPr>
              <w:pStyle w:val="Normal6a"/>
            </w:pPr>
            <w:r>
              <w:t>A.</w:t>
            </w:r>
            <w:r>
              <w:tab/>
            </w:r>
            <w:r>
              <w:t>arvestades, et pangandusliidu eesmärk on kaitsta panganduse stabiilsust, vältida maksumaksjate rahastatavaid päästemeetmeid, tugevdada vastupanuvõimet, võimaldada nõuetekohast kriisilahendust, vähendada turu killustatust</w:t>
            </w:r>
            <w:r>
              <w:rPr>
                <w:b/>
                <w:i/>
              </w:rPr>
              <w:t>, parandada hoiustajate kaitset</w:t>
            </w:r>
            <w:r>
              <w:t xml:space="preserve"> ning suurendada konkurentsivõimet, piiriülest tegevust ja juurdepääsu rahastamisele, samas kui „pankrotti minemiseks liiga suure“ probleem on endiselt lahendamata;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pangandusliidu eesmärgid on</w:t>
            </w:r>
            <w:r>
              <w:t xml:space="preserve"> </w:t>
            </w:r>
            <w:r>
              <w:rPr>
                <w:b/>
                <w:i/>
              </w:rPr>
              <w:t>i) edendada pankade vastupidavust tulevastele finantskriisidele, ii) tagada raskustes olevate pankade kriisilahendus, vältides maksumaksjate raha kasutamist, et minimeerida mõju reaalmajandusele, ning iii) vähendada turu killustatust, kehtestades finantssektori jaoks ühtlustatud reeglid;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tugev ja mitmekülgne pangandussektor on majanduskasvu saavutamise, väikeste ja keskmise suurusega ettevõtjate (VKEd) ja idufirmade rahastamise ning rohe- ja digimajandusele ülemineku tagamise võti;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w:t>
            </w:r>
            <w:r>
              <w:rPr>
                <w:b/>
                <w:i/>
              </w:rPr>
              <w:t>viib</w:t>
            </w:r>
            <w:r>
              <w:t xml:space="preserve"> järelevalve </w:t>
            </w:r>
            <w:r>
              <w:rPr>
                <w:b/>
                <w:i/>
              </w:rPr>
              <w:t>kooskõlla kriisiohjega, kuid ei ole täielik ilma täielikult rakendatud Euroopa hoiusekindlustusskeemita</w:t>
            </w:r>
            <w:r>
              <w:t>;</w:t>
            </w:r>
          </w:p>
        </w:tc>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w:t>
            </w:r>
            <w:r>
              <w:rPr>
                <w:b/>
                <w:i/>
              </w:rPr>
              <w:t>on suurendanud finantsstabiilsust ning parandanud</w:t>
            </w:r>
            <w:r>
              <w:t xml:space="preserve"> järelevalve </w:t>
            </w:r>
            <w:r>
              <w:rPr>
                <w:b/>
                <w:i/>
              </w:rPr>
              <w:t>ja kriisiohje kooskõla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pangandusliit, mis koosneb ühtsest järelevalvemehhanismist </w:t>
            </w:r>
            <w:r>
              <w:rPr>
                <w:b/>
                <w:i/>
              </w:rPr>
              <w:t>ja</w:t>
            </w:r>
            <w:r>
              <w:t xml:space="preserve"> ühtsest kriisilahenduskorrast, viib järelevalve kooskõlla kriisiohjega</w:t>
            </w:r>
            <w:r>
              <w:rPr>
                <w:b/>
                <w:i/>
              </w:rPr>
              <w:t>, kuid ei ole täielik ilma täielikult rakendatud Euroopa hoiusekindlustusskeemita</w:t>
            </w:r>
            <w:r>
              <w:t>;</w:t>
            </w:r>
          </w:p>
        </w:tc>
        <w:tc>
          <w:tcPr>
            <w:tcW w:w="4876" w:type="dxa"/>
            <w:tcBorders>
              <w:top w:val="nil"/>
              <w:left w:val="nil"/>
              <w:bottom w:val="nil"/>
              <w:right w:val="nil"/>
            </w:tcBorders>
          </w:tcPr>
          <w:p>
            <w:pPr>
              <w:pStyle w:val="Normal6a"/>
            </w:pPr>
            <w:r>
              <w:t>B.</w:t>
            </w:r>
            <w:r>
              <w:tab/>
            </w:r>
            <w:r>
              <w:t>arvestades, et pangandusliit, mis koosneb ühtsest järelevalvemehhanismist</w:t>
            </w:r>
            <w:r>
              <w:rPr>
                <w:b/>
                <w:i/>
              </w:rPr>
              <w:t>,</w:t>
            </w:r>
            <w:r>
              <w:t xml:space="preserve"> ühtsest kriisilahenduskorrast </w:t>
            </w:r>
            <w:r>
              <w:rPr>
                <w:b/>
                <w:i/>
              </w:rPr>
              <w:t>ja hoiuste tagamise ühtlustatud reeglitest</w:t>
            </w:r>
            <w:r>
              <w:t>, viib järelevalve kooskõlla kriisiohjega;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w:t>
            </w:r>
            <w:r>
              <w:rPr>
                <w:b/>
                <w:i/>
              </w:rPr>
              <w:t>, kuid ei ole täielik ilma täielikult rakendatud</w:t>
            </w:r>
            <w:r>
              <w:t xml:space="preserve"> Euroopa </w:t>
            </w:r>
            <w:r>
              <w:rPr>
                <w:b/>
                <w:i/>
              </w:rPr>
              <w:t>hoiusekindlustusskeemita</w:t>
            </w:r>
            <w:r>
              <w:t>;</w:t>
            </w:r>
          </w:p>
        </w:tc>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w:t>
            </w:r>
            <w:r>
              <w:rPr>
                <w:b/>
                <w:i/>
              </w:rPr>
              <w:t>;</w:t>
            </w:r>
            <w:r>
              <w:t xml:space="preserve"> </w:t>
            </w:r>
            <w:r>
              <w:rPr>
                <w:b/>
                <w:i/>
              </w:rPr>
              <w:t>märgib, et riiklikud hoiuste tagamise skeemid võeti edukalt kasutusele ja mitmel juhul on need osutunud toimivaks;</w:t>
            </w:r>
            <w:r>
              <w:t xml:space="preserve"> </w:t>
            </w:r>
            <w:r>
              <w:rPr>
                <w:b/>
                <w:i/>
              </w:rPr>
              <w:t>komisjoni uues ettepanekus</w:t>
            </w:r>
            <w:r>
              <w:t xml:space="preserve"> Euroopa </w:t>
            </w:r>
            <w:r>
              <w:rPr>
                <w:b/>
                <w:i/>
              </w:rPr>
              <w:t>hoiuste tagamise skeemi loomise kohta tuleks paremini arvesse võtta riikide eripära, et säilitada väiksemate pankade jaoks hästi toimivad süsteemid, mis on mõnes liikmesriigis juba olemas, tagades samal ajal võrdsed tingimused kogu pangandusliidus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w:t>
            </w:r>
            <w:r>
              <w:rPr>
                <w:b/>
                <w:i/>
              </w:rPr>
              <w:t>, kuid ei ole täielik ilma täielikult rakendatud</w:t>
            </w:r>
            <w:r>
              <w:t xml:space="preserve"> Euroopa </w:t>
            </w:r>
            <w:r>
              <w:rPr>
                <w:b/>
                <w:i/>
              </w:rPr>
              <w:t>hoiusekindlustusskeemita</w:t>
            </w:r>
            <w:r>
              <w:t>;</w:t>
            </w:r>
          </w:p>
        </w:tc>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viib järelevalve kooskõlla kriisiohjega </w:t>
            </w:r>
            <w:r>
              <w:rPr>
                <w:b/>
                <w:i/>
              </w:rPr>
              <w:t>ja tagab hoiuste kõrgetasemelise kaitse ühistele</w:t>
            </w:r>
            <w:r>
              <w:t xml:space="preserve"> Euroopa </w:t>
            </w:r>
            <w:r>
              <w:rPr>
                <w:b/>
                <w:i/>
              </w:rPr>
              <w:t>miinimumstandarditele tuginedes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w:t>
            </w:r>
            <w:r>
              <w:rPr>
                <w:b/>
                <w:i/>
              </w:rPr>
              <w:t>, kuid ei ole täielik ilma täielikult rakendatud Euroopa hoiusekindlustusskeemita</w:t>
            </w:r>
            <w:r>
              <w:t>;</w:t>
            </w:r>
          </w:p>
        </w:tc>
        <w:tc>
          <w:tcPr>
            <w:tcW w:w="4876" w:type="dxa"/>
            <w:tcBorders>
              <w:top w:val="nil"/>
              <w:left w:val="nil"/>
              <w:bottom w:val="nil"/>
              <w:right w:val="nil"/>
            </w:tcBorders>
          </w:tcPr>
          <w:p>
            <w:pPr>
              <w:pStyle w:val="Normal6a"/>
            </w:pPr>
            <w:r>
              <w:t>B.</w:t>
            </w:r>
            <w:r>
              <w:tab/>
            </w:r>
            <w:r>
              <w:t xml:space="preserve">arvestades, et pangandusliit, mis </w:t>
            </w:r>
            <w:r>
              <w:rPr>
                <w:b/>
                <w:i/>
              </w:rPr>
              <w:t>praegu</w:t>
            </w:r>
            <w:r>
              <w:t xml:space="preserve"> koosneb ühtsest järelevalvemehhanismist ja ühtsest kriisilahenduskorrast, viib järelevalve kooskõlla kriisiohjega;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w:t>
            </w:r>
            <w:r>
              <w:rPr>
                <w:b/>
                <w:i/>
              </w:rPr>
              <w:t>, kuid ei ole täielik ilma täielikult rakendatud Euroopa hoiusekindlustusskeemita</w:t>
            </w:r>
            <w:r>
              <w:t>;</w:t>
            </w:r>
          </w:p>
        </w:tc>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viib järelevalve kooskõlla kriisiohjega, kuid ei ole täielik </w:t>
            </w:r>
            <w:r>
              <w:rPr>
                <w:b/>
                <w:i/>
              </w:rPr>
              <w:t>ilma täielikult rakendatud Euroopa hoiusekindlustusskeemita</w:t>
            </w:r>
            <w:r>
              <w:t>;</w:t>
            </w:r>
          </w:p>
        </w:tc>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viib järelevalve kooskõlla kriisiohjega, kuid ei ole </w:t>
            </w:r>
            <w:r>
              <w:rPr>
                <w:b/>
                <w:i/>
              </w:rPr>
              <w:t>struktuurselt</w:t>
            </w:r>
            <w:r>
              <w:t xml:space="preserve"> täielik </w:t>
            </w:r>
            <w:r>
              <w:rPr>
                <w:b/>
                <w:i/>
              </w:rPr>
              <w:t>ega tõhus;</w:t>
            </w:r>
            <w:r>
              <w:t xml:space="preserve"> </w:t>
            </w:r>
            <w:r>
              <w:rPr>
                <w:b/>
                <w:i/>
              </w:rPr>
              <w:t>rõhutab, et riskijagamine ilma turuvastutuseta moonutab konkurentsi neutraalsust ja toob vastutustundliku eelarvepoliitikaga liikmesriikidele kaasa põhjendamatud tingimuslikud kohustused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viib järelevalve kooskõlla kriisiohjega, kuid ei ole täielik ilma täielikult </w:t>
            </w:r>
            <w:r>
              <w:rPr>
                <w:b/>
                <w:i/>
              </w:rPr>
              <w:t>rakendatud Euroopa hoiusekindlustusskeemita</w:t>
            </w:r>
            <w:r>
              <w:t>;</w:t>
            </w:r>
          </w:p>
        </w:tc>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viib järelevalve kooskõlla kriisiohjega, kuid ei ole täielik ilma </w:t>
            </w:r>
            <w:r>
              <w:rPr>
                <w:b/>
                <w:i/>
              </w:rPr>
              <w:t>selleta, et Euroopa hoiusekindlustusskeemis võetakse</w:t>
            </w:r>
            <w:r>
              <w:t xml:space="preserve"> täielikult </w:t>
            </w:r>
            <w:r>
              <w:rPr>
                <w:b/>
                <w:i/>
              </w:rPr>
              <w:t>arvesse riikide eripärasid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 kuid ei ole täielik ilma täielikult rakendatud Euroopa hoiusekindlustusskeemita;</w:t>
            </w:r>
          </w:p>
        </w:tc>
        <w:tc>
          <w:tcPr>
            <w:tcW w:w="4876" w:type="dxa"/>
            <w:tcBorders>
              <w:top w:val="nil"/>
              <w:left w:val="nil"/>
              <w:bottom w:val="nil"/>
              <w:right w:val="nil"/>
            </w:tcBorders>
          </w:tcPr>
          <w:p>
            <w:pPr>
              <w:pStyle w:val="Normal6a"/>
            </w:pPr>
            <w:r>
              <w:t>B.</w:t>
            </w:r>
            <w:r>
              <w:tab/>
            </w:r>
            <w:r>
              <w:t xml:space="preserve">arvestades, et pangandusliit, mis koosneb ühtsest järelevalvemehhanismist ja ühtsest kriisilahenduskorrast, viib järelevalve kooskõlla kriisiohjega, kuid ei ole täielik ilma täielikult rakendatud Euroopa hoiusekindlustusskeemita </w:t>
            </w:r>
            <w:r>
              <w:rPr>
                <w:b/>
                <w:i/>
              </w:rPr>
              <w:t>ja ühise kriisilahendusfondi ühise kaitsekorrata, mis sõltub muudetud Euroopa stabiilsusmehhanismi asutamislepingu ratifitseerimisest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 viib järelevalve kooskõlla kriisiohjega, kuid ei ole täielik ilma täielikult rakendatud Euroopa hoiusekindlustusskeemita;</w:t>
            </w:r>
          </w:p>
        </w:tc>
        <w:tc>
          <w:tcPr>
            <w:tcW w:w="4876" w:type="dxa"/>
            <w:tcBorders>
              <w:top w:val="nil"/>
              <w:left w:val="nil"/>
              <w:bottom w:val="nil"/>
              <w:right w:val="nil"/>
            </w:tcBorders>
          </w:tcPr>
          <w:p>
            <w:pPr>
              <w:pStyle w:val="Normal6a"/>
            </w:pPr>
            <w:r>
              <w:t>B.</w:t>
            </w:r>
            <w:r>
              <w:tab/>
            </w:r>
            <w:r>
              <w:t>arvestades, et pangandusliit, mis koosneb ühtsest järelevalvemehhanismist ja ühtsest kriisilahenduskorrast</w:t>
            </w:r>
            <w:r>
              <w:rPr>
                <w:b/>
                <w:i/>
              </w:rPr>
              <w:t>, mille aluseks on ühtne reeglistik</w:t>
            </w:r>
            <w:r>
              <w:t>, viib järelevalve kooskõlla kriisiohjega, kuid ei ole täielik ilma täielikult rakendatud Euroopa hoiusekindlustusskeemita;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väljakujundatud pangandusliit oleks hea kodanikele ja ELi majandusele, kuna see looks aluse stabiilsemale pangandussüsteemile, süsteemse riski vähendamisele, tõhustatud konkurentsile, tarbijate valikuvõimaluste parandamisele, piiriülese panganduse võimaluste suurenemisele ning jaefinantsteenuste kättesaadavusele, suurematele majandusinvesteeringutele, kodumajapidamiste ja ettevõtjate paremale rahastamisele juurdepääsule ning pangaklientide kulude vähenemisele;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EKP julgustab pangandusliidu väljakujundamist, et edendada piiriülest integratsiooni ja võimaldada tõhusamat kapitalipaigutust kui tingimusi, mis on vajalikud, et kaotada praegune ebasoodne konkurentsiolukord, millega ELi pangad seisavad silmitsi mastaabisäästu puudumise tõttu, ning arvestades, et EKP soovitab ka lihtsustada Euroopa usaldatavusnõuete regulatiivset, järelevalve- ja aruandlusraamistikku;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väljaspool pangandusliidu struktuuri tegutsevad endiselt pangandusvälised finantsvahendajad (ehk varipangad), mistõttu on ELI pangandussektor avatud spetsiifilistele riskidele, mis tulenevad ühe tihenevatest seostest pangandusväliste finantsvahendajate ja pangandussektori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stabiilne, vastupidav, dünaamiline ja konkurentsivõimeline pangandussektor on hädavajalik majanduskasvuks, väikeste ja keskmise suurusega ettevõtjate toetamiseks, eluaseme omamise võimaluste suurendamiseks, innovatsiooniks, investeeringuteks ja majanduslike võimaluste laiendamiseks kõigi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optimaalseid valuutapiirkondi käsitleva kirjanduse kohaselt on täielik pangandusliit äärmiselt oluline, et vältida šokkide asümmeetrilist mõju kogu ELis, mis toob kaasa suurema finants- ja majandusliku stabiilsuse ning vastupanuvõime;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arvestades, et EL peaks Basel III standardeid viivitamata täielikult rakendama;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 </w:t>
            </w:r>
            <w:r>
              <w:rPr>
                <w:b/>
                <w:i/>
              </w:rPr>
              <w:t>peaks</w:t>
            </w:r>
            <w:r>
              <w:t xml:space="preserve"> Basel III </w:t>
            </w:r>
            <w:r>
              <w:rPr>
                <w:b/>
                <w:i/>
              </w:rPr>
              <w:t>standardeid viivitamata täielikult rakendama</w:t>
            </w:r>
            <w:r>
              <w:t>;</w:t>
            </w:r>
          </w:p>
        </w:tc>
        <w:tc>
          <w:tcPr>
            <w:tcW w:w="4876" w:type="dxa"/>
            <w:tcBorders>
              <w:top w:val="nil"/>
              <w:left w:val="nil"/>
              <w:bottom w:val="nil"/>
              <w:right w:val="nil"/>
            </w:tcBorders>
          </w:tcPr>
          <w:p>
            <w:pPr>
              <w:pStyle w:val="Normal6a"/>
            </w:pPr>
            <w:r>
              <w:t>C.</w:t>
            </w:r>
            <w:r>
              <w:tab/>
            </w:r>
            <w:r>
              <w:rPr>
                <w:b/>
                <w:i/>
              </w:rPr>
              <w:t>arvestades, et finantsstabiilsus on tulemusliku rahapoliitika ja vastupidava finantssüsteemi eeltingimus, ning</w:t>
            </w:r>
            <w:r>
              <w:t xml:space="preserve"> arvestades, et EL </w:t>
            </w:r>
            <w:r>
              <w:rPr>
                <w:b/>
                <w:i/>
              </w:rPr>
              <w:t>on juba kokku leppinud</w:t>
            </w:r>
            <w:r>
              <w:t xml:space="preserve"> Basel III </w:t>
            </w:r>
            <w:r>
              <w:rPr>
                <w:b/>
                <w:i/>
              </w:rPr>
              <w:t>raamistiku rakendamises;</w:t>
            </w:r>
            <w:r>
              <w:t xml:space="preserve"> </w:t>
            </w:r>
            <w:r>
              <w:rPr>
                <w:b/>
                <w:i/>
              </w:rPr>
              <w:t>oluline on ka tagada õige tasakaal finantsstabiilsuse, rahvusvaheliste raamistike järgimise ja rahvusvahelisel tasandil võrdsete võimaluste vahel, et tagada Euroopa pankade suutlikkus konkureerida võrdsetel alustel teiste jurisdiktsioonide pankadega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w:t>
            </w:r>
            <w:r>
              <w:rPr>
                <w:b/>
                <w:i/>
              </w:rPr>
              <w:t>EL peaks</w:t>
            </w:r>
            <w:r>
              <w:t xml:space="preserve"> Basel III </w:t>
            </w:r>
            <w:r>
              <w:rPr>
                <w:b/>
                <w:i/>
              </w:rPr>
              <w:t>standardeid viivitamata täielikult rakendama</w:t>
            </w:r>
            <w:r>
              <w:t>;</w:t>
            </w:r>
          </w:p>
        </w:tc>
        <w:tc>
          <w:tcPr>
            <w:tcW w:w="4876" w:type="dxa"/>
            <w:tcBorders>
              <w:top w:val="nil"/>
              <w:left w:val="nil"/>
              <w:bottom w:val="nil"/>
              <w:right w:val="nil"/>
            </w:tcBorders>
          </w:tcPr>
          <w:p>
            <w:pPr>
              <w:pStyle w:val="Normal6a"/>
            </w:pPr>
            <w:r>
              <w:t>C.</w:t>
            </w:r>
            <w:r>
              <w:tab/>
            </w:r>
            <w:r>
              <w:t xml:space="preserve">arvestades, et Basel III </w:t>
            </w:r>
            <w:r>
              <w:rPr>
                <w:b/>
                <w:i/>
              </w:rPr>
              <w:t>eeskirju tuleks kohandada Euroopa pangandussektori eripäradega, võttes arvesse proportsionaalsuse kriteeriumi ja lihtsustamist väiksemate pankade jaoks, mis on kooskõlas Euroopa Keskpanga kõrgetasemelise lihtsustamise rakkerühma tulemustega, mida toetab EKP nõukogu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 peaks Basel III standardeid </w:t>
            </w:r>
            <w:r>
              <w:rPr>
                <w:b/>
                <w:i/>
              </w:rPr>
              <w:t>viivitamata täielikult</w:t>
            </w:r>
            <w:r>
              <w:t xml:space="preserve"> rakendama;</w:t>
            </w:r>
          </w:p>
        </w:tc>
        <w:tc>
          <w:tcPr>
            <w:tcW w:w="4876" w:type="dxa"/>
            <w:tcBorders>
              <w:top w:val="nil"/>
              <w:left w:val="nil"/>
              <w:bottom w:val="nil"/>
              <w:right w:val="nil"/>
            </w:tcBorders>
          </w:tcPr>
          <w:p>
            <w:pPr>
              <w:pStyle w:val="Normal6a"/>
            </w:pPr>
            <w:r>
              <w:t>C.</w:t>
            </w:r>
            <w:r>
              <w:tab/>
            </w:r>
            <w:r>
              <w:t xml:space="preserve">arvestades, et EL peaks Basel III standardeid </w:t>
            </w:r>
            <w:r>
              <w:rPr>
                <w:b/>
                <w:i/>
              </w:rPr>
              <w:t>järjekindlalt</w:t>
            </w:r>
            <w:r>
              <w:t xml:space="preserve"> rakendama</w:t>
            </w:r>
            <w:r>
              <w:rPr>
                <w:b/>
                <w:i/>
              </w:rPr>
              <w:t>, tagades samal ajal proportsionaalse, järkjärgulise ja kohandatud rakendamise vastavalt Euroopa finantssüsteemi eripärale, ilma et see piiraks ELi pangandussüsteemi konkurentsivõimet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 peaks Basel III standardeid </w:t>
            </w:r>
            <w:r>
              <w:rPr>
                <w:b/>
                <w:i/>
              </w:rPr>
              <w:t>viivitamata täielikult rakendama</w:t>
            </w:r>
            <w:r>
              <w:t>;</w:t>
            </w:r>
          </w:p>
        </w:tc>
        <w:tc>
          <w:tcPr>
            <w:tcW w:w="4876" w:type="dxa"/>
            <w:tcBorders>
              <w:top w:val="nil"/>
              <w:left w:val="nil"/>
              <w:bottom w:val="nil"/>
              <w:right w:val="nil"/>
            </w:tcBorders>
          </w:tcPr>
          <w:p>
            <w:pPr>
              <w:pStyle w:val="Normal6a"/>
            </w:pPr>
            <w:r>
              <w:t>C.</w:t>
            </w:r>
            <w:r>
              <w:tab/>
            </w:r>
            <w:r>
              <w:t xml:space="preserve">arvestades, et EL peaks </w:t>
            </w:r>
            <w:r>
              <w:rPr>
                <w:b/>
                <w:i/>
              </w:rPr>
              <w:t>viivitamata rakendama</w:t>
            </w:r>
            <w:r>
              <w:t xml:space="preserve"> Basel III standardeid </w:t>
            </w:r>
            <w:r>
              <w:rPr>
                <w:b/>
                <w:i/>
              </w:rPr>
              <w:t>viisil, mis kaitseb Euroopa pangandussektori rahvusvahelist konkurentsivõimet ja tagab ülemaailmselt võrdsed tingimused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EL peaks Basel III standardeid viivitamata täielikult rakendama;</w:t>
            </w:r>
          </w:p>
        </w:tc>
        <w:tc>
          <w:tcPr>
            <w:tcW w:w="4876" w:type="dxa"/>
            <w:tcBorders>
              <w:top w:val="nil"/>
              <w:left w:val="nil"/>
              <w:bottom w:val="nil"/>
              <w:right w:val="nil"/>
            </w:tcBorders>
          </w:tcPr>
          <w:p>
            <w:pPr>
              <w:pStyle w:val="Normal6a"/>
            </w:pPr>
            <w:r>
              <w:t>C.</w:t>
            </w:r>
            <w:r>
              <w:tab/>
            </w:r>
            <w:r>
              <w:t>arvestades, et EL peaks Basel III standardeid viivitamata täielikult rakendama</w:t>
            </w:r>
            <w:r>
              <w:rPr>
                <w:b/>
                <w:i/>
              </w:rPr>
              <w:t>, kahjustamata pangandussektori rahvusvahelist konkurentsivõimet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EL peaks Basel III standardeid viivitamata täielikult rakendama;</w:t>
            </w:r>
          </w:p>
        </w:tc>
        <w:tc>
          <w:tcPr>
            <w:tcW w:w="4876" w:type="dxa"/>
            <w:tcBorders>
              <w:top w:val="nil"/>
              <w:left w:val="nil"/>
              <w:bottom w:val="nil"/>
              <w:right w:val="nil"/>
            </w:tcBorders>
          </w:tcPr>
          <w:p>
            <w:pPr>
              <w:pStyle w:val="Normal6a"/>
            </w:pPr>
            <w:r>
              <w:t>C.</w:t>
            </w:r>
            <w:r>
              <w:tab/>
            </w:r>
            <w:r>
              <w:rPr>
                <w:b/>
                <w:i/>
              </w:rPr>
              <w:t>arvestades, et EL on rakendanud Basel III standardeid kõigi pankade suhtes, olenemata nende suurusest ja tegevuse ulatusest;</w:t>
            </w:r>
            <w:r>
              <w:t xml:space="preserve"> arvestades, et EL peaks Basel III standardeid viivitamata täielikult rakendama </w:t>
            </w:r>
            <w:r>
              <w:rPr>
                <w:b/>
                <w:i/>
              </w:rPr>
              <w:t>ainult rahvusvaheliselt tegutsevate Euroopa pankade suhtes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EL peaks Basel III standardeid viivitamata täielikult rakendama;</w:t>
            </w:r>
          </w:p>
        </w:tc>
        <w:tc>
          <w:tcPr>
            <w:tcW w:w="4876" w:type="dxa"/>
            <w:tcBorders>
              <w:top w:val="nil"/>
              <w:left w:val="nil"/>
              <w:bottom w:val="nil"/>
              <w:right w:val="nil"/>
            </w:tcBorders>
          </w:tcPr>
          <w:p>
            <w:pPr>
              <w:pStyle w:val="Normal6a"/>
            </w:pPr>
            <w:r>
              <w:t>C.</w:t>
            </w:r>
            <w:r>
              <w:tab/>
            </w:r>
            <w:r>
              <w:t>arvestades, et EL peaks Basel III standardeid viivitamata täielikult rakendama</w:t>
            </w:r>
            <w:r>
              <w:rPr>
                <w:b/>
                <w:i/>
              </w:rPr>
              <w:t>, võttes ühtlasi arvesse ülemaailmsel tasandil võrdsete võimaluste tagamise tähtsust ja ELi pankade olulist rolli majanduse, sealhulgas leibkondade ja VKEde rahastamisel ning pangandusüsteemi konkurentsivõime tagamisel</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 peaks </w:t>
            </w:r>
            <w:r>
              <w:rPr>
                <w:b/>
                <w:i/>
              </w:rPr>
              <w:t>Basel III standardeid</w:t>
            </w:r>
            <w:r>
              <w:t xml:space="preserve"> viivitamata täielikult rakendama;</w:t>
            </w:r>
          </w:p>
        </w:tc>
        <w:tc>
          <w:tcPr>
            <w:tcW w:w="4876" w:type="dxa"/>
            <w:tcBorders>
              <w:top w:val="nil"/>
              <w:left w:val="nil"/>
              <w:bottom w:val="nil"/>
              <w:right w:val="nil"/>
            </w:tcBorders>
          </w:tcPr>
          <w:p>
            <w:pPr>
              <w:pStyle w:val="Normal6a"/>
            </w:pPr>
            <w:r>
              <w:t>C.</w:t>
            </w:r>
            <w:r>
              <w:tab/>
            </w:r>
            <w:r>
              <w:t xml:space="preserve">arvestades, et EL peaks viivitamata täielikult rakendama </w:t>
            </w:r>
            <w:r>
              <w:rPr>
                <w:b/>
                <w:i/>
              </w:rPr>
              <w:t>Basel III standardeid, sealhulgas tururiski raamistikku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EL peaks Basel III standardeid viivitamata täielikult rakendama;</w:t>
            </w:r>
          </w:p>
        </w:tc>
        <w:tc>
          <w:tcPr>
            <w:tcW w:w="4876" w:type="dxa"/>
            <w:tcBorders>
              <w:top w:val="nil"/>
              <w:left w:val="nil"/>
              <w:bottom w:val="nil"/>
              <w:right w:val="nil"/>
            </w:tcBorders>
          </w:tcPr>
          <w:p>
            <w:pPr>
              <w:pStyle w:val="Normal6a"/>
            </w:pPr>
            <w:r>
              <w:t>C.</w:t>
            </w:r>
            <w:r>
              <w:tab/>
            </w:r>
            <w:r>
              <w:t xml:space="preserve">arvestades, et EL peaks Basel III standardeid viivitamata täielikult rakendama; </w:t>
            </w:r>
            <w:r>
              <w:rPr>
                <w:b/>
                <w:i/>
              </w:rPr>
              <w:t>suhtub kriitiliselt sellesse, et EL on korduvalt edasi lükanud ja kaldunud kõrvale rahvusvahelistest Baseli standarditest, muu hulgas lükates edasi 2026. aastasse tururiski eeskirjade kohaldamise, mis tekitab õiguslikku arbitraaži ja seab ELi pangad ülemaailmsetel hulgimüügiturgudel ebasoodsasse konkurentsiolukorda;</w:t>
            </w:r>
            <w:r>
              <w:t xml:space="preserve"> </w:t>
            </w:r>
            <w:r>
              <w:rPr>
                <w:b/>
                <w:i/>
              </w:rPr>
              <w:t>selline ebaühtlane rakendamine moonutab võrdseid tingimusi ja suurendab riskikapitali ebatõhusa eraldamisega süsteemset riski;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Venemaa agressioonil Ukraina vastu ning selle majanduslikel ja sotsiaalsetel tagajärgedel on praegu ja edaspidi ELi pangandussektorile otsene ja kaudne mõju;</w:t>
            </w:r>
            <w:r>
              <w:t xml:space="preserve"> </w:t>
            </w:r>
            <w:r>
              <w:rPr>
                <w:b/>
                <w:i/>
              </w:rPr>
              <w:t>arvestades, et ELi pankadel on keskne roll nende sanktsioonide jätkuva rakendamise ja järgimise tagamisel, mille EL kehtestas Venemaale reaktsioonina Ukrainasse tungimisele;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arvestades, et rahanduse digiteerimine annab pangandussektorile ulatuslikke võimalusi ja on toonud ELi pangandussektoris kaasa olulise tehnoloogilise edasimineku tänu pangandusteenuste osutamise suuremale tõhususele ning suuremale huvile innovatsiooni ja andmete jagamise vastu, kuid see tekitab ka probleeme, sealhulgas seoses küberriskide, andmekaitse, maineriskide, rahapesuvastaste riskide ja tarbijakaitseprobleemidega;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arvestades, et pangandusliidu üks peamisi eesmärke on see, et maksumaksjad ei peaks panga maksejõuetuse korral kandma parandusmeetmete kulusid;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arvestades, et pankade bilansiriskide hindamisel tuleb arvesse võtta kliimamuutusi, keskkonnariske ja üleminekut vähese CO</w:t>
            </w:r>
            <w:r>
              <w:rPr>
                <w:b/>
                <w:i/>
                <w:vertAlign w:val="subscript"/>
              </w:rPr>
              <w:t>2</w:t>
            </w:r>
            <w:r>
              <w:rPr>
                <w:b/>
                <w:i/>
              </w:rPr>
              <w:t xml:space="preserve"> heitega majandusele;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arvestades, et pankade bilansiriskide hindamisel tuleb arvesse võtta kliimamuutusi, keskkonnariske ja üleminekut vähese CO</w:t>
            </w:r>
            <w:r>
              <w:rPr>
                <w:b/>
                <w:i/>
                <w:vertAlign w:val="subscript"/>
              </w:rPr>
              <w:t>2</w:t>
            </w:r>
            <w:r>
              <w:rPr>
                <w:b/>
                <w:i/>
              </w:rPr>
              <w:t xml:space="preserve"> heitega majandusele;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arvestades, et pankade bilansiriskide hindamisel tuleb arvesse võtta kliimamuutusi, keskkonnariske ja üleminekut vähese CO</w:t>
            </w:r>
            <w:r>
              <w:rPr>
                <w:b/>
                <w:i/>
                <w:vertAlign w:val="subscript"/>
              </w:rPr>
              <w:t>2</w:t>
            </w:r>
            <w:r>
              <w:rPr>
                <w:b/>
                <w:i/>
              </w:rPr>
              <w:t xml:space="preserve"> heitega majandusele;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arvestades, et pankade bilansiriskide hindamisel tuleb arvesse võtta kliimamuutusi, keskkonnariske ja üleminekut vähese CO</w:t>
            </w:r>
            <w:r>
              <w:rPr>
                <w:b/>
                <w:i/>
                <w:vertAlign w:val="subscript"/>
              </w:rPr>
              <w:t>2</w:t>
            </w:r>
            <w:r>
              <w:rPr>
                <w:b/>
                <w:i/>
              </w:rPr>
              <w:t xml:space="preserve"> heitega majandusele;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w:t>
            </w:r>
            <w:r>
              <w:rPr>
                <w:b/>
                <w:i/>
              </w:rPr>
              <w:t>pankade bilansiriskide hindamisel tuleb arvesse võtta kliimamuutusi, keskkonnariske ja üleminekut vähese CO</w:t>
            </w:r>
            <w:r>
              <w:rPr>
                <w:b/>
                <w:i/>
                <w:vertAlign w:val="subscript"/>
              </w:rPr>
              <w:t>2</w:t>
            </w:r>
            <w:r>
              <w:t xml:space="preserve"> </w:t>
            </w:r>
            <w:r>
              <w:rPr>
                <w:b/>
                <w:i/>
              </w:rPr>
              <w:t>heitega majandusele</w:t>
            </w:r>
            <w:r>
              <w:t>;</w:t>
            </w:r>
          </w:p>
        </w:tc>
        <w:tc>
          <w:tcPr>
            <w:tcW w:w="4876" w:type="dxa"/>
            <w:tcBorders>
              <w:top w:val="nil"/>
              <w:left w:val="nil"/>
              <w:bottom w:val="nil"/>
              <w:right w:val="nil"/>
            </w:tcBorders>
          </w:tcPr>
          <w:p>
            <w:pPr>
              <w:pStyle w:val="Normal6a"/>
            </w:pPr>
            <w:r>
              <w:t>D.</w:t>
            </w:r>
            <w:r>
              <w:tab/>
            </w:r>
            <w:r>
              <w:t xml:space="preserve">arvestades, et </w:t>
            </w:r>
            <w:r>
              <w:rPr>
                <w:b/>
                <w:i/>
              </w:rPr>
              <w:t>kindlasti ei tohi allutada traditsioonilisi riskinäitajaid poliitiliselt ajendatud keskkonnaeesmärkidele, mis võivad paisutada kapitalinõudeid ja piirata laenupakkumist seal, kus see on kõige tootlikum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pankade bilansiriskide hindamisel </w:t>
            </w:r>
            <w:r>
              <w:rPr>
                <w:b/>
                <w:i/>
              </w:rPr>
              <w:t>tuleb</w:t>
            </w:r>
            <w:r>
              <w:t xml:space="preserve"> arvesse võtta kliimamuutusi, keskkonnariske ja üleminekut vähese CO</w:t>
            </w:r>
            <w:r>
              <w:rPr>
                <w:vertAlign w:val="subscript"/>
              </w:rPr>
              <w:t>2</w:t>
            </w:r>
            <w:r>
              <w:t xml:space="preserve"> heitega majandusele;</w:t>
            </w:r>
          </w:p>
        </w:tc>
        <w:tc>
          <w:tcPr>
            <w:tcW w:w="4876" w:type="dxa"/>
            <w:tcBorders>
              <w:top w:val="nil"/>
              <w:left w:val="nil"/>
              <w:bottom w:val="nil"/>
              <w:right w:val="nil"/>
            </w:tcBorders>
          </w:tcPr>
          <w:p>
            <w:pPr>
              <w:pStyle w:val="Normal6a"/>
            </w:pPr>
            <w:r>
              <w:t>D.</w:t>
            </w:r>
            <w:r>
              <w:tab/>
            </w:r>
            <w:r>
              <w:t xml:space="preserve">arvestades, et pankade bilansiriskide hindamisel </w:t>
            </w:r>
            <w:r>
              <w:rPr>
                <w:b/>
                <w:i/>
              </w:rPr>
              <w:t>võib</w:t>
            </w:r>
            <w:r>
              <w:t xml:space="preserve"> arvesse võtta kliimamuutusi, keskkonnariske ja üleminekut vähese CO</w:t>
            </w:r>
            <w:r>
              <w:rPr>
                <w:vertAlign w:val="subscript"/>
              </w:rPr>
              <w:t>2</w:t>
            </w:r>
            <w:r>
              <w:t xml:space="preserve"> heitega majandusele </w:t>
            </w:r>
            <w:r>
              <w:rPr>
                <w:b/>
                <w:i/>
              </w:rPr>
              <w:t>ainult juhul, kui see mõjutab finantsstabiilsust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pankade bilansiriskide hindamisel tuleb arvesse võtta kliimamuutusi, keskkonnariske ja üleminekut </w:t>
            </w:r>
            <w:r>
              <w:rPr>
                <w:b/>
                <w:i/>
              </w:rPr>
              <w:t>vähese CO</w:t>
            </w:r>
            <w:r>
              <w:rPr>
                <w:b/>
                <w:i/>
                <w:vertAlign w:val="subscript"/>
              </w:rPr>
              <w:t>2</w:t>
            </w:r>
            <w:r>
              <w:t xml:space="preserve"> </w:t>
            </w:r>
            <w:r>
              <w:rPr>
                <w:b/>
                <w:i/>
              </w:rPr>
              <w:t>heitega</w:t>
            </w:r>
            <w:r>
              <w:t xml:space="preserve"> majandusele;</w:t>
            </w:r>
          </w:p>
        </w:tc>
        <w:tc>
          <w:tcPr>
            <w:tcW w:w="4876" w:type="dxa"/>
            <w:tcBorders>
              <w:top w:val="nil"/>
              <w:left w:val="nil"/>
              <w:bottom w:val="nil"/>
              <w:right w:val="nil"/>
            </w:tcBorders>
          </w:tcPr>
          <w:p>
            <w:pPr>
              <w:pStyle w:val="Normal6a"/>
            </w:pPr>
            <w:r>
              <w:t>D.</w:t>
            </w:r>
            <w:r>
              <w:tab/>
            </w:r>
            <w:r>
              <w:t xml:space="preserve">arvestades, et pankade bilansiriskide hindamisel tuleb arvesse võtta kliimamuutusi, keskkonnariske ja üleminekut </w:t>
            </w:r>
            <w:r>
              <w:rPr>
                <w:b/>
                <w:i/>
              </w:rPr>
              <w:t>kliimaneutraalsele</w:t>
            </w:r>
            <w:r>
              <w:t xml:space="preserve"> majandusele;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digieuro </w:t>
            </w:r>
            <w:r>
              <w:rPr>
                <w:b/>
                <w:i/>
              </w:rPr>
              <w:t>võiks suurendada ELi maksete tõhusust, vastupanuvõimet, finantsalast kaasatust, innovatsiooni, üldsuse usaldust ja euro rahvusvahelist rolli</w:t>
            </w:r>
            <w:r>
              <w:t>;</w:t>
            </w:r>
          </w:p>
        </w:tc>
        <w:tc>
          <w:tcPr>
            <w:tcW w:w="4876" w:type="dxa"/>
            <w:tcBorders>
              <w:top w:val="nil"/>
              <w:left w:val="nil"/>
              <w:bottom w:val="nil"/>
              <w:right w:val="nil"/>
            </w:tcBorders>
          </w:tcPr>
          <w:p>
            <w:pPr>
              <w:pStyle w:val="Normal6a"/>
            </w:pPr>
            <w:r>
              <w:t>E.</w:t>
            </w:r>
            <w:r>
              <w:tab/>
            </w:r>
            <w:r>
              <w:t xml:space="preserve">arvestades, et digieuro </w:t>
            </w:r>
            <w:r>
              <w:rPr>
                <w:b/>
                <w:i/>
              </w:rPr>
              <w:t>projekt tekitab probleeme ja võimalikke ohte ELi pangandussektori likviidsusele ja stabiilsusele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digieuro </w:t>
            </w:r>
            <w:r>
              <w:rPr>
                <w:b/>
                <w:i/>
              </w:rPr>
              <w:t>võiks</w:t>
            </w:r>
            <w:r>
              <w:t xml:space="preserve"> suurendada ELi maksete tõhusust</w:t>
            </w:r>
            <w:r>
              <w:rPr>
                <w:b/>
                <w:i/>
              </w:rPr>
              <w:t>,</w:t>
            </w:r>
            <w:r>
              <w:t xml:space="preserve"> vastupanuvõimet, </w:t>
            </w:r>
            <w:r>
              <w:rPr>
                <w:b/>
                <w:i/>
              </w:rPr>
              <w:t>finantsalast kaasatust, innovatsiooni, üldsuse usaldust ja euro rahvusvahelist rolli</w:t>
            </w:r>
            <w:r>
              <w:t>;</w:t>
            </w:r>
          </w:p>
        </w:tc>
        <w:tc>
          <w:tcPr>
            <w:tcW w:w="4876" w:type="dxa"/>
            <w:tcBorders>
              <w:top w:val="nil"/>
              <w:left w:val="nil"/>
              <w:bottom w:val="nil"/>
              <w:right w:val="nil"/>
            </w:tcBorders>
          </w:tcPr>
          <w:p>
            <w:pPr>
              <w:pStyle w:val="Normal6a"/>
            </w:pPr>
            <w:r>
              <w:t>E.</w:t>
            </w:r>
            <w:r>
              <w:tab/>
            </w:r>
            <w:r>
              <w:t xml:space="preserve">arvestades, et </w:t>
            </w:r>
            <w:r>
              <w:rPr>
                <w:b/>
                <w:i/>
              </w:rPr>
              <w:t>võrguväline ja hulgitasandi</w:t>
            </w:r>
            <w:r>
              <w:t xml:space="preserve"> digieuro </w:t>
            </w:r>
            <w:r>
              <w:rPr>
                <w:b/>
                <w:i/>
              </w:rPr>
              <w:t>võib</w:t>
            </w:r>
            <w:r>
              <w:t xml:space="preserve"> suurendada ELi maksete tõhusust </w:t>
            </w:r>
            <w:r>
              <w:rPr>
                <w:b/>
                <w:i/>
              </w:rPr>
              <w:t>ja</w:t>
            </w:r>
            <w:r>
              <w:t xml:space="preserve"> vastupanuvõimet, </w:t>
            </w:r>
            <w:r>
              <w:rPr>
                <w:b/>
                <w:i/>
              </w:rPr>
              <w:t>kuid võib ka oluliselt nõrgestada kommertspankade hoiusebaase ja kahjustada finantsstabiilsust, stimuleerides liikumist keskpanga hoiuste suunas, eriti stressiperioodidel</w:t>
            </w:r>
            <w:r>
              <w:t xml:space="preserve">; </w:t>
            </w:r>
            <w:r>
              <w:rPr>
                <w:b/>
                <w:i/>
              </w:rPr>
              <w:t>selline muutus võib vähendada pankade võimet anda laenu kodumajapidamistele ja VKEdele, suurendades sõltuvust tsentraliseeritud rahastamismehhanismidest, mitte hajutatud turupõhisest rahastamisest;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digieuro </w:t>
            </w:r>
            <w:r>
              <w:rPr>
                <w:b/>
                <w:i/>
              </w:rPr>
              <w:t>võiks suurendada</w:t>
            </w:r>
            <w:r>
              <w:t xml:space="preserve"> ELi maksete tõhusust, vastupanuvõimet, finantsalast kaasatust, innovatsiooni, üldsuse usaldust ja euro rahvusvahelist rolli;</w:t>
            </w:r>
          </w:p>
        </w:tc>
        <w:tc>
          <w:tcPr>
            <w:tcW w:w="4876" w:type="dxa"/>
            <w:tcBorders>
              <w:top w:val="nil"/>
              <w:left w:val="nil"/>
              <w:bottom w:val="nil"/>
              <w:right w:val="nil"/>
            </w:tcBorders>
          </w:tcPr>
          <w:p>
            <w:pPr>
              <w:pStyle w:val="Normal6a"/>
            </w:pPr>
            <w:r>
              <w:t>E.</w:t>
            </w:r>
            <w:r>
              <w:tab/>
            </w:r>
            <w:r>
              <w:t xml:space="preserve">arvestades, et digieuro </w:t>
            </w:r>
            <w:r>
              <w:rPr>
                <w:b/>
                <w:i/>
              </w:rPr>
              <w:t>suurendab</w:t>
            </w:r>
            <w:r>
              <w:t xml:space="preserve"> ELi maksete tõhusust</w:t>
            </w:r>
            <w:r>
              <w:rPr>
                <w:b/>
                <w:i/>
              </w:rPr>
              <w:t>, konkurentsivõimet</w:t>
            </w:r>
            <w:r>
              <w:t>, vastupanuvõimet, finantsalast kaasatust, innovatsiooni, üldsuse usaldust ja euro rahvusvahelist rolli;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digieuro </w:t>
            </w:r>
            <w:r>
              <w:rPr>
                <w:b/>
                <w:i/>
              </w:rPr>
              <w:t>võiks suurendada</w:t>
            </w:r>
            <w:r>
              <w:t xml:space="preserve"> ELi maksete tõhusust, vastupanuvõimet, finantsalast kaasatust, innovatsiooni, üldsuse usaldust ja euro rahvusvahelist rolli;</w:t>
            </w:r>
          </w:p>
        </w:tc>
        <w:tc>
          <w:tcPr>
            <w:tcW w:w="4876" w:type="dxa"/>
            <w:tcBorders>
              <w:top w:val="nil"/>
              <w:left w:val="nil"/>
              <w:bottom w:val="nil"/>
              <w:right w:val="nil"/>
            </w:tcBorders>
          </w:tcPr>
          <w:p>
            <w:pPr>
              <w:pStyle w:val="Normal6a"/>
            </w:pPr>
            <w:r>
              <w:t>E.</w:t>
            </w:r>
            <w:r>
              <w:tab/>
            </w:r>
            <w:r>
              <w:t xml:space="preserve">arvestades, et digieuro </w:t>
            </w:r>
            <w:r>
              <w:rPr>
                <w:b/>
                <w:i/>
              </w:rPr>
              <w:t>suurendaks</w:t>
            </w:r>
            <w:r>
              <w:t xml:space="preserve"> ELi maksete tõhusust, vastupanuvõimet, finantsalast kaasatust, innovatsiooni, üldsuse usaldust ja euro rahvusvahelist rolli;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w:t>
            </w:r>
            <w:r>
              <w:rPr>
                <w:b/>
                <w:i/>
              </w:rPr>
              <w:t>digieuro</w:t>
            </w:r>
            <w:r>
              <w:t xml:space="preserve"> võiks suurendada ELi maksete tõhusust, vastupanuvõimet, finantsalast kaasatust, innovatsiooni, üldsuse usaldust ja euro rahvusvahelist rolli;</w:t>
            </w:r>
          </w:p>
        </w:tc>
        <w:tc>
          <w:tcPr>
            <w:tcW w:w="4876" w:type="dxa"/>
            <w:tcBorders>
              <w:top w:val="nil"/>
              <w:left w:val="nil"/>
              <w:bottom w:val="nil"/>
              <w:right w:val="nil"/>
            </w:tcBorders>
          </w:tcPr>
          <w:p>
            <w:pPr>
              <w:pStyle w:val="Normal6a"/>
            </w:pPr>
            <w:r>
              <w:t>E.</w:t>
            </w:r>
            <w:r>
              <w:tab/>
            </w:r>
            <w:r>
              <w:t xml:space="preserve">arvestades, et </w:t>
            </w:r>
            <w:r>
              <w:rPr>
                <w:b/>
                <w:i/>
              </w:rPr>
              <w:t>üleeuroopaline suveräänne jaemakselahendus</w:t>
            </w:r>
            <w:r>
              <w:t xml:space="preserve"> võiks suurendada ELi maksete tõhusust</w:t>
            </w:r>
            <w:r>
              <w:rPr>
                <w:b/>
                <w:i/>
              </w:rPr>
              <w:t>, suveräänsust</w:t>
            </w:r>
            <w:r>
              <w:t xml:space="preserve">, vastupanuvõimet, finantsalast kaasatust, innovatsiooni, üldsuse usaldust ja euro rahvusvahelist rolli; </w:t>
            </w:r>
            <w:r>
              <w:rPr>
                <w:b/>
                <w:i/>
              </w:rPr>
              <w:t>arvestades, et turuosaliste täielik integreerimine edendaks sügavamate ja likviidsemate turgude kaudu jätkuvat innovatsiooni, usaldust ja finantsstabiilsust;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arvestades, et digieuro </w:t>
            </w:r>
            <w:r>
              <w:rPr>
                <w:b/>
                <w:i/>
              </w:rPr>
              <w:t>võiks</w:t>
            </w:r>
            <w:r>
              <w:t xml:space="preserve"> suurendada ELi maksete tõhusust, vastupanuvõimet, finantsalast kaasatust, innovatsiooni, üldsuse usaldust ja euro rahvusvahelist rolli;</w:t>
            </w:r>
          </w:p>
        </w:tc>
        <w:tc>
          <w:tcPr>
            <w:tcW w:w="4876" w:type="dxa"/>
            <w:tcBorders>
              <w:top w:val="nil"/>
              <w:left w:val="nil"/>
              <w:bottom w:val="nil"/>
              <w:right w:val="nil"/>
            </w:tcBorders>
          </w:tcPr>
          <w:p>
            <w:pPr>
              <w:pStyle w:val="Normal6a"/>
            </w:pPr>
            <w:r>
              <w:t>E.</w:t>
            </w:r>
            <w:r>
              <w:tab/>
            </w:r>
            <w:r>
              <w:t xml:space="preserve">arvestades, et </w:t>
            </w:r>
            <w:r>
              <w:rPr>
                <w:b/>
                <w:i/>
              </w:rPr>
              <w:t>jaemüügivaldkonna</w:t>
            </w:r>
            <w:r>
              <w:t xml:space="preserve"> digieuro </w:t>
            </w:r>
            <w:r>
              <w:rPr>
                <w:b/>
                <w:i/>
              </w:rPr>
              <w:t>võib</w:t>
            </w:r>
            <w:r>
              <w:t xml:space="preserve"> suurendada ELi maksete tõhusust, vastupanuvõimet, finantsalast kaasatust, innovatsiooni, </w:t>
            </w:r>
            <w:r>
              <w:rPr>
                <w:b/>
                <w:i/>
              </w:rPr>
              <w:t>konkurentsivõimet,</w:t>
            </w:r>
            <w:r>
              <w:t xml:space="preserve"> üldsuse usaldust</w:t>
            </w:r>
            <w:r>
              <w:rPr>
                <w:b/>
                <w:i/>
              </w:rPr>
              <w:t>, klientide eraelu puutumatust seoses digimaksetega</w:t>
            </w:r>
            <w:r>
              <w:t xml:space="preserve"> ja euro rahvusvahelist rolli;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liidu finantsturutaristute tõhusus, vastupidavus ja strateegiline autonoomia on pangandusliidu nõuetekohaseks toimimiseks ja ELi finantssüsteemi konkurentsivõime tagamiseks hädavajalikud;</w:t>
            </w:r>
            <w:r>
              <w:t xml:space="preserve"> </w:t>
            </w:r>
            <w:r>
              <w:rPr>
                <w:b/>
                <w:i/>
              </w:rPr>
              <w:t>arvestades, et üksnes reguleeritud finantseerimisasutuste vahelisteks arveldusteks mõeldud keskpanga hulgidigivääringu arendamine võib märkimisväärselt parandada piiriüleseid makseid, väärtpaberiarveldust ja likviidsuse juhtimist, sealhulgas maksesüsteemide ja turutaristute suurema koostalitlusvõime kaudu;</w:t>
            </w:r>
            <w:r>
              <w:t xml:space="preserve"> </w:t>
            </w:r>
            <w:r>
              <w:rPr>
                <w:b/>
                <w:i/>
              </w:rPr>
              <w:t>arvestades, et eurosüsteemi käimasolevad algatused on oluline samm nende eeliste kontrollitud ja turule orienteeritud uurimise suunas;</w:t>
            </w:r>
            <w:r>
              <w:t xml:space="preserve"> </w:t>
            </w:r>
            <w:r>
              <w:rPr>
                <w:b/>
                <w:i/>
              </w:rPr>
              <w:t>arvestades, et tegevuse kiirendamine täismahuni võiks aidata tugevdada euro rahvusvahelist rolli, vähendada ELi finantsturgude killustatust ja toetada finantsstabiilsust, säilitades samal ajal täielikult raha ühtsuse ja erasektori vahendajate rolli;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arvestades, et EKP liigub oma hulgidigieuroga kiiresti edasi ning käimas on lühiajalised (Pontes) ja pikaajalised (Appia) DLT-projektid keskpangaraha hulgiarvelduseks;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arvestades, et ELi pangad on alates 2022. aastast teeninud rekordilist kasumit, kuna rahapoliitika karmistamise mõju edasikandumine on viibinud;</w:t>
            </w:r>
            <w:r>
              <w:t xml:space="preserve"> </w:t>
            </w:r>
            <w:r>
              <w:rPr>
                <w:b/>
                <w:i/>
              </w:rPr>
              <w:t>arvestades, et mitu liikmesriiki on kehtestanud ajutised pangamaksud, et tagada õiglane panus, kaitstes samal ajal stabiilsust ja sotsiaalset ühtekuuluvust;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arvestades, et ELi pangad on alates 2022. aastast teeninud rekordilist kasumit, kuna rahapoliitika karmistamise mõju edasikandumine on viibinud;</w:t>
            </w:r>
            <w:r>
              <w:t xml:space="preserve"> </w:t>
            </w:r>
            <w:r>
              <w:rPr>
                <w:b/>
                <w:i/>
              </w:rPr>
              <w:t>arvestades, et mitu liikmesriiki on kehtestanud ajutised pangamaksud, et tagada õiglane panus, kaitstes samal ajal stabiilsust ja sotsiaalset ühtekuuluvust;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et ELi pangad on alates 2022. aastast teeninud rekordilist kasumit, kuna rahapoliitika karmistamise mõju edasikandumine on viibinud; arvestades, et mitu liikmesriiki on kehtestanud ajutised pangamaksud, </w:t>
            </w:r>
            <w:r>
              <w:rPr>
                <w:b/>
                <w:i/>
              </w:rPr>
              <w:t>et tagada õiglane panus, kaitstes samal ajal stabiilsust ja sotsiaalset ühtekuuluvust</w:t>
            </w:r>
            <w:r>
              <w:t>;</w:t>
            </w:r>
          </w:p>
        </w:tc>
        <w:tc>
          <w:tcPr>
            <w:tcW w:w="4876" w:type="dxa"/>
            <w:tcBorders>
              <w:top w:val="nil"/>
              <w:left w:val="nil"/>
              <w:bottom w:val="nil"/>
              <w:right w:val="nil"/>
            </w:tcBorders>
          </w:tcPr>
          <w:p>
            <w:pPr>
              <w:pStyle w:val="Normal6a"/>
            </w:pPr>
            <w:r>
              <w:t>F.</w:t>
            </w:r>
            <w:r>
              <w:tab/>
            </w:r>
            <w:r>
              <w:t>arvestades, et ELi pangad on alates 2022. aastast teeninud rekordilist kasumit, kuna rahapoliitika karmistamise mõju edasikandumine on viibinud</w:t>
            </w:r>
            <w:r>
              <w:rPr>
                <w:b/>
                <w:i/>
              </w:rPr>
              <w:t>, mis on aidanud vähendada omakapitali tulususe erinevust ELi ja USA pankade vahel pärast rohkem kui 15 aastat</w:t>
            </w:r>
            <w:r>
              <w:t xml:space="preserve">; arvestades, et mitu liikmesriiki on kehtestanud ajutised pangamaksud, </w:t>
            </w:r>
            <w:r>
              <w:rPr>
                <w:b/>
                <w:i/>
              </w:rPr>
              <w:t>kuigi sellised institutsioonid nagu EKP on oma arvamustes korduvalt märkinud, et finantseerimisasutuste maksustamine üldiste eelarveprobleemide tõttu oleks ebasoovitav ning maksude kohaldamine võib moonutada turukonkurentsi ja kahjustada võrdseid tingimusi nii riigi sees kui ka kogu pangandusliidus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ELi pangad on alates 2022. aastast teeninud rekordilist kasumit, kuna rahapoliitika karmistamise mõju edasikandumine on viibinud; arvestades, et mitu liikmesriiki on kehtestanud ajutised pangamaksud</w:t>
            </w:r>
            <w:r>
              <w:rPr>
                <w:b/>
                <w:i/>
              </w:rPr>
              <w:t>, et tagada õiglane panus, kaitstes samal ajal stabiilsust ja sotsiaalset ühtekuuluvust</w:t>
            </w:r>
            <w:r>
              <w:t>;</w:t>
            </w:r>
          </w:p>
        </w:tc>
        <w:tc>
          <w:tcPr>
            <w:tcW w:w="4876" w:type="dxa"/>
            <w:tcBorders>
              <w:top w:val="nil"/>
              <w:left w:val="nil"/>
              <w:bottom w:val="nil"/>
              <w:right w:val="nil"/>
            </w:tcBorders>
          </w:tcPr>
          <w:p>
            <w:pPr>
              <w:pStyle w:val="Normal6a"/>
            </w:pPr>
            <w:r>
              <w:t>F.</w:t>
            </w:r>
            <w:r>
              <w:tab/>
            </w:r>
            <w:r>
              <w:t>arvestades, et ELi pangad on alates 2022. aastast teeninud rekordilist kasumit, kuna rahapoliitika karmistamise mõju edasikandumine on viibinud; arvestades, et mitu liikmesriiki on kehtestanud ajutised pangamaksud;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ELi pangad on alates 2022. aastast teeninud rekordilist kasumit, kuna rahapoliitika karmistamise mõju edasikandumine on viibinud; arvestades, et mitu liikmesriiki on kehtestanud ajutised pangamaksud, et tagada õiglane panus, kaitstes samal ajal stabiilsust ja sotsiaalset ühtekuuluvust;</w:t>
            </w:r>
          </w:p>
        </w:tc>
        <w:tc>
          <w:tcPr>
            <w:tcW w:w="4876" w:type="dxa"/>
            <w:tcBorders>
              <w:top w:val="nil"/>
              <w:left w:val="nil"/>
              <w:bottom w:val="nil"/>
              <w:right w:val="nil"/>
            </w:tcBorders>
          </w:tcPr>
          <w:p>
            <w:pPr>
              <w:pStyle w:val="Normal6a"/>
            </w:pPr>
            <w:r>
              <w:t>F.</w:t>
            </w:r>
            <w:r>
              <w:tab/>
            </w:r>
            <w:r>
              <w:t xml:space="preserve">arvestades, et ELi pangad on alates 2022. aastast teeninud rekordilist kasumit, kuna rahapoliitika karmistamise mõju edasikandumine on viibinud; arvestades, et mitu liikmesriiki on kehtestanud ajutised pangamaksud, et tagada õiglane panus, kaitstes samal ajal stabiilsust ja sotsiaalset ühtekuuluvust; </w:t>
            </w:r>
            <w:r>
              <w:rPr>
                <w:b/>
                <w:i/>
              </w:rPr>
              <w:t>arvestades, et ELi pankade kasumlikkus on 2022. aastast saadik rahapoliitika karmistamise oludes suurenenud, mis on aidanud luua kapitali ja tagada finantsstabiilsust;</w:t>
            </w:r>
            <w:r>
              <w:t xml:space="preserve"> </w:t>
            </w:r>
            <w:r>
              <w:rPr>
                <w:b/>
                <w:i/>
              </w:rPr>
              <w:t>arvestades, et pankade kasumlikkus on endiselt tsükliline ja oleneb kogu intressimäärade tsüklist;</w:t>
            </w:r>
            <w:r>
              <w:t xml:space="preserve"> </w:t>
            </w:r>
            <w:r>
              <w:rPr>
                <w:b/>
                <w:i/>
              </w:rPr>
              <w:t>arvestades, et mitmed liikmesriigid on kehtestanud pankadele ajutised maksud ning et need peaksid jääma erakorraliseks, proportsionaalseks ja hoolikalt hinnatuks, et vältida negatiivset mõju pankade kapitalipositsioonile ja laenuandmisvõimele, finantsstabiilsusele ning võrdsetele tingimustele pangandusliidus;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ELi pangad on alates 2022. aastast teeninud rekordilist kasumit, kuna rahapoliitika karmistamise mõju edasikandumine on viibinud; arvestades, et mitu liikmesriiki on kehtestanud ajutised pangamaksud, et tagada õiglane panus, kaitstes samal ajal stabiilsust ja sotsiaalset ühtekuuluvust;</w:t>
            </w:r>
          </w:p>
        </w:tc>
        <w:tc>
          <w:tcPr>
            <w:tcW w:w="4876" w:type="dxa"/>
            <w:tcBorders>
              <w:top w:val="nil"/>
              <w:left w:val="nil"/>
              <w:bottom w:val="nil"/>
              <w:right w:val="nil"/>
            </w:tcBorders>
          </w:tcPr>
          <w:p>
            <w:pPr>
              <w:pStyle w:val="Normal6a"/>
            </w:pPr>
            <w:r>
              <w:t>F.</w:t>
            </w:r>
            <w:r>
              <w:tab/>
            </w:r>
            <w:r>
              <w:t xml:space="preserve">arvestades, et ELi pangad on alates 2022. aastast teeninud rekordilist kasumit, kuna rahapoliitika karmistamise mõju edasikandumine on viibinud; arvestades, et mitu liikmesriiki on kehtestanud ajutised pangamaksud, et tagada õiglane panus, kaitstes samal ajal stabiilsust ja sotsiaalset ühtekuuluvust; </w:t>
            </w:r>
            <w:r>
              <w:rPr>
                <w:b/>
                <w:i/>
              </w:rPr>
              <w:t>arvestades, et suur jaotamata kasum on suures osas läinud suurenenud kapitalinõuete ja nõuete täitmisega seotud paisutatud kulude (mis hõlmab ka kestlikkusaruandlust) katteks, mis piirab pankade suutlikkust toetada reaalmajandust, kusjuures rahapoliitika karmistamine on vähendanud netointressimarginaale, kajastades laiemat makrotasandi usaldatavussurvet kasumlikkusele;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sektoripõhiste maksude kehtestamine krediidiasutustele, isegi kui seda esitletakse ajutise meetmena, võib põhjustada siseturu moonutusi, mõjutada negatiivselt krediidiasutuste võimet anda laenu kodumajapidamistele ja ettevõtetele ning vähendada maksuraamistiku prognoositavust;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oma 2025. aasta märtsi teatises hoiuste ja investeeringute liidu kohta kohustub komisjon astuma otsustavaid samme pangandusliitu edasiarendamiseks ja leiab selleks muu hulgas lahenduse Euroopa hoiusekindlustusskeemi edendamiseks, kuid ei ole sellest ajast alates ikka veel esitanud ühtegi ettepanekut pangandusliidu väljakujundamise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pangad on meie majanduse tugisammas ja üks strateegiliselt kõige olulisemaid sektoreid;</w:t>
            </w:r>
            <w:r>
              <w:t xml:space="preserve"> </w:t>
            </w:r>
            <w:r>
              <w:rPr>
                <w:b/>
                <w:i/>
              </w:rPr>
              <w:t>arvestades, et stabiilsus, vastupanuvõime ja konkurentsivõime on üliolulised tagamaks, et finantssüsteem suudab kohaneda ülemaailmsete probleemidega, edendada innovatsiooni ning täita tõhusalt ettevõtjate ja kodanike vajadusi;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euroala ülemäärane likviidsus ulatus 2022. aastal 4,7 triljoni euroni ning praegu on see 2,8 triljonit eurot;</w:t>
            </w:r>
            <w:r>
              <w:t xml:space="preserve"> </w:t>
            </w:r>
            <w:r>
              <w:rPr>
                <w:b/>
                <w:i/>
              </w:rPr>
              <w:t>arvestades, et euroala pankade likviidsuskattekordaja saavutas tipptaseme samuti 2022. aastal, ületades 170 %, samas kui 2025. aasta kolmandas kvartalis oli see näitaja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e-raha tokeneid kasutatakse üha enam ja need on pangandusliidu pankadega üha tihedamalt seotud;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pangad on meie majanduse nurgakivi ja pangandussektor on üks olulisemaid strateegilisi sektoreid ning seetõttu on oluline tagada, et nad saaksid tegutseda stabiilsust, vastupanuvõimet, dünaamilisust ja konkurentsivõimet soodustavas keskkonnas;</w:t>
            </w:r>
            <w:r>
              <w:t xml:space="preserve"> </w:t>
            </w:r>
            <w:r>
              <w:rPr>
                <w:b/>
                <w:i/>
              </w:rPr>
              <w:t>arvestades, et need põhimõtted on olulised mitte ainult kestliku majanduskasvu jaoks, vaid ka tagamaks, et finantssüsteem suudaks kohaneda ülemaailmsete probleemidega, hõlbustada innovatsiooni ning vastata tõhusalt ettevõtjate ja kodanike vajadustele;</w:t>
            </w:r>
            <w:r>
              <w:t xml:space="preserve"> </w:t>
            </w:r>
            <w:r>
              <w:rPr>
                <w:b/>
                <w:i/>
              </w:rPr>
              <w:t>arvestades, et elujõuline majandus vajab pangandussektorit, mis ühendab usaldusväärsuse ja paindlikkuse, edendab investeeringuid ja suunab tõhusalt kapitali, tugevdades seeläbi võimet konkureerida pidevalt muutuval ülemaailmsel turul;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määrusega (EL) 2023/1114 (krüptovaraturgude määrus) kehtestatakse varapõhiste tokenite ja e-raha tokenite emitentidele diferentseeritud turulepääsunõuded, lunastamiskohustused ja järelevalveraamistikud, mis kajastavad nende erinevaid riskiprofiile ja rahalist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tugev pangandussektor on majanduskasvu saavutamise ning väikeste ja keskmise suurusega ettevõtjate (VKEd) ja idufirmade rahastamise võti;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väljendab heameelt</w:t>
            </w:r>
            <w:r>
              <w:t xml:space="preserve"> ühtse järelevalvemehhanismi ja ühtse </w:t>
            </w:r>
            <w:r>
              <w:rPr>
                <w:b/>
                <w:i/>
              </w:rPr>
              <w:t>kriisilahenduskorra osas</w:t>
            </w:r>
            <w:r>
              <w:t xml:space="preserve"> viimase kümne aasta jooksul </w:t>
            </w:r>
            <w:r>
              <w:rPr>
                <w:b/>
                <w:i/>
              </w:rPr>
              <w:t>tehtud edusammude üle</w:t>
            </w:r>
            <w:r>
              <w:t xml:space="preserve">; nõuab </w:t>
            </w:r>
            <w:r>
              <w:rPr>
                <w:b/>
                <w:i/>
              </w:rPr>
              <w:t>pangandusliidu täielikku ja kiiret väljakujundamist, sealhulgas täiemahulist Euroopa hoiusekindlustusskeemi</w:t>
            </w:r>
            <w:r>
              <w:t xml:space="preserve">; rõhutab, et </w:t>
            </w:r>
            <w:r>
              <w:rPr>
                <w:b/>
                <w:i/>
              </w:rPr>
              <w:t>pangandusliit peab toetama kaasavamat ja kestlikumat finantssüsteemi, mis on kooskõlas sotsiaalse ühtekuuluvuse ja ELi rohelise kokkuleppega</w:t>
            </w:r>
            <w:r>
              <w:t>;</w:t>
            </w:r>
          </w:p>
        </w:tc>
        <w:tc>
          <w:tcPr>
            <w:tcW w:w="4876" w:type="dxa"/>
            <w:tcBorders>
              <w:top w:val="nil"/>
              <w:left w:val="nil"/>
              <w:bottom w:val="nil"/>
              <w:right w:val="nil"/>
            </w:tcBorders>
          </w:tcPr>
          <w:p>
            <w:pPr>
              <w:pStyle w:val="Normal6a"/>
            </w:pPr>
            <w:r>
              <w:t>1.</w:t>
            </w:r>
            <w:r>
              <w:tab/>
            </w:r>
            <w:r>
              <w:rPr>
                <w:b/>
                <w:i/>
              </w:rPr>
              <w:t>võtab teadmiseks</w:t>
            </w:r>
            <w:r>
              <w:t xml:space="preserve"> ühtse järelevalvemehhanismi ja ühtse </w:t>
            </w:r>
            <w:r>
              <w:rPr>
                <w:b/>
                <w:i/>
              </w:rPr>
              <w:t>kriisilahenduskorraga seotud arengud</w:t>
            </w:r>
            <w:r>
              <w:t xml:space="preserve"> viimase kümne aasta jooksul; nõuab </w:t>
            </w:r>
            <w:r>
              <w:rPr>
                <w:b/>
                <w:i/>
              </w:rPr>
              <w:t>reforme, mis tugevdavad pigem turudistsipliini kui suurendavad bürokraatiat</w:t>
            </w:r>
            <w:r>
              <w:t xml:space="preserve">; rõhutab, et </w:t>
            </w:r>
            <w:r>
              <w:rPr>
                <w:b/>
                <w:i/>
              </w:rPr>
              <w:t>ettepanekud, mis veelgi tsentraliseerivad riske, tuleks kompenseerida proportsionaalse vastutusega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w:t>
            </w:r>
            <w:r>
              <w:rPr>
                <w:b/>
                <w:i/>
              </w:rPr>
              <w:t>nõuab pangandusliidu täielikku ja kiiret väljakujundamist, sealhulgas täiemahulist Euroopa hoiusekindlustusskeemi;</w:t>
            </w:r>
            <w:r>
              <w:t xml:space="preserve"> </w:t>
            </w:r>
            <w:r>
              <w:rPr>
                <w:b/>
                <w:i/>
              </w:rPr>
              <w:t>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w:t>
            </w:r>
            <w:r>
              <w:rPr>
                <w:b/>
                <w:i/>
              </w:rPr>
              <w:t>täielikku ja kiiret väljakujundamist, sealhulgas täiemahulist Euroopa hoiusekindlustusskeemi;</w:t>
            </w:r>
            <w:r>
              <w:t xml:space="preserve"> </w:t>
            </w:r>
            <w:r>
              <w:rPr>
                <w:b/>
                <w:i/>
              </w:rPr>
              <w:t>rõhutab, et pangandusliit peab toetama kaasavamat ja kestlikumat finantssüsteemi, mis on kooskõlas sotsiaalse ühtekuuluvuse ja ELi rohelise kokkuleppega</w:t>
            </w:r>
            <w:r>
              <w:t>;</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w:t>
            </w:r>
            <w:r>
              <w:rPr>
                <w:b/>
                <w:i/>
              </w:rPr>
              <w:t>edasiarendamist, võttes arvesse riikide pangandussektorite eripära ning tagades finantsinstitutsioonide kaitseskeemide autonoomia ja mõjusa toimimise, ilma et see läheks vastuollu kriisiohje- ja hoiusekindlustusraamistiku läbivaatamise käigus kokku lepitud finantsinstitutsioonide kaitseskeeme käsitlevate erisätetega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w:t>
            </w:r>
            <w:r>
              <w:rPr>
                <w:b/>
                <w:i/>
              </w:rPr>
              <w:t>täielikku ja kiiret väljakujundamist, sealhulgas täiemahulist Euroopa hoiusekindlustusskeemi;</w:t>
            </w:r>
            <w:r>
              <w:t xml:space="preserve"> </w:t>
            </w:r>
            <w:r>
              <w:rPr>
                <w:b/>
                <w:i/>
              </w:rPr>
              <w:t>rõhutab, et pangandusliit peab toetama kaasavamat ja kestlikumat finantssüsteemi, mis on kooskõlas sotsiaalse ühtekuuluvuse ja ELi rohelise kokkuleppega</w:t>
            </w:r>
            <w:r>
              <w:t>;</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w:t>
            </w:r>
            <w:r>
              <w:rPr>
                <w:b/>
                <w:i/>
              </w:rPr>
              <w:t>järkjärgulist edasiarendamist, võttes igakülgselt arvesse riikide eripärasid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w:t>
            </w:r>
            <w:r>
              <w:rPr>
                <w:b/>
                <w:i/>
              </w:rPr>
              <w:t>sealhulgas täiemahulist Euroopa hoiusekindlustusskeemi</w:t>
            </w:r>
            <w:r>
              <w:t xml:space="preserve">; </w:t>
            </w:r>
            <w:r>
              <w:rPr>
                <w:b/>
                <w:i/>
              </w:rPr>
              <w:t>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 nõuab pangandusliidu</w:t>
            </w:r>
            <w:r>
              <w:rPr>
                <w:b/>
                <w:i/>
              </w:rPr>
              <w:t>, sealhulgas Euroopa hoiusekindlustusskeemi</w:t>
            </w:r>
            <w:r>
              <w:t xml:space="preserve"> täielikku ja kiiret väljakujundamist, </w:t>
            </w:r>
            <w:r>
              <w:rPr>
                <w:b/>
                <w:i/>
              </w:rPr>
              <w:t>võttes arvesse riikide eripärasid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w:t>
            </w:r>
            <w:r>
              <w:rPr>
                <w:b/>
                <w:i/>
              </w:rPr>
              <w:t>nõuab pangandusliidu täielikku ja kiiret väljakujundamist, sealhulgas täiemahulist Euroopa hoiusekindlustusskeemi;</w:t>
            </w:r>
            <w:r>
              <w:t xml:space="preserve"> rõhutab, et pangandusliit peab toetama kaasavamat ja kestlikumat finantssüsteemi, mis on kooskõlas </w:t>
            </w:r>
            <w:r>
              <w:rPr>
                <w:b/>
                <w:i/>
              </w:rPr>
              <w:t>sotsiaalse ühtekuuluvuse ja ELi rohelise kokkuleppega</w:t>
            </w:r>
            <w:r>
              <w:t>;</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rõhutab, et pangandusliit peab toetama kaasavamat ja kestlikumat finantssüsteemi, mis on kooskõlas </w:t>
            </w:r>
            <w:r>
              <w:rPr>
                <w:b/>
                <w:i/>
              </w:rPr>
              <w:t>kaksiküleminekuga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täiemahulist Euroopa hoiusekindlustusskeemi; </w:t>
            </w:r>
            <w:r>
              <w:rPr>
                <w:b/>
                <w:i/>
              </w:rPr>
              <w:t>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 nõuab pangandusliidu täielikku ja kiiret väljakujundamist, sealhulgas täiemahulist Euroopa hoiusekindlustusskeemi;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täiemahulist Euroopa hoiusekindlustusskeemi; </w:t>
            </w:r>
            <w:r>
              <w:rPr>
                <w:b/>
                <w:i/>
              </w:rPr>
              <w:t>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 nõuab pangandusliidu täielikku ja kiiret väljakujundamist, sealhulgas täiemahulist Euroopa hoiusekindlustusskeemi;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w:t>
            </w:r>
            <w:r>
              <w:rPr>
                <w:b/>
                <w:i/>
              </w:rPr>
              <w:t>nõuab</w:t>
            </w:r>
            <w:r>
              <w:t xml:space="preserve"> pangandusliidu </w:t>
            </w:r>
            <w:r>
              <w:rPr>
                <w:b/>
                <w:i/>
              </w:rPr>
              <w:t>täielikku ja kiiret</w:t>
            </w:r>
            <w:r>
              <w:t xml:space="preserve"> väljakujundamist</w:t>
            </w:r>
            <w:r>
              <w:rPr>
                <w:b/>
                <w:i/>
              </w:rPr>
              <w:t>, sealhulgas täiemahulist Euroopa hoiusekindlustusskeemi</w:t>
            </w:r>
            <w:r>
              <w:t xml:space="preserve">; rõhutab, et pangandusliit peab toetama </w:t>
            </w:r>
            <w:r>
              <w:rPr>
                <w:b/>
                <w:i/>
              </w:rPr>
              <w:t>kaasavamat ja kestlikumat</w:t>
            </w:r>
            <w:r>
              <w:t xml:space="preserve">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w:t>
            </w:r>
            <w:r>
              <w:rPr>
                <w:b/>
                <w:i/>
              </w:rPr>
              <w:t>ergutab</w:t>
            </w:r>
            <w:r>
              <w:t xml:space="preserve"> pangandusliidu väljakujundamist; rõhutab, et pangandusliit peab toetama </w:t>
            </w:r>
            <w:r>
              <w:rPr>
                <w:b/>
                <w:i/>
              </w:rPr>
              <w:t>kaasavat ja kestlikku</w:t>
            </w:r>
            <w:r>
              <w:t xml:space="preserve"> finantssüsteemi, mis on kooskõlas sotsiaalse ühtekuuluvuse ja ELi rohelise kokkuleppega;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w:t>
            </w:r>
            <w:r>
              <w:rPr>
                <w:b/>
                <w:i/>
              </w:rPr>
              <w:t>täiemahulist</w:t>
            </w:r>
            <w:r>
              <w:t xml:space="preserve"> Euroopa </w:t>
            </w:r>
            <w:r>
              <w:rPr>
                <w:b/>
                <w:i/>
              </w:rPr>
              <w:t>hoiusekindlustusskeemi</w:t>
            </w:r>
            <w:r>
              <w:t>; 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w:t>
            </w:r>
            <w:r>
              <w:rPr>
                <w:b/>
                <w:i/>
              </w:rPr>
              <w:t>jätkuvat tööd</w:t>
            </w:r>
            <w:r>
              <w:t xml:space="preserve"> Euroopa </w:t>
            </w:r>
            <w:r>
              <w:rPr>
                <w:b/>
                <w:i/>
              </w:rPr>
              <w:t>hoiusekindlustusskeemiga, ning meetmeid turu integratsiooni süvendamiseks ning kapitali ja likviidsuse tõhusa ringluse hõlbustamiseks pangandusgruppides</w:t>
            </w:r>
            <w:r>
              <w:t>; rõhutab, et pangandusliit peab toetama kaasavamat ja kestlikumat finantssüsteemi, mis on kooskõlas sotsiaalse ühtekuuluvuse ja ELi rohelise kokkuleppega;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w:t>
            </w:r>
            <w:r>
              <w:rPr>
                <w:b/>
                <w:i/>
              </w:rPr>
              <w:t>sealhulgas täiemahulist Euroopa hoiusekindlustusskeemi</w:t>
            </w:r>
            <w:r>
              <w:t>; 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 nõuab pangandusliidu</w:t>
            </w:r>
            <w:r>
              <w:rPr>
                <w:b/>
                <w:i/>
              </w:rPr>
              <w:t>, sealhulgas Euroopa hoiusekindlustusskeemi</w:t>
            </w:r>
            <w:r>
              <w:t xml:space="preserve"> täielikku ja kiiret väljakujundamist, </w:t>
            </w:r>
            <w:r>
              <w:rPr>
                <w:b/>
                <w:i/>
              </w:rPr>
              <w:t>võttes arvesse riikide eripärasid</w:t>
            </w:r>
            <w:r>
              <w:t>; rõhutab, et pangandusliit peab toetama kaasavamat ja kestlikumat finantssüsteemi, mis on kooskõlas sotsiaalse ühtekuuluvuse ja ELi rohelise kokkuleppega;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 nõuab pangandusliidu täielikku ja kiiret väljakujundamist, sealhulgas täiemahulist Euroopa hoiusekindlustusskeemi; rõhutab, et pangandusliit peab toetama kaasavamat ja kestlikumat finantssüsteemi</w:t>
            </w:r>
            <w:r>
              <w:rPr>
                <w:b/>
                <w:i/>
              </w:rPr>
              <w:t>, mis on kooskõlas sotsiaalse ühtekuuluvuse ja ELi rohelise kokkuleppega</w:t>
            </w:r>
            <w:r>
              <w:t>;</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täiemahulist </w:t>
            </w:r>
            <w:r>
              <w:rPr>
                <w:b/>
                <w:i/>
              </w:rPr>
              <w:t>vastastikust</w:t>
            </w:r>
            <w:r>
              <w:t xml:space="preserve"> Euroopa hoiusekindlustusskeemi; rõhutab, et pangandusliit peab toetama </w:t>
            </w:r>
            <w:r>
              <w:rPr>
                <w:b/>
                <w:i/>
              </w:rPr>
              <w:t>konkurentsivõimelisemat,</w:t>
            </w:r>
            <w:r>
              <w:t xml:space="preserve"> kaasavamat ja kestlikumat finantssüsteemi;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täiemahulist Euroopa hoiusekindlustusskeemi; rõhutab, et pangandusliit peab toetama kaasavamat ja kestlikumat finantssüsteemi, mis on kooskõlas sotsiaalse ühtekuuluvuse ja </w:t>
            </w:r>
            <w:r>
              <w:rPr>
                <w:b/>
                <w:i/>
              </w:rPr>
              <w:t>ELi rohelise kokkuleppega</w:t>
            </w:r>
            <w:r>
              <w:t>;</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täiemahulist Euroopa hoiusekindlustusskeemi; rõhutab, et pangandusliit peab toetama kaasavamat ja kestlikumat finantssüsteemi, mis on kooskõlas sotsiaalse ühtekuuluvuse ja </w:t>
            </w:r>
            <w:r>
              <w:rPr>
                <w:b/>
                <w:i/>
              </w:rPr>
              <w:t>konkurentsivõimega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väljendab heameelt ühtse järelevalvemehhanismi ja ühtse kriisilahenduskorra osas viimase kümne aasta jooksul tehtud edusammude üle; nõuab pangandusliidu täielikku ja kiiret väljakujundamist, sealhulgas täiemahulist Euroopa hoiusekindlustusskeemi; rõhutab, et pangandusliit peab toetama kaasavamat ja kestlikumat finantssüsteemi, mis on kooskõlas sotsiaalse ühtekuuluvuse ja ELi rohelise kokkuleppega;</w:t>
            </w:r>
          </w:p>
        </w:tc>
        <w:tc>
          <w:tcPr>
            <w:tcW w:w="4876" w:type="dxa"/>
            <w:tcBorders>
              <w:top w:val="nil"/>
              <w:left w:val="nil"/>
              <w:bottom w:val="nil"/>
              <w:right w:val="nil"/>
            </w:tcBorders>
          </w:tcPr>
          <w:p>
            <w:pPr>
              <w:pStyle w:val="Normal6a"/>
            </w:pPr>
            <w:r>
              <w:t>1.</w:t>
            </w:r>
            <w:r>
              <w:tab/>
            </w:r>
            <w:r>
              <w:t xml:space="preserve">väljendab heameelt ühtse järelevalvemehhanismi ja ühtse kriisilahenduskorra osas viimase kümne aasta jooksul tehtud edusammude üle; nõuab pangandusliidu täielikku ja kiiret väljakujundamist, sealhulgas täiemahulist </w:t>
            </w:r>
            <w:r>
              <w:rPr>
                <w:b/>
                <w:i/>
              </w:rPr>
              <w:t>kahjumi katmist võimaldavat</w:t>
            </w:r>
            <w:r>
              <w:t xml:space="preserve"> Euroopa hoiusekindlustusskeemi; rõhutab, et pangandusliit peab toetama kaasavamat ja kestlikumat finantssüsteemi, mis on kooskõlas sotsiaalse ühtekuuluvuse ja ELi rohelise kokkuleppega;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märgib, et integreeritum pangandusliit aitaks suurendada ELi pangandussektori vastupanuvõimet ja tooks kasu klientidele;</w:t>
            </w:r>
            <w:r>
              <w:t xml:space="preserve"> </w:t>
            </w:r>
            <w:r>
              <w:rPr>
                <w:b/>
                <w:i/>
              </w:rPr>
              <w:t>märgib sellega seoses vajadust tegeleda päritolu- ja vastuvõtva riigi küsimusega seotud probleemide ja väljakutsetega, eelkõige usaldusväärsete tagatistega vastuvõtvatele riikidele, millele on osutatud ELi õiguses;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kutsub komisjoni üles seadma prioriteediks pangandusliidu ning hoiuste ja investeeringute liidu väljakujundamise;</w:t>
            </w:r>
            <w:r>
              <w:t xml:space="preserve"> </w:t>
            </w:r>
            <w:r>
              <w:rPr>
                <w:b/>
                <w:i/>
              </w:rPr>
              <w:t>rõhutab nende tähtsust kodanike, VKEde ja reaalmajanduse jaoks, edendades kestlikku heaolu, kvaliteetseid töökohti ja finantsstabiilsust;</w:t>
            </w:r>
            <w:r>
              <w:t xml:space="preserve"> </w:t>
            </w:r>
            <w:r>
              <w:rPr>
                <w:b/>
                <w:i/>
              </w:rPr>
              <w:t>rõhutab vajadust tugeva solidaarsusel põhineva raamistiku järele, mis hoiab ära hoiuste väljavoolu;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kutsub</w:t>
            </w:r>
            <w:r>
              <w:t xml:space="preserve"> komisjoni </w:t>
            </w:r>
            <w:r>
              <w:rPr>
                <w:b/>
                <w:i/>
              </w:rPr>
              <w:t>üles seadma prioriteediks pangandusliidu ning</w:t>
            </w:r>
            <w:r>
              <w:t xml:space="preserve"> hoiuste ja investeeringute liidu </w:t>
            </w:r>
            <w:r>
              <w:rPr>
                <w:b/>
                <w:i/>
              </w:rPr>
              <w:t>väljakujundamise;</w:t>
            </w:r>
            <w:r>
              <w:t xml:space="preserve"> </w:t>
            </w:r>
            <w:r>
              <w:rPr>
                <w:b/>
                <w:i/>
              </w:rPr>
              <w:t>rõhutab nende tähtsust kodanike, VKEde ja reaalmajanduse jaoks, edendades kestlikku heaolu, kvaliteetseid töökohti ja finantsstabiilsust;</w:t>
            </w:r>
            <w:r>
              <w:t xml:space="preserve"> </w:t>
            </w:r>
            <w:r>
              <w:rPr>
                <w:b/>
                <w:i/>
              </w:rPr>
              <w:t>rõhutab vajadust tugeva solidaarsusel põhineva raamistiku järele, mis hoiab ära</w:t>
            </w:r>
            <w:r>
              <w:t xml:space="preserve"> hoiuste </w:t>
            </w:r>
            <w:r>
              <w:rPr>
                <w:b/>
                <w:i/>
              </w:rPr>
              <w:t>väljavoolu</w:t>
            </w:r>
            <w:r>
              <w:t>;</w:t>
            </w:r>
          </w:p>
        </w:tc>
        <w:tc>
          <w:tcPr>
            <w:tcW w:w="4876" w:type="dxa"/>
            <w:tcBorders>
              <w:top w:val="nil"/>
              <w:left w:val="nil"/>
              <w:bottom w:val="nil"/>
              <w:right w:val="nil"/>
            </w:tcBorders>
          </w:tcPr>
          <w:p>
            <w:pPr>
              <w:pStyle w:val="Normal6a"/>
            </w:pPr>
            <w:r>
              <w:t>2.</w:t>
            </w:r>
            <w:r>
              <w:tab/>
            </w:r>
            <w:r>
              <w:rPr>
                <w:b/>
                <w:i/>
              </w:rPr>
              <w:t>võtab teadmiseks</w:t>
            </w:r>
            <w:r>
              <w:t xml:space="preserve"> komisjoni </w:t>
            </w:r>
            <w:r>
              <w:rPr>
                <w:b/>
                <w:i/>
              </w:rPr>
              <w:t>ettepanekud</w:t>
            </w:r>
            <w:r>
              <w:t xml:space="preserve"> hoiuste ja investeeringute liidu </w:t>
            </w:r>
            <w:r>
              <w:rPr>
                <w:b/>
                <w:i/>
              </w:rPr>
              <w:t>kohta;</w:t>
            </w:r>
            <w:r>
              <w:t xml:space="preserve"> </w:t>
            </w:r>
            <w:r>
              <w:rPr>
                <w:b/>
                <w:i/>
              </w:rPr>
              <w:t>märgib, et</w:t>
            </w:r>
            <w:r>
              <w:t xml:space="preserve"> hoiuste </w:t>
            </w:r>
            <w:r>
              <w:rPr>
                <w:b/>
                <w:i/>
              </w:rPr>
              <w:t>ja investeeringute liidu praegune ülesehitus võib suunata säästud suure riskiga kapitaliturgudele ilma piisava investorikaitse või selgete turustiimuliteta</w:t>
            </w:r>
            <w:r>
              <w:t xml:space="preserve">; </w:t>
            </w:r>
            <w:r>
              <w:rPr>
                <w:b/>
                <w:i/>
              </w:rPr>
              <w:t>selline keskne planeerimine võib moonutada säästude jaotamist ja panna jaeinvestorid volatiilsuse olukorda, juhul kui puuduvad tugevad ohutusmehhanismid;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w:t>
            </w:r>
            <w:r>
              <w:rPr>
                <w:b/>
                <w:i/>
              </w:rPr>
              <w:t>väljakujundamise</w:t>
            </w:r>
            <w:r>
              <w:t xml:space="preserve">; rõhutab nende tähtsust kodanike, VKEde ja reaalmajanduse jaoks, edendades kestlikku heaolu, kvaliteetseid töökohti ja finantsstabiilsust; </w:t>
            </w:r>
            <w:r>
              <w:rPr>
                <w:b/>
                <w:i/>
              </w:rPr>
              <w:t>rõhutab vajadust tugeva solidaarsusel põhineva raamistiku järele, mis hoiab ära hoiuste väljavoolu;</w:t>
            </w:r>
          </w:p>
        </w:tc>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w:t>
            </w:r>
            <w:r>
              <w:rPr>
                <w:b/>
                <w:i/>
              </w:rPr>
              <w:t>edasiarendamise</w:t>
            </w:r>
            <w:r>
              <w:t>; rõhutab nende tähtsust kodanike, VKEde ja reaalmajanduse jaoks, edendades kestlikku heaolu, kvaliteetseid töökohti ja finantsstabiilsust;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väljakujundamise; rõhutab nende tähtsust kodanike, VKEde ja </w:t>
            </w:r>
            <w:r>
              <w:rPr>
                <w:b/>
                <w:i/>
              </w:rPr>
              <w:t>reaalmajanduse</w:t>
            </w:r>
            <w:r>
              <w:t xml:space="preserve"> jaoks, edendades </w:t>
            </w:r>
            <w:r>
              <w:rPr>
                <w:b/>
                <w:i/>
              </w:rPr>
              <w:t>kestlikku</w:t>
            </w:r>
            <w:r>
              <w:t xml:space="preserve"> heaolu, kvaliteetseid töökohti ja finantsstabiilsust; rõhutab vajadust tugeva </w:t>
            </w:r>
            <w:r>
              <w:rPr>
                <w:b/>
                <w:i/>
              </w:rPr>
              <w:t>solidaarsusel põhineva</w:t>
            </w:r>
            <w:r>
              <w:t xml:space="preserve"> raamistiku järele, mis </w:t>
            </w:r>
            <w:r>
              <w:rPr>
                <w:b/>
                <w:i/>
              </w:rPr>
              <w:t>hoiab</w:t>
            </w:r>
            <w:r>
              <w:t xml:space="preserve"> ära hoiuste väljavoolu;</w:t>
            </w:r>
          </w:p>
        </w:tc>
        <w:tc>
          <w:tcPr>
            <w:tcW w:w="4876" w:type="dxa"/>
            <w:tcBorders>
              <w:top w:val="nil"/>
              <w:left w:val="nil"/>
              <w:bottom w:val="nil"/>
              <w:right w:val="nil"/>
            </w:tcBorders>
          </w:tcPr>
          <w:p>
            <w:pPr>
              <w:pStyle w:val="Normal6a"/>
            </w:pPr>
            <w:r>
              <w:t>2.</w:t>
            </w:r>
            <w:r>
              <w:tab/>
            </w:r>
            <w:r>
              <w:t>kutsub komisjoni üles seadma prioriteediks pangandusliidu ning hoiuste ja investeeringute liidu väljakujundamise</w:t>
            </w:r>
            <w:r>
              <w:rPr>
                <w:b/>
                <w:i/>
              </w:rPr>
              <w:t>, kuna need on olulised vahendid säästude suunamiseks investeeringutesse</w:t>
            </w:r>
            <w:r>
              <w:t xml:space="preserve">; rõhutab nende tähtsust kodanike, VKEde ja </w:t>
            </w:r>
            <w:r>
              <w:rPr>
                <w:b/>
                <w:i/>
              </w:rPr>
              <w:t>majanduse</w:t>
            </w:r>
            <w:r>
              <w:t xml:space="preserve"> jaoks, edendades heaolu, kvaliteetseid töökohti ja finantsstabiilsust; rõhutab vajadust tugeva raamistiku järele, mis </w:t>
            </w:r>
            <w:r>
              <w:rPr>
                <w:b/>
                <w:i/>
              </w:rPr>
              <w:t>põhineb selgetel reeglitel ja tõhusatel mehhanismidel, millega tugevdatakse hoiustajate usaldust ja hoitakse</w:t>
            </w:r>
            <w:r>
              <w:t xml:space="preserve"> ära hoiuste väljavoolu </w:t>
            </w:r>
            <w:r>
              <w:rPr>
                <w:b/>
                <w:i/>
              </w:rPr>
              <w:t>juhtumid</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väljakujundamise; rõhutab nende tähtsust kodanike, VKEde ja reaalmajanduse jaoks, edendades kestlikku heaolu, kvaliteetseid töökohti ja finantsstabiilsust; rõhutab vajadust tugeva </w:t>
            </w:r>
            <w:r>
              <w:rPr>
                <w:b/>
                <w:i/>
              </w:rPr>
              <w:t>solidaarsusel põhineva</w:t>
            </w:r>
            <w:r>
              <w:t xml:space="preserve"> raamistiku järele, </w:t>
            </w:r>
            <w:r>
              <w:rPr>
                <w:b/>
                <w:i/>
              </w:rPr>
              <w:t>mis hoiab</w:t>
            </w:r>
            <w:r>
              <w:t xml:space="preserve"> ära hoiuste väljavoolu;</w:t>
            </w:r>
          </w:p>
        </w:tc>
        <w:tc>
          <w:tcPr>
            <w:tcW w:w="4876" w:type="dxa"/>
            <w:tcBorders>
              <w:top w:val="nil"/>
              <w:left w:val="nil"/>
              <w:bottom w:val="nil"/>
              <w:right w:val="nil"/>
            </w:tcBorders>
          </w:tcPr>
          <w:p>
            <w:pPr>
              <w:pStyle w:val="Normal6a"/>
            </w:pPr>
            <w:r>
              <w:t>2.</w:t>
            </w:r>
            <w:r>
              <w:tab/>
            </w:r>
            <w:r>
              <w:t>kutsub komisjoni üles seadma prioriteediks pangandusliidu ning hoiuste ja investeeringute liidu väljakujundamise; rõhutab nende tähtsust kodanike, VKEde ja reaalmajanduse jaoks, edendades kestlikku heaolu, kvaliteetseid töökohti ja finantsstabiilsust; rõhutab</w:t>
            </w:r>
            <w:r>
              <w:rPr>
                <w:b/>
                <w:i/>
              </w:rPr>
              <w:t>, et integreeritum pangandusliit toetaks Euroopa pankade kasvu ja konkurentsivõimet;</w:t>
            </w:r>
            <w:r>
              <w:t xml:space="preserve"> </w:t>
            </w:r>
            <w:r>
              <w:rPr>
                <w:b/>
                <w:i/>
              </w:rPr>
              <w:t>rõhutab</w:t>
            </w:r>
            <w:r>
              <w:t xml:space="preserve"> vajadust tugeva raamistiku järele, </w:t>
            </w:r>
            <w:r>
              <w:rPr>
                <w:b/>
                <w:i/>
              </w:rPr>
              <w:t>ei hoida</w:t>
            </w:r>
            <w:r>
              <w:t xml:space="preserve"> ära hoiuste väljavoolu;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väljakujundamise; rõhutab nende tähtsust kodanike, VKEde ja reaalmajanduse jaoks, edendades kestlikku heaolu, kvaliteetseid töökohti ja finantsstabiilsust; rõhutab vajadust tugeva </w:t>
            </w:r>
            <w:r>
              <w:rPr>
                <w:b/>
                <w:i/>
              </w:rPr>
              <w:t>solidaarsusel põhineva</w:t>
            </w:r>
            <w:r>
              <w:t xml:space="preserve"> raamistiku järele, mis hoiab ära hoiuste väljavoolu;</w:t>
            </w:r>
          </w:p>
        </w:tc>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väljakujundamise; rõhutab nende tähtsust kodanike, VKEde ja reaalmajanduse jaoks, edendades kestlikku heaolu, kvaliteetseid töökohti ja finantsstabiilsust; rõhutab vajadust tugeva </w:t>
            </w:r>
            <w:r>
              <w:rPr>
                <w:b/>
                <w:i/>
              </w:rPr>
              <w:t>ja kindla</w:t>
            </w:r>
            <w:r>
              <w:t xml:space="preserve"> raamistiku järele, mis </w:t>
            </w:r>
            <w:r>
              <w:rPr>
                <w:b/>
                <w:i/>
              </w:rPr>
              <w:t>põhineb selgetel eeskirjadel ja kohustustel ning</w:t>
            </w:r>
            <w:r>
              <w:t xml:space="preserve"> hoiab ära hoiuste väljavoolu</w:t>
            </w:r>
            <w:r>
              <w:rPr>
                <w:b/>
                <w:i/>
              </w:rPr>
              <w:t>, suurendab finantsstabiilsust ja konkurentsivõimet ning tugevdab ELi pangandussektorit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kutsub komisjoni üles seadma prioriteediks pangandusliidu </w:t>
            </w:r>
            <w:r>
              <w:rPr>
                <w:b/>
                <w:i/>
              </w:rPr>
              <w:t>ning</w:t>
            </w:r>
            <w:r>
              <w:t xml:space="preserve"> hoiuste ja investeeringute liidu väljakujundamise; rõhutab nende tähtsust kodanike, VKEde ja reaalmajanduse jaoks, edendades kestlikku heaolu, kvaliteetseid töökohti ja finantsstabiilsust; rõhutab vajadust tugeva solidaarsusel põhineva raamistiku järele, mis hoiab ära hoiuste väljavoolu;</w:t>
            </w:r>
          </w:p>
        </w:tc>
        <w:tc>
          <w:tcPr>
            <w:tcW w:w="4876" w:type="dxa"/>
            <w:tcBorders>
              <w:top w:val="nil"/>
              <w:left w:val="nil"/>
              <w:bottom w:val="nil"/>
              <w:right w:val="nil"/>
            </w:tcBorders>
          </w:tcPr>
          <w:p>
            <w:pPr>
              <w:pStyle w:val="Normal6a"/>
            </w:pPr>
            <w:r>
              <w:t>2.</w:t>
            </w:r>
            <w:r>
              <w:tab/>
            </w:r>
            <w:r>
              <w:t xml:space="preserve">kutsub komisjoni üles seadma prioriteediks pangandusliidu hoiuste ja investeeringute liidu väljakujundamise </w:t>
            </w:r>
            <w:r>
              <w:rPr>
                <w:b/>
                <w:i/>
              </w:rPr>
              <w:t>raames</w:t>
            </w:r>
            <w:r>
              <w:t>; rõhutab nende tähtsust kodanike, VKEde ja reaalmajanduse jaoks, edendades kestlikku heaolu, kvaliteetseid töökohti ja finantsstabiilsust; rõhutab vajadust tugeva solidaarsusel põhineva raamistiku järele, mis hoiab ära hoiuste väljavoolu;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kutsub komisjoni üles seadma prioriteediks pangandusliidu ning hoiuste ja investeeringute liidu väljakujundamise; rõhutab nende tähtsust kodanike, VKEde ja reaalmajanduse jaoks, edendades kestlikku heaolu, kvaliteetseid töökohti ja finantsstabiilsust; rõhutab vajadust tugeva solidaarsusel põhineva raamistiku järele, mis hoiab ära hoiuste väljavoolu;</w:t>
            </w:r>
          </w:p>
        </w:tc>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väljakujundamise; rõhutab nende tähtsust kodanike, VKEde ja reaalmajanduse jaoks, edendades </w:t>
            </w:r>
            <w:r>
              <w:rPr>
                <w:b/>
                <w:i/>
              </w:rPr>
              <w:t>vastupanuvõimet, konkurentsivõimet,</w:t>
            </w:r>
            <w:r>
              <w:t xml:space="preserve"> kestlikku heaolu, kvaliteetseid töökohti ja finantsstabiilsust; rõhutab vajadust tugeva solidaarsusel põhineva raamistiku järele, mis hoiab ära hoiuste väljavoolu;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kutsub komisjoni üles seadma prioriteediks pangandusliidu ning hoiuste ja investeeringute liidu väljakujundamise; rõhutab nende tähtsust kodanike, VKEde ja reaalmajanduse jaoks, edendades kestlikku heaolu, kvaliteetseid töökohti ja finantsstabiilsust; rõhutab vajadust tugeva solidaarsusel põhineva raamistiku järele, mis hoiab ära hoiuste väljavoolu;</w:t>
            </w:r>
          </w:p>
        </w:tc>
        <w:tc>
          <w:tcPr>
            <w:tcW w:w="4876" w:type="dxa"/>
            <w:tcBorders>
              <w:top w:val="nil"/>
              <w:left w:val="nil"/>
              <w:bottom w:val="nil"/>
              <w:right w:val="nil"/>
            </w:tcBorders>
          </w:tcPr>
          <w:p>
            <w:pPr>
              <w:pStyle w:val="Normal6a"/>
            </w:pPr>
            <w:r>
              <w:t>2.</w:t>
            </w:r>
            <w:r>
              <w:tab/>
            </w:r>
            <w:r>
              <w:t xml:space="preserve">kutsub komisjoni üles seadma prioriteediks pangandusliidu ning hoiuste ja investeeringute liidu väljakujundamise; rõhutab nende tähtsust kodanike, VKEde ja reaalmajanduse jaoks, edendades kestlikku heaolu, kvaliteetseid töökohti ja finantsstabiilsust; rõhutab vajadust tugeva solidaarsusel põhineva raamistiku järele, mis hoiab ära hoiuste väljavoolu; </w:t>
            </w:r>
            <w:r>
              <w:rPr>
                <w:b/>
                <w:i/>
              </w:rPr>
              <w:t>juhib tähelepanu sellele, et kapitaliturgude liidu väljakujundamine koos pangandusliidu arendamisega aitab luua paremad tingimused Euroopa majanduse rahastamiseks nii kodumajapidamiste kui ka ettevõtete seisukohast, kes sõltuvad endiselt suures osas pangalaenudest, edendada investeeringuid ja töökohtade loomist, aidates samal ajal parandada Euroopa majanduse vastupanuvõimet;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toonitab, et kodumajapidamistele ja VKEdele pakutavad intressimäärad on liikmesriikides väga erinevad;</w:t>
            </w:r>
            <w:r>
              <w:t xml:space="preserve"> </w:t>
            </w:r>
            <w:r>
              <w:rPr>
                <w:b/>
                <w:i/>
              </w:rPr>
              <w:t>nõuab tungivalt, et komisjon ja pangandusjärelevalveasutused kaaluksid meetmeid, millega tagada, et kõigil kodanikel ja ettevõtjatel oleks juurdepääs hädavajalikule kapitalile õiglaste ja konkurentsivõimeliste intressimääradega;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rõhutab pangandussektori rolli CO</w:t>
            </w:r>
            <w:r>
              <w:rPr>
                <w:b/>
                <w:i/>
                <w:vertAlign w:val="subscript"/>
              </w:rPr>
              <w:t>2</w:t>
            </w:r>
            <w:r>
              <w:rPr>
                <w:b/>
                <w:i/>
              </w:rPr>
              <w:t>-neutraalsele majandusele ülemineku rahastamisel;</w:t>
            </w:r>
            <w:r>
              <w:t xml:space="preserve"> </w:t>
            </w:r>
            <w:r>
              <w:rPr>
                <w:b/>
                <w:i/>
              </w:rPr>
              <w:t>nõuab tugevamaid järelevalvesuuniseid, et viia finantseerimisasutused kooskõlla ELi kliimaeesmärkidega;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rõhutab pangandussektori rolli CO2-neutraalsele majandusele ülemineku rahastamisel;</w:t>
            </w:r>
            <w:r>
              <w:t xml:space="preserve"> </w:t>
            </w:r>
            <w:r>
              <w:rPr>
                <w:b/>
                <w:i/>
              </w:rPr>
              <w:t>nõuab tugevamaid järelevalvesuuniseid, et viia finantseerimisasutused kooskõlla ELi kliimaeesmärkidega;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rõhutab pangandussektori rolli CO</w:t>
            </w:r>
            <w:r>
              <w:rPr>
                <w:b/>
                <w:i/>
                <w:vertAlign w:val="subscript"/>
              </w:rPr>
              <w:t>2</w:t>
            </w:r>
            <w:r>
              <w:rPr>
                <w:b/>
                <w:i/>
              </w:rPr>
              <w:t>-neutraalsele majandusele ülemineku rahastamisel;</w:t>
            </w:r>
            <w:r>
              <w:t xml:space="preserve"> </w:t>
            </w:r>
            <w:r>
              <w:rPr>
                <w:b/>
                <w:i/>
              </w:rPr>
              <w:t>nõuab tugevamaid järelevalvesuuniseid, et viia finantseerimisasutused kooskõlla ELi kliimaeesmärkidega;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rõhutab pangandussektori rolli CO</w:t>
            </w:r>
            <w:r>
              <w:rPr>
                <w:b/>
                <w:i/>
                <w:vertAlign w:val="subscript"/>
              </w:rPr>
              <w:t>2</w:t>
            </w:r>
            <w:r>
              <w:rPr>
                <w:b/>
                <w:i/>
              </w:rPr>
              <w:t>-neutraalsele majandusele ülemineku rahastamisel;</w:t>
            </w:r>
            <w:r>
              <w:t xml:space="preserve"> </w:t>
            </w:r>
            <w:r>
              <w:rPr>
                <w:b/>
                <w:i/>
              </w:rPr>
              <w:t>nõuab tugevamaid järelevalvesuuniseid, et viia finantseerimisasutused kooskõlla ELi kliimaeesmärkidega;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pangandussektori rolli </w:t>
            </w:r>
            <w:r>
              <w:rPr>
                <w:b/>
                <w:i/>
              </w:rPr>
              <w:t>CO</w:t>
            </w:r>
            <w:r>
              <w:rPr>
                <w:b/>
                <w:i/>
                <w:vertAlign w:val="subscript"/>
              </w:rPr>
              <w:t>2</w:t>
            </w:r>
            <w:r>
              <w:rPr>
                <w:b/>
                <w:i/>
              </w:rPr>
              <w:t>-neutraalsele majandusele ülemineku</w:t>
            </w:r>
            <w:r>
              <w:t xml:space="preserve"> rahastamisel; </w:t>
            </w:r>
            <w:r>
              <w:rPr>
                <w:b/>
                <w:i/>
              </w:rPr>
              <w:t>nõuab tugevamaid järelevalvesuuniseid, et viia finantseerimisasutused kooskõlla ELi kliimaeesmärkidega;</w:t>
            </w:r>
          </w:p>
        </w:tc>
        <w:tc>
          <w:tcPr>
            <w:tcW w:w="4876" w:type="dxa"/>
            <w:tcBorders>
              <w:top w:val="nil"/>
              <w:left w:val="nil"/>
              <w:bottom w:val="nil"/>
              <w:right w:val="nil"/>
            </w:tcBorders>
          </w:tcPr>
          <w:p>
            <w:pPr>
              <w:pStyle w:val="Normal6a"/>
            </w:pPr>
            <w:r>
              <w:t>3.</w:t>
            </w:r>
            <w:r>
              <w:tab/>
            </w:r>
            <w:r>
              <w:t xml:space="preserve">rõhutab pangandussektori rolli </w:t>
            </w:r>
            <w:r>
              <w:rPr>
                <w:b/>
                <w:i/>
              </w:rPr>
              <w:t>digiülemineku</w:t>
            </w:r>
            <w:r>
              <w:t xml:space="preserve"> rahastamisel;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w:t>
            </w:r>
            <w:r>
              <w:rPr>
                <w:b/>
                <w:i/>
              </w:rPr>
              <w:t>pangandussektori rolli CO</w:t>
            </w:r>
            <w:r>
              <w:rPr>
                <w:b/>
                <w:i/>
                <w:vertAlign w:val="subscript"/>
              </w:rPr>
              <w:t>2</w:t>
            </w:r>
            <w:r>
              <w:rPr>
                <w:b/>
                <w:i/>
              </w:rPr>
              <w:t>-neutraalsele majandusele ülemineku rahastamisel;</w:t>
            </w:r>
            <w:r>
              <w:t xml:space="preserve"> </w:t>
            </w:r>
            <w:r>
              <w:rPr>
                <w:b/>
                <w:i/>
              </w:rPr>
              <w:t>nõuab tugevamaid järelevalvesuuniseid, et viia finantseerimisasutused kooskõlla ELi kliimaeesmärkidega</w:t>
            </w:r>
            <w:r>
              <w:t>;</w:t>
            </w:r>
          </w:p>
        </w:tc>
        <w:tc>
          <w:tcPr>
            <w:tcW w:w="4876" w:type="dxa"/>
            <w:tcBorders>
              <w:top w:val="nil"/>
              <w:left w:val="nil"/>
              <w:bottom w:val="nil"/>
              <w:right w:val="nil"/>
            </w:tcBorders>
          </w:tcPr>
          <w:p>
            <w:pPr>
              <w:pStyle w:val="Normal6a"/>
            </w:pPr>
            <w:r>
              <w:t>3.</w:t>
            </w:r>
            <w:r>
              <w:tab/>
            </w:r>
            <w:r>
              <w:t>rõhutab</w:t>
            </w:r>
            <w:r>
              <w:rPr>
                <w:b/>
                <w:i/>
              </w:rPr>
              <w:t>, et keskkonnahoidlikud finantsalased õigusaktid ei tohiks asendada laenuandmisotsuste aluseks olevat krediidivõimelisust, traditsioonilist riskihindamist ega hinnamääramismehhanisme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pangandussektori rolli </w:t>
            </w:r>
            <w:r>
              <w:rPr>
                <w:b/>
                <w:i/>
              </w:rPr>
              <w:t>CO</w:t>
            </w:r>
            <w:r>
              <w:rPr>
                <w:b/>
                <w:i/>
                <w:vertAlign w:val="subscript"/>
              </w:rPr>
              <w:t>2</w:t>
            </w:r>
            <w:r>
              <w:rPr>
                <w:b/>
                <w:i/>
              </w:rPr>
              <w:t>-neutraalsele majandusele ülemineku</w:t>
            </w:r>
            <w:r>
              <w:t xml:space="preserve"> rahastamisel; </w:t>
            </w:r>
            <w:r>
              <w:rPr>
                <w:b/>
                <w:i/>
              </w:rPr>
              <w:t>nõuab tugevamaid järelevalvesuuniseid, et viia finantseerimisasutused kooskõlla ELi kliimaeesmärkidega</w:t>
            </w:r>
            <w:r>
              <w:t>;</w:t>
            </w:r>
          </w:p>
        </w:tc>
        <w:tc>
          <w:tcPr>
            <w:tcW w:w="4876" w:type="dxa"/>
            <w:tcBorders>
              <w:top w:val="nil"/>
              <w:left w:val="nil"/>
              <w:bottom w:val="nil"/>
              <w:right w:val="nil"/>
            </w:tcBorders>
          </w:tcPr>
          <w:p>
            <w:pPr>
              <w:pStyle w:val="Normal6a"/>
            </w:pPr>
            <w:r>
              <w:t>3.</w:t>
            </w:r>
            <w:r>
              <w:tab/>
            </w:r>
            <w:r>
              <w:t xml:space="preserve">rõhutab pangandussektori rolli </w:t>
            </w:r>
            <w:r>
              <w:rPr>
                <w:b/>
                <w:i/>
              </w:rPr>
              <w:t>kaksikülemineku</w:t>
            </w:r>
            <w:r>
              <w:t xml:space="preserve"> rahastamisel; </w:t>
            </w:r>
            <w:r>
              <w:rPr>
                <w:b/>
                <w:i/>
              </w:rPr>
              <w:t>rõhutab vajadust lihtsustada ELi kestliku rahanduse raamistikku, et tagada sidusus, vähendada dubleerimist ja ühtlustada pangandus-, avalikustamis- ja riskijuhtimiseeskirjades sätestatud kohustusi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rõhutab pangandussektori rolli </w:t>
            </w:r>
            <w:r>
              <w:rPr>
                <w:b/>
                <w:i/>
              </w:rPr>
              <w:t>CO</w:t>
            </w:r>
            <w:r>
              <w:rPr>
                <w:b/>
                <w:i/>
                <w:vertAlign w:val="subscript"/>
              </w:rPr>
              <w:t>2</w:t>
            </w:r>
            <w:r>
              <w:rPr>
                <w:b/>
                <w:i/>
              </w:rPr>
              <w:t>-neutraalsele majandusele ülemineku</w:t>
            </w:r>
            <w:r>
              <w:t xml:space="preserve"> rahastamisel; </w:t>
            </w:r>
            <w:r>
              <w:rPr>
                <w:b/>
                <w:i/>
              </w:rPr>
              <w:t>nõuab tugevamaid järelevalvesuuniseid, et viia finantseerimisasutused kooskõlla ELi kliimaeesmärkidega;</w:t>
            </w:r>
          </w:p>
        </w:tc>
        <w:tc>
          <w:tcPr>
            <w:tcW w:w="4876" w:type="dxa"/>
            <w:tcBorders>
              <w:top w:val="nil"/>
              <w:left w:val="nil"/>
              <w:bottom w:val="nil"/>
              <w:right w:val="nil"/>
            </w:tcBorders>
          </w:tcPr>
          <w:p>
            <w:pPr>
              <w:pStyle w:val="Normal6a"/>
            </w:pPr>
            <w:r>
              <w:t>3.</w:t>
            </w:r>
            <w:r>
              <w:tab/>
            </w:r>
            <w:r>
              <w:t xml:space="preserve">rõhutab pangandussektori rolli </w:t>
            </w:r>
            <w:r>
              <w:rPr>
                <w:b/>
                <w:i/>
              </w:rPr>
              <w:t>kaksikülemineku</w:t>
            </w:r>
            <w:r>
              <w:t xml:space="preserve"> rahastamisel;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rõhutab</w:t>
            </w:r>
            <w:r>
              <w:t xml:space="preserve"> pangandussektori rolli </w:t>
            </w:r>
            <w:r>
              <w:rPr>
                <w:b/>
                <w:i/>
              </w:rPr>
              <w:t>CO</w:t>
            </w:r>
            <w:r>
              <w:rPr>
                <w:b/>
                <w:i/>
                <w:vertAlign w:val="subscript"/>
              </w:rPr>
              <w:t>2</w:t>
            </w:r>
            <w:r>
              <w:rPr>
                <w:b/>
                <w:i/>
              </w:rPr>
              <w:t>-neutraalsele</w:t>
            </w:r>
            <w:r>
              <w:t xml:space="preserve"> majandusele </w:t>
            </w:r>
            <w:r>
              <w:rPr>
                <w:b/>
                <w:i/>
              </w:rPr>
              <w:t>ülemineku rahastamisel</w:t>
            </w:r>
            <w:r>
              <w:t xml:space="preserve">; nõuab tugevamaid järelevalvesuuniseid, et viia finantseerimisasutused kooskõlla ELi </w:t>
            </w:r>
            <w:r>
              <w:rPr>
                <w:b/>
                <w:i/>
              </w:rPr>
              <w:t>kliimaeesmärkidega</w:t>
            </w:r>
            <w:r>
              <w:t>;</w:t>
            </w:r>
          </w:p>
        </w:tc>
        <w:tc>
          <w:tcPr>
            <w:tcW w:w="4876" w:type="dxa"/>
            <w:tcBorders>
              <w:top w:val="nil"/>
              <w:left w:val="nil"/>
              <w:bottom w:val="nil"/>
              <w:right w:val="nil"/>
            </w:tcBorders>
          </w:tcPr>
          <w:p>
            <w:pPr>
              <w:pStyle w:val="Normal6a"/>
            </w:pPr>
            <w:r>
              <w:t>3.</w:t>
            </w:r>
            <w:r>
              <w:tab/>
            </w:r>
            <w:r>
              <w:rPr>
                <w:b/>
                <w:i/>
              </w:rPr>
              <w:t>tunnustab</w:t>
            </w:r>
            <w:r>
              <w:t xml:space="preserve"> pangandussektori rolli </w:t>
            </w:r>
            <w:r>
              <w:rPr>
                <w:b/>
                <w:i/>
              </w:rPr>
              <w:t>reaalmajanduse rahastamisvajaduste toetamisel, sealhulgas konkurentsivõimelisemale</w:t>
            </w:r>
            <w:r>
              <w:t xml:space="preserve"> majandusele </w:t>
            </w:r>
            <w:r>
              <w:rPr>
                <w:b/>
                <w:i/>
              </w:rPr>
              <w:t>üleminekuga seotud investeeringuid</w:t>
            </w:r>
            <w:r>
              <w:t xml:space="preserve">; nõuab tugevamaid järelevalvesuuniseid, et viia finantseerimisasutused kooskõlla ELi </w:t>
            </w:r>
            <w:r>
              <w:rPr>
                <w:b/>
                <w:i/>
              </w:rPr>
              <w:t>majandusliku konkurentsivõime tegevuskavaga</w:t>
            </w:r>
            <w:r>
              <w:t xml:space="preserve">; </w:t>
            </w:r>
            <w:r>
              <w:rPr>
                <w:b/>
                <w:i/>
              </w:rPr>
              <w:t>rõhutab, et kestlikkuse valdkonna järelevalvemeetmed peaksid jätkuvalt kindlalt põhinema riskipõhisel lähenemisviisil ja jääma usaldatavusnõuete täitmise volituste piiresse, keskendudes oluliste kliimaga seotud finantsriskide kindlakstegemisele, hindamisele ja juhtimisele, kahjustamata turuneutraalsust või finantsstabiilsuse ja usaldusväärse riskijuhtimise peamisi eesmärke;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rõhutab pangandussektori rolli CO</w:t>
            </w:r>
            <w:r>
              <w:rPr>
                <w:vertAlign w:val="subscript"/>
              </w:rPr>
              <w:t>2</w:t>
            </w:r>
            <w:r>
              <w:t>-neutraalsele majandusele ülemineku rahastamisel; nõuab tugevamaid järelevalvesuuniseid, et viia finantseerimisasutused kooskõlla ELi kliimaeesmärkidega;</w:t>
            </w:r>
          </w:p>
        </w:tc>
        <w:tc>
          <w:tcPr>
            <w:tcW w:w="4876" w:type="dxa"/>
            <w:tcBorders>
              <w:top w:val="nil"/>
              <w:left w:val="nil"/>
              <w:bottom w:val="nil"/>
              <w:right w:val="nil"/>
            </w:tcBorders>
          </w:tcPr>
          <w:p>
            <w:pPr>
              <w:pStyle w:val="Normal6a"/>
            </w:pPr>
            <w:r>
              <w:t>3.</w:t>
            </w:r>
            <w:r>
              <w:tab/>
            </w:r>
            <w:r>
              <w:t>rõhutab pangandussektori rolli CO</w:t>
            </w:r>
            <w:r>
              <w:rPr>
                <w:vertAlign w:val="subscript"/>
              </w:rPr>
              <w:t>2</w:t>
            </w:r>
            <w:r>
              <w:t>-neutraalsele majandusele ülemineku rahastamisel</w:t>
            </w:r>
            <w:r>
              <w:rPr>
                <w:b/>
                <w:i/>
              </w:rPr>
              <w:t>;</w:t>
            </w:r>
            <w:r>
              <w:t xml:space="preserve"> </w:t>
            </w:r>
            <w:r>
              <w:rPr>
                <w:b/>
                <w:i/>
              </w:rPr>
              <w:t>kutsub komisjoni üles esitama ettepanekut, et lisada kestlikkusriskid täielikult usaldatavusraamistikku, sealhulgas kehtestades kõrgemad kapitalinõuded fossiilkütustega seotud riskipositsioonidele, nagu on soovitanud Euroopa Kindlustus- ja Tööandjapensionide Järelevalve</w:t>
            </w:r>
            <w:r>
              <w:t>; nõuab tugevamaid järelevalvesuuniseid, et viia finantseerimisasutused kooskõlla ELi kliimaeesmärkidega</w:t>
            </w:r>
            <w:r>
              <w:rPr>
                <w:b/>
                <w:i/>
              </w:rPr>
              <w:t>, kasutades seejuures 2. samba nõudeid</w:t>
            </w:r>
            <w:r>
              <w:t xml:space="preserve">; </w:t>
            </w:r>
            <w:r>
              <w:rPr>
                <w:b/>
                <w:i/>
              </w:rPr>
              <w:t>rõhutab, et nende eesmärkide saavutamiseks on hädavajalik usaldusväärne taksonoomiaraamistik;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on seisukohal, et integreeritud pangandusliit peab sõltuma jaefinantsteenuste hästi toimivast ühtsest turust;</w:t>
            </w:r>
            <w:r>
              <w:t xml:space="preserve"> </w:t>
            </w:r>
            <w:r>
              <w:rPr>
                <w:b/>
                <w:i/>
              </w:rPr>
              <w:t>kutsub komisjoni üles hindama takistusi ja tõkkeid, mis tekivad tarbijatel jaepangandustoodete, näiteks hüpoteeklaenude piiriülesel kasutamisel, ning pakkuma välja lahendusi tagamaks, et tarbijad saaksid piiriüleselt jaefinantsteenustest kasu;</w:t>
            </w:r>
            <w:r>
              <w:t xml:space="preserve"> </w:t>
            </w:r>
            <w:r>
              <w:rPr>
                <w:b/>
                <w:i/>
              </w:rPr>
              <w:t>märgib lisaks sellele, et hüpoteeklaenu intressimäärad on liidu piires väga erinevad;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rõhutab pangandussektori kui ELi peamise laenuandja keskset rolli teiste piirkondadega võrreldes suureneva konkurentsivõime lõhe kaotamisel;</w:t>
            </w:r>
            <w:r>
              <w:t xml:space="preserve"> </w:t>
            </w:r>
            <w:r>
              <w:rPr>
                <w:b/>
                <w:i/>
              </w:rPr>
              <w:t>tuletab meelde pangandussektori tähtsust Euroopa VKEde rahastamisel, samal ajal kui kapitaliturgude arendamine jätkub;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peab kahetsusväärseks allesjäänud tõkkeid piiriülestele jaepangandusteenustele;</w:t>
            </w:r>
            <w:r>
              <w:t xml:space="preserve"> </w:t>
            </w:r>
            <w:r>
              <w:rPr>
                <w:b/>
                <w:i/>
              </w:rPr>
              <w:t>rõhutab integreeritud pangandusliidu potentsiaali parandada konkurentsi ja tarbijate valikuvõimalusi jaepanganduse valdkonnas, sealhulgas piiriüleste jaepangandusteenuste osutamise võimaluste parandamise kaudu;</w:t>
            </w:r>
            <w:r>
              <w:t xml:space="preserve"> </w:t>
            </w:r>
            <w:r>
              <w:rPr>
                <w:b/>
                <w:i/>
              </w:rPr>
              <w:t>rõhutab Euroopa mitmekesise ja konkurentsivõimelise pangandussektori eeliseid;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väljendab heameelt edusammude üle</w:t>
            </w:r>
            <w:r>
              <w:t xml:space="preserve"> digieuro </w:t>
            </w:r>
            <w:r>
              <w:rPr>
                <w:b/>
                <w:i/>
              </w:rPr>
              <w:t>valdkonnas ja selle potentsiaali üle täiendada sularaha, suurendades samal ajal ELi finantssuveräänsust ja -autonoomiat</w:t>
            </w:r>
            <w:r>
              <w:t>;</w:t>
            </w:r>
          </w:p>
        </w:tc>
        <w:tc>
          <w:tcPr>
            <w:tcW w:w="4876" w:type="dxa"/>
            <w:tcBorders>
              <w:top w:val="nil"/>
              <w:left w:val="nil"/>
              <w:bottom w:val="nil"/>
              <w:right w:val="nil"/>
            </w:tcBorders>
          </w:tcPr>
          <w:p>
            <w:pPr>
              <w:pStyle w:val="Normal6a"/>
            </w:pPr>
            <w:r>
              <w:t>4.</w:t>
            </w:r>
            <w:r>
              <w:tab/>
            </w:r>
            <w:r>
              <w:rPr>
                <w:b/>
                <w:i/>
              </w:rPr>
              <w:t>on sügavalt skeptiline</w:t>
            </w:r>
            <w:r>
              <w:t xml:space="preserve"> digieuro </w:t>
            </w:r>
            <w:r>
              <w:rPr>
                <w:b/>
                <w:i/>
              </w:rPr>
              <w:t>mõju suhtes pangahoiusebaasidele ja finantsvahendusele;</w:t>
            </w:r>
            <w:r>
              <w:t xml:space="preserve"> </w:t>
            </w:r>
            <w:r>
              <w:rPr>
                <w:b/>
                <w:i/>
              </w:rPr>
              <w:t>nõuab rangeid hoitavate digieurode hulga piirmäärasid ja kaitsemeetmeid, et vältida erapangahoiuste ümberpaigutamist ja säilitada pankade krediidivahendussuutlikkus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väljendab heameelt edusammude üle</w:t>
            </w:r>
            <w:r>
              <w:t xml:space="preserve"> digieuro valdkonnas </w:t>
            </w:r>
            <w:r>
              <w:rPr>
                <w:b/>
                <w:i/>
              </w:rPr>
              <w:t>ja selle potentsiaali üle täiendada sularaha, suurendades samal ajal ELi finantssuveräänsust ja -autonoomiat</w:t>
            </w:r>
            <w:r>
              <w:t>;</w:t>
            </w:r>
          </w:p>
        </w:tc>
        <w:tc>
          <w:tcPr>
            <w:tcW w:w="4876" w:type="dxa"/>
            <w:tcBorders>
              <w:top w:val="nil"/>
              <w:left w:val="nil"/>
              <w:bottom w:val="nil"/>
              <w:right w:val="nil"/>
            </w:tcBorders>
          </w:tcPr>
          <w:p>
            <w:pPr>
              <w:pStyle w:val="Normal6a"/>
            </w:pPr>
            <w:r>
              <w:t>4.</w:t>
            </w:r>
            <w:r>
              <w:tab/>
            </w:r>
            <w:r>
              <w:rPr>
                <w:b/>
                <w:i/>
              </w:rPr>
              <w:t>võtab teadmiseks edusammud</w:t>
            </w:r>
            <w:r>
              <w:t xml:space="preserve"> digieuro valdkonnas </w:t>
            </w:r>
            <w:r>
              <w:rPr>
                <w:b/>
                <w:i/>
              </w:rPr>
              <w:t>ning on teadlik probleemidest ja võimalikest ohtudest, mida see projekt võib põhjustada ELi pangandussektori likviidsusele ja stabiilsusele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väljendab heameelt edusammude üle</w:t>
            </w:r>
            <w:r>
              <w:t xml:space="preserve"> digieuro valdkonnas ja selle potentsiaali </w:t>
            </w:r>
            <w:r>
              <w:rPr>
                <w:b/>
                <w:i/>
              </w:rPr>
              <w:t>üle</w:t>
            </w:r>
            <w:r>
              <w:t xml:space="preserve"> täiendada sularaha, suurendades samal ajal ELi finantssuveräänsust ja -autonoomiat;</w:t>
            </w:r>
          </w:p>
        </w:tc>
        <w:tc>
          <w:tcPr>
            <w:tcW w:w="4876" w:type="dxa"/>
            <w:tcBorders>
              <w:top w:val="nil"/>
              <w:left w:val="nil"/>
              <w:bottom w:val="nil"/>
              <w:right w:val="nil"/>
            </w:tcBorders>
          </w:tcPr>
          <w:p>
            <w:pPr>
              <w:pStyle w:val="Normal6a"/>
            </w:pPr>
            <w:r>
              <w:t>4.</w:t>
            </w:r>
            <w:r>
              <w:tab/>
            </w:r>
            <w:r>
              <w:rPr>
                <w:b/>
                <w:i/>
              </w:rPr>
              <w:t>võtab teadmiseks edusammud</w:t>
            </w:r>
            <w:r>
              <w:t xml:space="preserve"> digieuro valdkonnas ja selle potentsiaali täiendada sularaha, suurendades samal ajal ELi finantssuveräänsust ja -autonoomiat;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väljendab heameelt edusammude üle digieuro </w:t>
            </w:r>
            <w:r>
              <w:rPr>
                <w:b/>
                <w:i/>
              </w:rPr>
              <w:t>valdkonnas ja</w:t>
            </w:r>
            <w:r>
              <w:t xml:space="preserve"> selle </w:t>
            </w:r>
            <w:r>
              <w:rPr>
                <w:b/>
                <w:i/>
              </w:rPr>
              <w:t>potentsiaali üle täiendada</w:t>
            </w:r>
            <w:r>
              <w:t xml:space="preserve"> sularaha, suurendades samal ajal ELi finantssuveräänsust ja -autonoomiat;</w:t>
            </w:r>
          </w:p>
        </w:tc>
        <w:tc>
          <w:tcPr>
            <w:tcW w:w="4876" w:type="dxa"/>
            <w:tcBorders>
              <w:top w:val="nil"/>
              <w:left w:val="nil"/>
              <w:bottom w:val="nil"/>
              <w:right w:val="nil"/>
            </w:tcBorders>
          </w:tcPr>
          <w:p>
            <w:pPr>
              <w:pStyle w:val="Normal6a"/>
            </w:pPr>
            <w:r>
              <w:t>4.</w:t>
            </w:r>
            <w:r>
              <w:tab/>
            </w:r>
            <w:r>
              <w:t xml:space="preserve">väljendab heameelt edusammude üle </w:t>
            </w:r>
            <w:r>
              <w:rPr>
                <w:b/>
                <w:i/>
              </w:rPr>
              <w:t>hulgimüügivaldkonna</w:t>
            </w:r>
            <w:r>
              <w:t xml:space="preserve"> digieuro </w:t>
            </w:r>
            <w:r>
              <w:rPr>
                <w:b/>
                <w:i/>
              </w:rPr>
              <w:t>alal, võttes arvesse</w:t>
            </w:r>
            <w:r>
              <w:t xml:space="preserve"> selle </w:t>
            </w:r>
            <w:r>
              <w:rPr>
                <w:b/>
                <w:i/>
              </w:rPr>
              <w:t>eeliseid tõhususe, piiriülese arveldamise ja finantsturgude integratsiooni seisukohast;</w:t>
            </w:r>
            <w:r>
              <w:t xml:space="preserve"> </w:t>
            </w:r>
            <w:r>
              <w:rPr>
                <w:b/>
                <w:i/>
              </w:rPr>
              <w:t>rõhutab, et mis tahes jaemüügivaldkonna digieuro peaks rangelt täiendama</w:t>
            </w:r>
            <w:r>
              <w:t xml:space="preserve"> sularaha</w:t>
            </w:r>
            <w:r>
              <w:rPr>
                <w:b/>
                <w:i/>
              </w:rPr>
              <w:t>, järgima olemasolevat turustruktuuri ja vältima selliste eramakselahenduste väljatõrjumist, mis juba pakuvad innovatsiooni ja tõhusust kogu liidus</w:t>
            </w:r>
            <w:r>
              <w:t>, suurendades samal ajal ELi finantssuveräänsust ja -autonoomiat;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väljendab heameelt edusammude üle digieuro </w:t>
            </w:r>
            <w:r>
              <w:rPr>
                <w:b/>
                <w:i/>
              </w:rPr>
              <w:t>valdkonnas ja selle</w:t>
            </w:r>
            <w:r>
              <w:t xml:space="preserve"> potentsiaali üle täiendada sularaha, suurendades samal ajal ELi finantssuveräänsust ja -autonoomiat;</w:t>
            </w:r>
          </w:p>
        </w:tc>
        <w:tc>
          <w:tcPr>
            <w:tcW w:w="4876" w:type="dxa"/>
            <w:tcBorders>
              <w:top w:val="nil"/>
              <w:left w:val="nil"/>
              <w:bottom w:val="nil"/>
              <w:right w:val="nil"/>
            </w:tcBorders>
          </w:tcPr>
          <w:p>
            <w:pPr>
              <w:pStyle w:val="Normal6a"/>
            </w:pPr>
            <w:r>
              <w:t>4.</w:t>
            </w:r>
            <w:r>
              <w:tab/>
            </w:r>
            <w:r>
              <w:t xml:space="preserve">väljendab heameelt edusammude üle </w:t>
            </w:r>
            <w:r>
              <w:rPr>
                <w:b/>
                <w:i/>
              </w:rPr>
              <w:t>nii hulgi- kui ka jaemüügivaldkonna digieurode alal;</w:t>
            </w:r>
            <w:r>
              <w:t xml:space="preserve"> </w:t>
            </w:r>
            <w:r>
              <w:rPr>
                <w:b/>
                <w:i/>
              </w:rPr>
              <w:t>väljendab heameelt jaemüügivaldkonna</w:t>
            </w:r>
            <w:r>
              <w:t xml:space="preserve"> digieuro potentsiaali üle täiendada sularaha, suurendades samal ajal ELi finantssuveräänsust ja -autonoomiat; </w:t>
            </w:r>
            <w:r>
              <w:rPr>
                <w:b/>
                <w:i/>
              </w:rPr>
              <w:t>väljendab heameelt selle üle, et 2025. aasta detsembris vormistati lõplikult nõukogu üldine lähenemisviis jaemüügivaldkonna digieuro suhtes, ning kutsub parlamenti üles kujundama võimalikult kiiresti oma ambitsioonika seisukoha;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väljendab heameelt edusammude üle digieuro valdkonnas ja selle potentsiaali üle täiendada sularaha, suurendades samal ajal ELi finantssuveräänsust ja -autonoomiat;</w:t>
            </w:r>
          </w:p>
        </w:tc>
        <w:tc>
          <w:tcPr>
            <w:tcW w:w="4876" w:type="dxa"/>
            <w:tcBorders>
              <w:top w:val="nil"/>
              <w:left w:val="nil"/>
              <w:bottom w:val="nil"/>
              <w:right w:val="nil"/>
            </w:tcBorders>
          </w:tcPr>
          <w:p>
            <w:pPr>
              <w:pStyle w:val="Normal6a"/>
            </w:pPr>
            <w:r>
              <w:t>4.</w:t>
            </w:r>
            <w:r>
              <w:tab/>
            </w:r>
            <w:r>
              <w:t xml:space="preserve">väljendab heameelt edusammude üle digieuro valdkonnas ja selle potentsiaali üle täiendada sularaha, suurendades samal ajal ELi finantssuveräänsust ja -autonoomiat </w:t>
            </w:r>
            <w:r>
              <w:rPr>
                <w:b/>
                <w:i/>
              </w:rPr>
              <w:t>ning aidates suurendada finantsalast kaasatust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väljendab heameelt selle üle, et pangandussektor kohaneb digitaliseerimise probleemide ja võimalustega, mis võimaldab pankadel oma kliente paremini teenindada;</w:t>
            </w:r>
            <w:r>
              <w:t xml:space="preserve"> </w:t>
            </w:r>
            <w:r>
              <w:rPr>
                <w:b/>
                <w:i/>
              </w:rPr>
              <w:t>julgustab panku digitaliseerimise pakutavaid võimalusi veelgi rohkem ära kasutama, säilitades samal ajal tarbijate ja investorite kaitse kõrge taseme IT-süsteemidesse, teadus- ja arendustegevusse investeerimise, digitaalse tegevuskerksuse määruse nõuete täieliku rakendamise ning digiülemineku suundumustele reageerimiseks sobiva ja tehnoloogianeutraalsusel põhineva õigusraamistiku väljatöötamise kaudu;</w:t>
            </w:r>
            <w:r>
              <w:t xml:space="preserve"> </w:t>
            </w:r>
            <w:r>
              <w:rPr>
                <w:b/>
                <w:i/>
              </w:rPr>
              <w:t>väljendab heameelt digirahanduse paketiga seoses tehtud edusammude üle;</w:t>
            </w:r>
            <w:r>
              <w:t xml:space="preserve"> </w:t>
            </w:r>
            <w:r>
              <w:rPr>
                <w:b/>
                <w:i/>
              </w:rPr>
              <w:t>on seisukohal, et digitaalses kontekstis tuleb tugevdada tarbijakaitset ning prioriteediks tuleks seada finantsalane kaasatus, eelkõige parema digi- ja finantskirjaoskuse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peab kahetsusväärseks püsivat soolist tasakaalustamatust finantseerimisasutustes, eriti nende juhtkonnas;</w:t>
            </w:r>
            <w:r>
              <w:t xml:space="preserve"> </w:t>
            </w:r>
            <w:r>
              <w:rPr>
                <w:b/>
                <w:i/>
              </w:rPr>
              <w:t>rõhutab, et naiste juhitavate ettevõtete mitmekesine juhtimine ja parem juurdepääs rahastamisele</w:t>
            </w:r>
            <w:r>
              <w:rPr>
                <w:b/>
                <w:i/>
                <w:vertAlign w:val="superscript"/>
              </w:rPr>
              <w:t>13</w:t>
            </w:r>
            <w:r>
              <w:rPr>
                <w:b/>
                <w:i/>
              </w:rPr>
              <w:t xml:space="preserve"> parandavad juhtimist, innovatsiooni ja majandustulemusi;</w:t>
            </w:r>
            <w:r>
              <w:t xml:space="preserve"> </w:t>
            </w:r>
            <w:r>
              <w:rPr>
                <w:b/>
                <w:i/>
              </w:rPr>
              <w:t>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 Soolise Võrdõiguslikkuse Instituut, „Gender in entrepreneurship“ (Sooline võrdõiguslikkus ettevõtluses), 2017, lk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peab kahetsusväärseks püsivat soolist tasakaalustamatust finantseerimisasutustes, eriti nende juhtkonnas;</w:t>
            </w:r>
            <w:r>
              <w:t xml:space="preserve"> </w:t>
            </w:r>
            <w:r>
              <w:rPr>
                <w:b/>
                <w:i/>
              </w:rPr>
              <w:t>rõhutab, et naiste juhitavate ettevõtete mitmekesine juhtimine ja parem juurdepääs rahastamisele</w:t>
            </w:r>
            <w:r>
              <w:rPr>
                <w:b/>
                <w:i/>
                <w:vertAlign w:val="superscript"/>
              </w:rPr>
              <w:t>13</w:t>
            </w:r>
            <w:r>
              <w:rPr>
                <w:b/>
                <w:i/>
              </w:rPr>
              <w:t xml:space="preserve"> parandavad juhtimist, innovatsiooni ja majandustulemusi;</w:t>
            </w:r>
            <w:r>
              <w:t xml:space="preserve"> </w:t>
            </w:r>
            <w:r>
              <w:rPr>
                <w:b/>
                <w:i/>
              </w:rPr>
              <w:t>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 Soolise Võrdõiguslikkuse Instituut, „Gender in entrepreneurship“ (Sooline võrdõiguslikkus ettevõtluses), 2017, lk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peab kahetsusväärseks püsivat soolist tasakaalustamatust finantseerimisasutustes, eriti nende juhtkonnas;</w:t>
            </w:r>
            <w:r>
              <w:t xml:space="preserve"> </w:t>
            </w:r>
            <w:r>
              <w:rPr>
                <w:b/>
                <w:i/>
              </w:rPr>
              <w:t>rõhutab, et naiste juhitavate ettevõtete mitmekesine juhtimine ja parem juurdepääs rahastamisele</w:t>
            </w:r>
            <w:r>
              <w:rPr>
                <w:b/>
                <w:i/>
                <w:vertAlign w:val="superscript"/>
              </w:rPr>
              <w:t>13</w:t>
            </w:r>
            <w:r>
              <w:rPr>
                <w:b/>
                <w:i/>
              </w:rPr>
              <w:t xml:space="preserve"> parandavad juhtimist, innovatsiooni ja majandustulemusi;</w:t>
            </w:r>
            <w:r>
              <w:t xml:space="preserve"> </w:t>
            </w:r>
            <w:r>
              <w:rPr>
                <w:b/>
                <w:i/>
              </w:rPr>
              <w:t>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 Soolise Võrdõiguslikkuse Instituut, „Gender in entrepreneurship“ (Sooline võrdõiguslikkus ettevõtluses), 2017, lk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peab kahetsusväärseks püsivat soolist tasakaalustamatust finantseerimisasutustes, eriti nende juhtkonnas;</w:t>
            </w:r>
            <w:r>
              <w:t xml:space="preserve"> </w:t>
            </w:r>
            <w:r>
              <w:rPr>
                <w:b/>
                <w:i/>
              </w:rPr>
              <w:t>rõhutab, et naiste juhitavate ettevõtete mitmekesine juhtimine ja parem juurdepääs rahastamisele</w:t>
            </w:r>
            <w:r>
              <w:rPr>
                <w:b/>
                <w:i/>
                <w:vertAlign w:val="superscript"/>
              </w:rPr>
              <w:t>13</w:t>
            </w:r>
            <w:r>
              <w:rPr>
                <w:b/>
                <w:i/>
              </w:rPr>
              <w:t xml:space="preserve"> parandavad juhtimist, innovatsiooni ja majandustulemusi;</w:t>
            </w:r>
            <w:r>
              <w:t xml:space="preserve"> </w:t>
            </w:r>
            <w:r>
              <w:rPr>
                <w:b/>
                <w:i/>
              </w:rPr>
              <w:t>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 Soolise Võrdõiguslikkuse Instituut, „Gender in entrepreneurship“ (Sooline võrdõiguslikkus ettevõtluses), 2017, lk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peab kahetsusväärseks püsivat soolist tasakaalustamatust finantseerimisasutustes, eriti nende juhtkonnas;</w:t>
            </w:r>
            <w:r>
              <w:t xml:space="preserve"> </w:t>
            </w:r>
            <w:r>
              <w:rPr>
                <w:b/>
                <w:i/>
              </w:rPr>
              <w:t>rõhutab, et naiste juhitavate ettevõtete mitmekesine juhtimine ja parem juurdepääs rahastamisele</w:t>
            </w:r>
            <w:r>
              <w:rPr>
                <w:b/>
                <w:i/>
                <w:vertAlign w:val="superscript"/>
              </w:rPr>
              <w:t>13</w:t>
            </w:r>
            <w:r>
              <w:rPr>
                <w:b/>
                <w:i/>
              </w:rPr>
              <w:t xml:space="preserve"> parandavad juhtimist, innovatsiooni ja majandustulemusi;</w:t>
            </w:r>
            <w:r>
              <w:t xml:space="preserve"> </w:t>
            </w:r>
            <w:r>
              <w:rPr>
                <w:b/>
                <w:i/>
              </w:rPr>
              <w:t>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 Soolise Võrdõiguslikkuse Instituut, „Gender in entrepreneurship“ (Sooline võrdõiguslikkus ettevõtluses), 2017, lk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peab kahetsusväärseks püsivat soolist tasakaalustamatust finantseerimisasutustes, eriti nende juhtkonnas;</w:t>
            </w:r>
            <w:r>
              <w:t xml:space="preserve"> rõhutab, et </w:t>
            </w:r>
            <w:r>
              <w:rPr>
                <w:b/>
                <w:i/>
              </w:rPr>
              <w:t>naiste juhitavate ettevõtete</w:t>
            </w:r>
            <w:r>
              <w:t xml:space="preserve"> mitmekesine juhtimine </w:t>
            </w:r>
            <w:r>
              <w:rPr>
                <w:b/>
                <w:i/>
              </w:rPr>
              <w:t>ja parem juurdepääs rahastamisele</w:t>
            </w:r>
            <w:r>
              <w:rPr>
                <w:b/>
                <w:i/>
                <w:vertAlign w:val="superscript"/>
              </w:rPr>
              <w:t>13</w:t>
            </w:r>
            <w:r>
              <w:t xml:space="preserve"> </w:t>
            </w:r>
            <w:r>
              <w:rPr>
                <w:b/>
                <w:i/>
              </w:rPr>
              <w:t>parandavad</w:t>
            </w:r>
            <w:r>
              <w:t xml:space="preserve">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t>5.</w:t>
            </w:r>
            <w:r>
              <w:tab/>
            </w:r>
            <w:r>
              <w:t xml:space="preserve">rõhutab, et mitmekesine juhtimine </w:t>
            </w:r>
            <w:r>
              <w:rPr>
                <w:b/>
                <w:i/>
              </w:rPr>
              <w:t>parandab</w:t>
            </w:r>
            <w:r>
              <w:t xml:space="preserve">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 Soolise Võrdõiguslikkuse Instituut, „Gender in entrepreneurship“ (Sooline võrdõiguslikkus ettevõtluses), 2017, lk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peab kahetsusväärseks püsivat soolist tasakaalustamatust</w:t>
            </w:r>
            <w:r>
              <w:t xml:space="preserve"> finantseerimisasutustes, eriti nende juhtkonnas; rõhutab, et naiste juhitavate ettevõtete mitmekesine juhtimine ja parem juurdepääs rahastamisele</w:t>
            </w:r>
            <w:r>
              <w:rPr>
                <w:vertAlign w:val="superscript"/>
              </w:rPr>
              <w:t>13</w:t>
            </w:r>
            <w:r>
              <w:t xml:space="preserve"> parandavad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t>5.</w:t>
            </w:r>
            <w:r>
              <w:tab/>
            </w:r>
            <w:r>
              <w:rPr>
                <w:b/>
                <w:i/>
              </w:rPr>
              <w:t>on seisukohal, et edusammud soolise tasakaalu suunas</w:t>
            </w:r>
            <w:r>
              <w:t xml:space="preserve"> finantseerimisasutustes, eriti nende juhtkonnas</w:t>
            </w:r>
            <w:r>
              <w:rPr>
                <w:b/>
                <w:i/>
              </w:rPr>
              <w:t>, on piiratud</w:t>
            </w:r>
            <w:r>
              <w:t>; rõhutab, et naiste juhitavate ettevõtete mitmekesine juhtimine ja parem juurdepääs rahastamisele</w:t>
            </w:r>
            <w:r>
              <w:rPr>
                <w:vertAlign w:val="superscript"/>
              </w:rPr>
              <w:t>13</w:t>
            </w:r>
            <w:r>
              <w:t xml:space="preserve"> parandavad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 Soolise Võrdõiguslikkuse Instituut, „Gender in entrepreneurship“ (Sooline võrdõiguslikkus ettevõtluses), 2017, lk 5–6.</w:t>
            </w:r>
          </w:p>
        </w:tc>
        <w:tc>
          <w:tcPr>
            <w:tcW w:w="4876" w:type="dxa"/>
            <w:tcBorders>
              <w:top w:val="nil"/>
              <w:left w:val="nil"/>
              <w:bottom w:val="nil"/>
              <w:right w:val="nil"/>
            </w:tcBorders>
          </w:tcPr>
          <w:p>
            <w:pPr>
              <w:pStyle w:val="Normal6a"/>
            </w:pPr>
            <w:r>
              <w:rPr>
                <w:vertAlign w:val="superscript"/>
              </w:rPr>
              <w:t>13</w:t>
            </w:r>
            <w:r>
              <w:t xml:space="preserve"> </w:t>
            </w:r>
            <w:r>
              <w:t>Euroopa Soolise Võrdõiguslikkuse Instituut, „Gender in entrepreneurship“ (Sooline võrdõiguslikkus ettevõtluses), 2017, lk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peab kahetsusväärseks püsivat soolist tasakaalustamatust finantseerimisasutustes, eriti nende juhtkonnas; rõhutab, et naiste juhitavate ettevõtete mitmekesine juhtimine ja parem juurdepääs rahastamisele</w:t>
            </w:r>
            <w:r>
              <w:rPr>
                <w:vertAlign w:val="superscript"/>
              </w:rPr>
              <w:t>13</w:t>
            </w:r>
            <w:r>
              <w:t xml:space="preserve"> parandavad juhtimist, innovatsiooni ja majandustulemusi; kutsub finantseerimisasutusi, sidusrühmi, komisjoni ja liikmesriike üles võtma vastu mõjusad mitmekesisuse strateegiad, jälgima soolist ebavõrdsust ning </w:t>
            </w:r>
            <w:r>
              <w:rPr>
                <w:b/>
                <w:i/>
              </w:rPr>
              <w:t>lisama soolise võrdõiguslikkuse järelevalve- ja investeerimisraamistikesse, et tagada kaasav juurdepääs kapitalile kogu ELis</w:t>
            </w:r>
            <w:r>
              <w:t>;</w:t>
            </w:r>
          </w:p>
        </w:tc>
        <w:tc>
          <w:tcPr>
            <w:tcW w:w="4876" w:type="dxa"/>
            <w:tcBorders>
              <w:top w:val="nil"/>
              <w:left w:val="nil"/>
              <w:bottom w:val="nil"/>
              <w:right w:val="nil"/>
            </w:tcBorders>
          </w:tcPr>
          <w:p>
            <w:pPr>
              <w:pStyle w:val="Normal6a"/>
            </w:pPr>
            <w:r>
              <w:t>5.</w:t>
            </w:r>
            <w:r>
              <w:tab/>
            </w:r>
            <w:r>
              <w:t>peab kahetsusväärseks püsivat soolist tasakaalustamatust finantseerimisasutustes, eriti nende juhtkonnas; rõhutab, et naiste juhitavate ettevõtete mitmekesine juhtimine ja parem juurdepääs rahastamisele</w:t>
            </w:r>
            <w:r>
              <w:rPr>
                <w:vertAlign w:val="superscript"/>
              </w:rPr>
              <w:t>13</w:t>
            </w:r>
            <w:r>
              <w:t xml:space="preserve"> parandavad juhtimist, innovatsiooni ja majandustulemusi; kutsub finantseerimisasutusi, sidusrühmi, komisjoni ja liikmesriike üles võtma vastu mõjusad mitmekesisuse strateegiad, jälgima soolist ebavõrdsust ning </w:t>
            </w:r>
            <w:r>
              <w:rPr>
                <w:b/>
                <w:i/>
              </w:rPr>
              <w:t>arvestama soolist võrdõiguslikkust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 Soolise Võrdõiguslikkuse Instituut, „Gender in entrepreneurship“ (Sooline võrdõiguslikkus ettevõtluses), 2017, lk 5–6.</w:t>
            </w:r>
          </w:p>
        </w:tc>
        <w:tc>
          <w:tcPr>
            <w:tcW w:w="4876" w:type="dxa"/>
            <w:tcBorders>
              <w:top w:val="nil"/>
              <w:left w:val="nil"/>
              <w:bottom w:val="nil"/>
              <w:right w:val="nil"/>
            </w:tcBorders>
          </w:tcPr>
          <w:p>
            <w:pPr>
              <w:pStyle w:val="Normal6a"/>
            </w:pPr>
            <w:r>
              <w:rPr>
                <w:vertAlign w:val="superscript"/>
              </w:rPr>
              <w:t>13</w:t>
            </w:r>
            <w:r>
              <w:t xml:space="preserve"> </w:t>
            </w:r>
            <w:r>
              <w:t>Euroopa Soolise Võrdõiguslikkuse Instituut, „Gender in entrepreneurship“ (Sooline võrdõiguslikkus ettevõtluses), 2017, lk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peab kahetsusväärseks püsivat soolist tasakaalustamatust finantseerimisasutustes, eriti nende juhtkonnas; rõhutab, et naiste juhitavate ettevõtete mitmekesine juhtimine ja parem juurdepääs rahastamisele</w:t>
            </w:r>
            <w:r>
              <w:rPr>
                <w:vertAlign w:val="superscript"/>
              </w:rPr>
              <w:t>13</w:t>
            </w:r>
            <w:r>
              <w:t xml:space="preserve"> parandavad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w:t>
            </w:r>
          </w:p>
        </w:tc>
        <w:tc>
          <w:tcPr>
            <w:tcW w:w="4876" w:type="dxa"/>
            <w:tcBorders>
              <w:top w:val="nil"/>
              <w:left w:val="nil"/>
              <w:bottom w:val="nil"/>
              <w:right w:val="nil"/>
            </w:tcBorders>
          </w:tcPr>
          <w:p>
            <w:pPr>
              <w:pStyle w:val="Normal6a"/>
            </w:pPr>
            <w:r>
              <w:t>5.</w:t>
            </w:r>
            <w:r>
              <w:tab/>
            </w:r>
            <w:r>
              <w:t>peab kahetsusväärseks püsivat soolist tasakaalustamatust finantseerimisasutustes, eriti nende juhtkonnas; rõhutab, et naiste juhitavate ettevõtete mitmekesine juhtimine ja parem juurdepääs rahastamisele</w:t>
            </w:r>
            <w:r>
              <w:rPr>
                <w:vertAlign w:val="superscript"/>
              </w:rPr>
              <w:t>13</w:t>
            </w:r>
            <w:r>
              <w:t xml:space="preserve"> parandavad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 </w:t>
            </w:r>
            <w:r>
              <w:rPr>
                <w:b/>
                <w:i/>
              </w:rPr>
              <w:t>peab äärmiselt kahetsusväärseks, et EBA eesistuja ametikohale esitatud kandidaatide nimekirjas puudub sooline tasakaal;</w:t>
            </w:r>
            <w:r>
              <w:t xml:space="preserve"> </w:t>
            </w:r>
            <w:r>
              <w:rPr>
                <w:b/>
                <w:i/>
              </w:rPr>
              <w:t>tuletab meelde, et Euroopa Parlament on võtnud endale kohustuse mitte võtta arvesse selliseid kandidaatide nimekirju, mille puhul ei ole järgitud soolise tasakaalu põhimõtet;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 Soolise Võrdõiguslikkuse Instituut, „Gender in entrepreneurship“ (Sooline võrdõiguslikkus ettevõtluses), 2017, lk 5–6.</w:t>
            </w:r>
          </w:p>
        </w:tc>
        <w:tc>
          <w:tcPr>
            <w:tcW w:w="4876" w:type="dxa"/>
            <w:tcBorders>
              <w:top w:val="nil"/>
              <w:left w:val="nil"/>
              <w:bottom w:val="nil"/>
              <w:right w:val="nil"/>
            </w:tcBorders>
          </w:tcPr>
          <w:p>
            <w:pPr>
              <w:pStyle w:val="Normal6a"/>
            </w:pPr>
            <w:r>
              <w:rPr>
                <w:vertAlign w:val="superscript"/>
              </w:rPr>
              <w:t>13</w:t>
            </w:r>
            <w:r>
              <w:t xml:space="preserve"> </w:t>
            </w:r>
            <w:r>
              <w:t>Euroopa Soolise Võrdõiguslikkuse Instituut, „Gender in entrepreneurship“ (Sooline võrdõiguslikkus ettevõtluses), 2017, lk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tuletab meelde, et finantsasutusi tuleks juhtida saavutuste, kogemuste ja ametialase sobivuse alusel, tagades, et ametisse nimetamised ja juhtimisotsused põhinevad objektiivsetel ja riskipõhistel kriteeriumidel, ilma et kehtestataks lisakriteeriume, mis ei ole seotud äriühingu hea üldjuhtimise ja finantsstabiilsusega;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peab kahetsusväärseks, et ELi pankade suutlikkust rahastada ulatuslikke investeeringuid piiravad suuremad kulud, väiksem ulatus ja väiksem kasumlikkus, mis ei ole nende konkurentsivõime tagamiseks piisav;</w:t>
            </w:r>
            <w:r>
              <w:t xml:space="preserve"> </w:t>
            </w:r>
            <w:r>
              <w:rPr>
                <w:b/>
                <w:i/>
              </w:rPr>
              <w:t>märgib siiski, et suurt hulka väiksemaid panku hõlmava ELi pangandussüsteemi eripära nõuab konkreetseid lahendusi, mis on kohandatud selle omadustele;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märgib, et pärast EKP intressimäärade tõstmist on ELi pankade kasumlikkus ja vastupanuvõime märkimisväärselt paranenud</w:t>
            </w:r>
            <w:r>
              <w:rPr>
                <w:b/>
                <w:i/>
                <w:vertAlign w:val="superscript"/>
              </w:rPr>
              <w:t>14</w:t>
            </w:r>
            <w:r>
              <w:rPr>
                <w:b/>
                <w:i/>
              </w:rPr>
              <w:t>;</w:t>
            </w:r>
            <w:r>
              <w:t xml:space="preserve"> </w:t>
            </w:r>
            <w:r>
              <w:rPr>
                <w:b/>
                <w:i/>
              </w:rPr>
              <w:t>rõhutab, et see võib toetada olulisi investeeringuid ning et riigiabi saavate asutuste suhtes tuleb kohaldada rangeid piiranguid dividendidele, tagasiostudele ja muutuvtasule;</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 / L.</w:t>
            </w:r>
            <w:r>
              <w:t xml:space="preserve"> </w:t>
            </w:r>
            <w:r>
              <w:rPr>
                <w:b/>
                <w:i/>
              </w:rPr>
              <w:t>Ratnovski, „Bank Profits and Bank Taxes in the EU“ (Pangakasum ja pangamaksud ELis), IMF, juuli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märgib, et pärast EKP intressimäärade tõstmist on ELi</w:t>
            </w:r>
            <w:r>
              <w:t xml:space="preserve"> pankade </w:t>
            </w:r>
            <w:r>
              <w:rPr>
                <w:b/>
                <w:i/>
              </w:rPr>
              <w:t>kasumlikkus ja vastupanuvõime märkimisväärselt paranenud</w:t>
            </w:r>
            <w:r>
              <w:rPr>
                <w:b/>
                <w:i/>
                <w:vertAlign w:val="superscript"/>
              </w:rPr>
              <w:t>14</w:t>
            </w:r>
            <w:r>
              <w:rPr>
                <w:b/>
                <w:i/>
              </w:rPr>
              <w:t>;</w:t>
            </w:r>
            <w:r>
              <w:t xml:space="preserve"> </w:t>
            </w:r>
            <w:r>
              <w:rPr>
                <w:b/>
                <w:i/>
              </w:rPr>
              <w:t>rõhutab, et see võib</w:t>
            </w:r>
            <w:r>
              <w:t xml:space="preserve"> toetada </w:t>
            </w:r>
            <w:r>
              <w:rPr>
                <w:b/>
                <w:i/>
              </w:rPr>
              <w:t>olulisi investeeringuid 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rPr>
                <w:b/>
                <w:i/>
              </w:rPr>
              <w:t>tunnistab, et pikaajaline piirav rahapoliitika on vähendanud netointressimarginaale ja suurendanud rahastamiskulusid, vähendades</w:t>
            </w:r>
            <w:r>
              <w:t xml:space="preserve"> pankade </w:t>
            </w:r>
            <w:r>
              <w:rPr>
                <w:b/>
                <w:i/>
              </w:rPr>
              <w:t>suutlikkust</w:t>
            </w:r>
            <w:r>
              <w:t xml:space="preserve"> toetada </w:t>
            </w:r>
            <w:r>
              <w:rPr>
                <w:b/>
                <w:i/>
              </w:rPr>
              <w:t>kestlikku laenukasvu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 / L.</w:t>
            </w:r>
            <w:r>
              <w:t xml:space="preserve"> </w:t>
            </w:r>
            <w:r>
              <w:rPr>
                <w:b/>
                <w:i/>
              </w:rPr>
              <w:t>Ratnovski, „Bank Profits and Bank Taxes in the EU“ (Pangakasum ja pangamaksud ELis), IMF, juuli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märgib, et pärast EKP intressimäärade tõstmist on</w:t>
            </w:r>
            <w:r>
              <w:t xml:space="preserve"> ELi pankade kasumlikkus ja vastupanuvõime märkimisväärselt paranenud</w:t>
            </w:r>
            <w:r>
              <w:rPr>
                <w:vertAlign w:val="superscript"/>
              </w:rPr>
              <w:t>14</w:t>
            </w:r>
            <w:r>
              <w:t xml:space="preserve">; </w:t>
            </w:r>
            <w:r>
              <w:rPr>
                <w:b/>
                <w:i/>
              </w:rPr>
              <w:t>rõhutab, et see võib toetada olulisi investeeringuid 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rPr>
                <w:b/>
                <w:i/>
              </w:rPr>
              <w:t>väljendab heameelt, et</w:t>
            </w:r>
            <w:r>
              <w:t xml:space="preserve"> ELi pankade kasumlikkus ja vastupanuvõime </w:t>
            </w:r>
            <w:r>
              <w:rPr>
                <w:b/>
                <w:i/>
              </w:rPr>
              <w:t>on</w:t>
            </w:r>
            <w:r>
              <w:t xml:space="preserve"> märkimisväärselt paranenud</w:t>
            </w:r>
            <w:r>
              <w:rPr>
                <w:vertAlign w:val="superscript"/>
              </w:rPr>
              <w:t>14</w:t>
            </w:r>
            <w:r>
              <w:t xml:space="preserve">; </w:t>
            </w:r>
            <w:r>
              <w:rPr>
                <w:b/>
                <w:i/>
              </w:rPr>
              <w:t>märgib siiski, et kasumlikkuse erinevus võrreldes teiste jurisdiktsioonidega, eelkõige USAga, on endiselt olemas;</w:t>
            </w:r>
            <w:r>
              <w:t xml:space="preserve"> </w:t>
            </w:r>
            <w:r>
              <w:rPr>
                <w:b/>
                <w:i/>
              </w:rPr>
              <w:t>on seisukohal, et kasumlikkuse erinevus võrreldes teiste jurisdiktsioonidega on tingitud nii struktuurilistest kui ka regulatiivsetest põhjustest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märgib, et </w:t>
            </w:r>
            <w:r>
              <w:rPr>
                <w:b/>
                <w:i/>
              </w:rPr>
              <w:t>pärast EKP intressimäärade tõstmist on ELi pankade</w:t>
            </w:r>
            <w:r>
              <w:t xml:space="preserve"> kasumlikkus ja vastupanuvõime </w:t>
            </w:r>
            <w:r>
              <w:rPr>
                <w:b/>
                <w:i/>
              </w:rPr>
              <w:t>märkimisväärselt paranenud</w:t>
            </w:r>
            <w:r>
              <w:rPr>
                <w:b/>
                <w:i/>
                <w:vertAlign w:val="superscript"/>
              </w:rPr>
              <w:t>14</w:t>
            </w:r>
            <w:r>
              <w:t xml:space="preserve">; rõhutab, et </w:t>
            </w:r>
            <w:r>
              <w:rPr>
                <w:b/>
                <w:i/>
              </w:rPr>
              <w:t>see</w:t>
            </w:r>
            <w:r>
              <w:t xml:space="preserve"> võib toetada </w:t>
            </w:r>
            <w:r>
              <w:rPr>
                <w:b/>
                <w:i/>
              </w:rPr>
              <w:t>olulisi investeeringuid 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t xml:space="preserve">märgib, et kasumlikkus ja vastupanuvõime </w:t>
            </w:r>
            <w:r>
              <w:rPr>
                <w:b/>
                <w:i/>
              </w:rPr>
              <w:t>olid 2025. aastal endiselt suured</w:t>
            </w:r>
            <w:r>
              <w:t xml:space="preserve">; rõhutab, et </w:t>
            </w:r>
            <w:r>
              <w:rPr>
                <w:b/>
                <w:i/>
              </w:rPr>
              <w:t>selline kasumlikkus</w:t>
            </w:r>
            <w:r>
              <w:t xml:space="preserve"> võib toetada </w:t>
            </w:r>
            <w:r>
              <w:rPr>
                <w:b/>
                <w:i/>
              </w:rPr>
              <w:t>kodumajapidamiste ja ettevõtete, eelkõige VKEde ja idufirmade, samuti noorte spetsialistide rahastamist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 / L.</w:t>
            </w:r>
            <w:r>
              <w:t xml:space="preserve"> </w:t>
            </w:r>
            <w:r>
              <w:rPr>
                <w:b/>
                <w:i/>
              </w:rPr>
              <w:t>Ratnovski, „Bank Profits and Bank Taxes in the EU“ (Pangakasum ja pangamaksud ELis), IMF, juuli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xml:space="preserve">; rõhutab, et see võib toetada olulisi investeeringuid </w:t>
            </w:r>
            <w:r>
              <w:rPr>
                <w:b/>
                <w:i/>
              </w:rPr>
              <w:t>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rõhutab, et see võib toetada olulisi investeeringuid</w:t>
            </w:r>
            <w:r>
              <w:rPr>
                <w:b/>
                <w:i/>
              </w:rPr>
              <w:t>;</w:t>
            </w:r>
            <w:r>
              <w:t xml:space="preserve"> </w:t>
            </w:r>
            <w:r>
              <w:rPr>
                <w:b/>
                <w:i/>
              </w:rPr>
              <w:t>tuletab meelde, et kasumlikkuse suurenemine on peamiselt tsükliline ja et pankade konkurentsivõime sõltub endiselt pangandusliidu, hoiuste ja investeeringute liidu ning ühtse turu struktuurireformide edenemisest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xml:space="preserve">; rõhutab, et see võib toetada olulisi investeeringuid </w:t>
            </w:r>
            <w:r>
              <w:rPr>
                <w:b/>
                <w:i/>
              </w:rPr>
              <w:t>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rõhutab, et see võib toetada olulisi investeeringuid;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xml:space="preserve">; rõhutab, et see võib toetada olulisi investeeringuid </w:t>
            </w:r>
            <w:r>
              <w:rPr>
                <w:b/>
                <w:i/>
              </w:rPr>
              <w:t>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rõhutab, et see võib toetada olulisi investeeringuid;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xml:space="preserve">; rõhutab, et see võib toetada olulisi investeeringuid </w:t>
            </w:r>
            <w:r>
              <w:rPr>
                <w:b/>
                <w:i/>
              </w:rPr>
              <w:t>ning et riigiabi saavate asutuste suhtes tuleb kohaldada rangeid piiranguid dividendidele, tagasiostudele ja muutuvtasule</w:t>
            </w:r>
            <w:r>
              <w:t>;</w:t>
            </w:r>
          </w:p>
        </w:tc>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rõhutab, et see võib toetada olulisi investeeringuid;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märgib</w:t>
            </w:r>
            <w:r>
              <w:t>, et pärast EKP intressimäärade tõstmist on ELi pankade kasumlikkus ja vastupanuvõime märkimisväärselt paranenud</w:t>
            </w:r>
            <w:r>
              <w:rPr>
                <w:vertAlign w:val="superscript"/>
              </w:rPr>
              <w:t>14</w:t>
            </w:r>
            <w:r>
              <w:t>; rõhutab, et see võib toetada olulisi investeeringuid ning et riigiabi saavate asutuste suhtes tuleb kohaldada rangeid piiranguid dividendidele, tagasiostudele ja muutuvtasule;</w:t>
            </w:r>
          </w:p>
        </w:tc>
        <w:tc>
          <w:tcPr>
            <w:tcW w:w="4876" w:type="dxa"/>
            <w:tcBorders>
              <w:top w:val="nil"/>
              <w:left w:val="nil"/>
              <w:bottom w:val="nil"/>
              <w:right w:val="nil"/>
            </w:tcBorders>
          </w:tcPr>
          <w:p>
            <w:pPr>
              <w:pStyle w:val="Normal6a"/>
            </w:pPr>
            <w:r>
              <w:t>6.</w:t>
            </w:r>
            <w:r>
              <w:tab/>
            </w:r>
            <w:r>
              <w:rPr>
                <w:b/>
                <w:i/>
              </w:rPr>
              <w:t>juhib tähelepanu sellele</w:t>
            </w:r>
            <w:r>
              <w:t>, et pärast EKP intressimäärade tõstmist on ELi pankade kasumlikkus ja vastupanuvõime märkimisväärselt paranenud</w:t>
            </w:r>
            <w:r>
              <w:rPr>
                <w:vertAlign w:val="superscript"/>
              </w:rPr>
              <w:t>14</w:t>
            </w:r>
            <w:r>
              <w:t xml:space="preserve">; rõhutab, et see võib toetada olulisi investeeringuid ning et riigiabi saavate asutuste suhtes tuleb kohaldada rangeid piiranguid dividendidele, tagasiostudele ja muutuvtasule; </w:t>
            </w:r>
            <w:r>
              <w:rPr>
                <w:b/>
                <w:i/>
              </w:rPr>
              <w:t>rõhutab, et jätkusuutlik kasumlikkus toetab kapitali akumulatsiooni, šokitaluvusvõimet ja reaalmajanduse rahastamist;</w:t>
            </w:r>
            <w:r>
              <w:t xml:space="preserve"> </w:t>
            </w:r>
            <w:r>
              <w:rPr>
                <w:b/>
                <w:i/>
              </w:rPr>
              <w:t>tuletab meelde, et nagu on esile toodud EKP hiljutistes arvamustes liikmesriikide kehtestatud pangamaksude kohta, võib pankade maksustamine kasumi põhjal vähendada jaotamata kasumit ning piirata krediidiasutuste võimet luua või taastada kapitalipuhvreid;</w:t>
            </w:r>
            <w:r>
              <w:t xml:space="preserve"> </w:t>
            </w:r>
            <w:r>
              <w:rPr>
                <w:b/>
                <w:i/>
              </w:rPr>
              <w:t xml:space="preserve">rõhutab, et kõik pankasid mõjutavad maksumeetmed peaksid jääma erakorraliseks, proportsionaalseks ja ajutiseks; </w:t>
            </w:r>
            <w:r>
              <w:t xml:space="preserve"> </w:t>
            </w:r>
            <w:r>
              <w:rPr>
                <w:b/>
                <w:i/>
              </w:rPr>
              <w:t>samuti ei tohiks need kahjustada finantsstabiilsust ega pankade võimet rahastada reaalmajandust;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rõhutab, et see võib toetada olulisi investeeringuid ning et riigiabi saavate asutuste suhtes tuleb kohaldada rangeid piiranguid dividendidele, tagasiostudele ja muutuvtasule;</w:t>
            </w:r>
          </w:p>
        </w:tc>
        <w:tc>
          <w:tcPr>
            <w:tcW w:w="4876" w:type="dxa"/>
            <w:tcBorders>
              <w:top w:val="nil"/>
              <w:left w:val="nil"/>
              <w:bottom w:val="nil"/>
              <w:right w:val="nil"/>
            </w:tcBorders>
          </w:tcPr>
          <w:p>
            <w:pPr>
              <w:pStyle w:val="Normal6a"/>
            </w:pPr>
            <w:r>
              <w:t>6.</w:t>
            </w:r>
            <w:r>
              <w:tab/>
            </w:r>
            <w:r>
              <w:t>märgib, et pärast EKP intressimäärade tõstmist on ELi pankade kasumlikkus ja vastupanuvõime märkimisväärselt paranenud</w:t>
            </w:r>
            <w:r>
              <w:rPr>
                <w:vertAlign w:val="superscript"/>
              </w:rPr>
              <w:t>14</w:t>
            </w:r>
            <w:r>
              <w:t xml:space="preserve">; rõhutab, et see võib toetada olulisi investeeringuid </w:t>
            </w:r>
            <w:r>
              <w:rPr>
                <w:b/>
                <w:i/>
              </w:rPr>
              <w:t>ja Euroopa majanduse rahastamist</w:t>
            </w:r>
            <w:r>
              <w:t xml:space="preserve"> ning et riigiabi saavate asutuste suhtes tuleb kohaldada rangeid piiranguid dividendidele, tagasiostudele ja muutuvtasule;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c>
          <w:tcPr>
            <w:tcW w:w="4876" w:type="dxa"/>
            <w:tcBorders>
              <w:top w:val="nil"/>
              <w:left w:val="nil"/>
              <w:bottom w:val="nil"/>
              <w:right w:val="nil"/>
            </w:tcBorders>
          </w:tcPr>
          <w:p>
            <w:pPr>
              <w:pStyle w:val="Normal6a"/>
            </w:pPr>
            <w:r>
              <w:rPr>
                <w:vertAlign w:val="superscript"/>
              </w:rPr>
              <w:t>14</w:t>
            </w:r>
            <w:r>
              <w:t xml:space="preserve"> </w:t>
            </w:r>
            <w:r>
              <w:t>M. Maneely / L. Ratnovski, „Bank Profits and Bank Taxes in the EU“ (Pangakasum ja pangamaksud ELis), IMF, juuli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juhib tähelepanu ELi pankade märkimisväärsele riskipositsioonile seoses pikaajaliste riigi võlakohustustega, eelkõige riigisiseste riskipositsioonidega;</w:t>
            </w:r>
            <w:r>
              <w:t xml:space="preserve"> </w:t>
            </w:r>
            <w:r>
              <w:rPr>
                <w:b/>
                <w:i/>
              </w:rPr>
              <w:t>tuletab meelde, kui oluline on nende riskipositsioonide suurem mitmekesistamine, et Euroopa sektor oleks asümmeetriliste eelarvešokkide suhtes vastupidavam;</w:t>
            </w:r>
            <w:r>
              <w:t xml:space="preserve"> </w:t>
            </w:r>
            <w:r>
              <w:rPr>
                <w:b/>
                <w:i/>
              </w:rPr>
              <w:t>rõhutab, kui oluline on tagada selliste ELi eelarve-eeskirjade täitmine, mille eesmärk on tagada usaldus liikmesriikide riigivõla vastu, mitmekesistamine ja seega süsteemse riski vähendamine euroalal;</w:t>
            </w:r>
            <w:r>
              <w:t xml:space="preserve"> </w:t>
            </w:r>
            <w:r>
              <w:rPr>
                <w:b/>
                <w:i/>
              </w:rPr>
              <w:t>tuletab meelde, et ühise turvalise vara kui võrdlusaluse puudumine vähendab kapitaliturgude ja pangandussektori tõhusust;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kutsub komisjoni üles töötama välja suunised pankade sihipärase solidaarsuspanuse kohta, mis kajastab hiljutist kasumit, tagades õiglase panuse riigi rahandusse, toetades samal ajal vastupanuvõimet ja finantsstabiilsust;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et pangandusliidu nõuetekohane toimimine ja usaldusväärsus sõltub ka liidu tarbijakaitseõiguse täielikust järgimisest ja tulemuslikust täitmise tagamisest pangandussektoris;</w:t>
            </w:r>
            <w:r>
              <w:t xml:space="preserve"> </w:t>
            </w:r>
            <w:r>
              <w:rPr>
                <w:b/>
                <w:i/>
              </w:rPr>
              <w:t>rõhutab, et krediidiasutused peavad hoiduma ebaõiglaste lepingutingimuste ja kaubandustavade kasutamisest, eelkõige hüpoteeklaenude ja jaelaenude puhul;</w:t>
            </w:r>
            <w:r>
              <w:t xml:space="preserve"> </w:t>
            </w:r>
            <w:r>
              <w:rPr>
                <w:b/>
                <w:i/>
              </w:rPr>
              <w:t>rõhutab, et tarbijad, sealhulgas laenuvõtjad, peavad saama kasu tulemuslikust kaitsest, õiguskindlusest ja juurdepääsust mõjusatele õiguskaitsevahenditele;</w:t>
            </w:r>
            <w:r>
              <w:t xml:space="preserve"> </w:t>
            </w:r>
            <w:r>
              <w:rPr>
                <w:b/>
                <w:i/>
              </w:rPr>
              <w:t>kutsub sellega seoses liikmesriike ja pädevaid asutusi üles tagama rikkumiste korral tugevad järelevalve- ja täitmise tagamise meetmed;</w:t>
            </w:r>
            <w:r>
              <w:t xml:space="preserve"> </w:t>
            </w:r>
            <w:r>
              <w:rPr>
                <w:b/>
                <w:i/>
              </w:rPr>
              <w:t>rõhutab lisaks, kui oluline on tagada alla 250 ruutmeetri suuruste esmaste eluasemete piisav kaitse, eelkõige juhtudel, kui laenuvõtjad on juba tagasi maksnud olulise osa oma laenust, näiteks 50 % esialgsest laenust;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et kõik pangandussektorit mõjutavad riiklikud meetmed, sealhulgas solidaarsuspanused, peaksid olema erandlikud ja proportsionaalsed ega tohiks kahjustada pankade suutlikkust rahastada reaalmajandust, toetada investeeringuid või säilitada finantsstabiilsus;</w:t>
            </w:r>
            <w:r>
              <w:t xml:space="preserve"> </w:t>
            </w:r>
            <w:r>
              <w:rPr>
                <w:b/>
                <w:i/>
              </w:rPr>
              <w:t>kutsub komisjoni üles jälgima nende mõju konkurentsivõimele ja piiriülesele integratsioonile siseturul;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väljendab heameelt AMLA rolli üle ELi rahapesu ja terrorismi rahastamise vastase võitluse tugevdamisel;</w:t>
            </w:r>
            <w:r>
              <w:t xml:space="preserve"> </w:t>
            </w:r>
            <w:r>
              <w:rPr>
                <w:b/>
                <w:i/>
              </w:rPr>
              <w:t>nõuab järjepidevat rakendamist, tõhustatud koostööd, teabe jagamist ja koordineeritud täitmise tagamist kogu ELis;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väljendab heameelt</w:t>
            </w:r>
            <w:r>
              <w:t xml:space="preserve"> AMLA rolli </w:t>
            </w:r>
            <w:r>
              <w:rPr>
                <w:b/>
                <w:i/>
              </w:rPr>
              <w:t>üle</w:t>
            </w:r>
            <w:r>
              <w:t xml:space="preserve"> ELi rahapesu ja terrorismi rahastamise vastase võitluse tugevdamisel; nõuab järjepidevat rakendamist, tõhustatud koostööd, teabe jagamist ja koordineeritud täitmise tagamist kogu ELis;</w:t>
            </w:r>
          </w:p>
        </w:tc>
        <w:tc>
          <w:tcPr>
            <w:tcW w:w="4876" w:type="dxa"/>
            <w:tcBorders>
              <w:top w:val="nil"/>
              <w:left w:val="nil"/>
              <w:bottom w:val="nil"/>
              <w:right w:val="nil"/>
            </w:tcBorders>
          </w:tcPr>
          <w:p>
            <w:pPr>
              <w:pStyle w:val="Normal6a"/>
            </w:pPr>
            <w:r>
              <w:t>8.</w:t>
            </w:r>
            <w:r>
              <w:tab/>
            </w:r>
            <w:r>
              <w:rPr>
                <w:b/>
                <w:i/>
              </w:rPr>
              <w:t>jääb ootama</w:t>
            </w:r>
            <w:r>
              <w:t xml:space="preserve"> AMLA rolli ELi rahapesu ja terrorismi rahastamise vastase võitluse tugevdamisel; nõuab järjepidevat rakendamist, tõhustatud koostööd, teabe jagamist ja koordineeritud täitmise tagamist kogu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väljendab heameelt AMLA rolli üle ELi rahapesu ja terrorismi rahastamise vastase võitluse tugevdamisel; nõuab järjepidevat rakendamist, tõhustatud koostööd, teabe jagamist ja koordineeritud täitmise tagamist kogu ELis;</w:t>
            </w:r>
          </w:p>
        </w:tc>
        <w:tc>
          <w:tcPr>
            <w:tcW w:w="4876" w:type="dxa"/>
            <w:tcBorders>
              <w:top w:val="nil"/>
              <w:left w:val="nil"/>
              <w:bottom w:val="nil"/>
              <w:right w:val="nil"/>
            </w:tcBorders>
          </w:tcPr>
          <w:p>
            <w:pPr>
              <w:pStyle w:val="Normal6a"/>
            </w:pPr>
            <w:r>
              <w:t>8.</w:t>
            </w:r>
            <w:r>
              <w:tab/>
            </w:r>
            <w:r>
              <w:t xml:space="preserve">väljendab heameelt AMLA rolli üle ELi rahapesu ja terrorismi rahastamise vastase võitluse tugevdamisel; nõuab järjepidevat rakendamist, tõhustatud koostööd, teabe jagamist ja koordineeritud täitmise tagamist kogu ELis; </w:t>
            </w:r>
            <w:r>
              <w:rPr>
                <w:b/>
                <w:i/>
              </w:rPr>
              <w:t>rõhutab, et AMLA peab oma järelevalve- ja regulatiivses töös järgima proportsionaalsuse põhimõtet;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väljendab heameelt AMLA rolli üle ELi rahapesu ja terrorismi rahastamise vastase võitluse tugevdamisel; nõuab järjepidevat rakendamist, tõhustatud koostööd, teabe jagamist ja koordineeritud täitmise tagamist kogu ELis;</w:t>
            </w:r>
          </w:p>
        </w:tc>
        <w:tc>
          <w:tcPr>
            <w:tcW w:w="4876" w:type="dxa"/>
            <w:tcBorders>
              <w:top w:val="nil"/>
              <w:left w:val="nil"/>
              <w:bottom w:val="nil"/>
              <w:right w:val="nil"/>
            </w:tcBorders>
          </w:tcPr>
          <w:p>
            <w:pPr>
              <w:pStyle w:val="Normal6a"/>
            </w:pPr>
            <w:r>
              <w:t>8.</w:t>
            </w:r>
            <w:r>
              <w:tab/>
            </w:r>
            <w:r>
              <w:t xml:space="preserve">väljendab heameelt AMLA rolli üle ELi rahapesu ja terrorismi rahastamise vastase võitluse tugevdamisel; nõuab järjepidevat rakendamist, tõhustatud koostööd, teabe jagamist ja koordineeritud täitmise tagamist kogu ELis; </w:t>
            </w:r>
            <w:r>
              <w:rPr>
                <w:b/>
                <w:i/>
              </w:rPr>
              <w:t>tuletab meelde, et kooskõlastatud, lihtsustatud ja proportsionaalne lähenemisviis peaks jääma AMLA 2. tasandi töö peamiseks juhtpõhimõtteks;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väljendab heameelt AMLA rolli üle ELi rahapesu ja terrorismi rahastamise vastase võitluse tugevdamisel; nõuab järjepidevat rakendamist, tõhustatud koostööd, teabe jagamist ja koordineeritud täitmise tagamist kogu ELis;</w:t>
            </w:r>
          </w:p>
        </w:tc>
        <w:tc>
          <w:tcPr>
            <w:tcW w:w="4876" w:type="dxa"/>
            <w:tcBorders>
              <w:top w:val="nil"/>
              <w:left w:val="nil"/>
              <w:bottom w:val="nil"/>
              <w:right w:val="nil"/>
            </w:tcBorders>
          </w:tcPr>
          <w:p>
            <w:pPr>
              <w:pStyle w:val="Normal6a"/>
            </w:pPr>
            <w:r>
              <w:t>8.</w:t>
            </w:r>
            <w:r>
              <w:tab/>
            </w:r>
            <w:r>
              <w:t>väljendab heameelt AMLA rolli üle ELi rahapesu ja terrorismi rahastamise vastase võitluse tugevdamisel; nõuab järjepidevat rakendamist, tõhustatud koostööd, teabe jagamist ja koordineeritud täitmise tagamist kogu ELis</w:t>
            </w:r>
            <w:r>
              <w:rPr>
                <w:b/>
                <w:i/>
              </w:rPr>
              <w:t>, vältides tarbetut regulatiivset kattumist ja finantsasutuste ülemäärast halduskoormust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väljendab heameelt AMLA rolli üle ELi rahapesu ja terrorismi rahastamise vastase võitluse tugevdamisel; nõuab järjepidevat rakendamist, tõhustatud koostööd, teabe jagamist ja koordineeritud täitmise tagamist kogu ELis;</w:t>
            </w:r>
          </w:p>
        </w:tc>
        <w:tc>
          <w:tcPr>
            <w:tcW w:w="4876" w:type="dxa"/>
            <w:tcBorders>
              <w:top w:val="nil"/>
              <w:left w:val="nil"/>
              <w:bottom w:val="nil"/>
              <w:right w:val="nil"/>
            </w:tcBorders>
          </w:tcPr>
          <w:p>
            <w:pPr>
              <w:pStyle w:val="Normal6a"/>
            </w:pPr>
            <w:r>
              <w:t>8.</w:t>
            </w:r>
            <w:r>
              <w:tab/>
            </w:r>
            <w:r>
              <w:t xml:space="preserve">väljendab heameelt AMLA rolli üle ELi rahapesu ja terrorismi rahastamise vastase võitluse tugevdamisel; nõuab järjepidevat rakendamist, tõhustatud koostööd, teabe jagamist ja koordineeritud täitmise tagamist kogu ELis; </w:t>
            </w:r>
            <w:r>
              <w:rPr>
                <w:b/>
                <w:i/>
              </w:rPr>
              <w:t>rõhutab vajadust tõhusa koostöö järele AMLA ning Euroopa järelevalveasutuste ja usaldatavusnõuete täitmise asutuste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rõhutab vajadust lihtsustada Euroopa regulatiivset, järelevalve- ja aruandlusraamistikku pankade jaoks, et kõrvaldada keerukus, mis mõjutab tarbetult Euroopa pankade konkurentsivõimet ja nende suutlikkust osutada reaalmajandusele tulemuslikult teenuseid;</w:t>
            </w:r>
            <w:r>
              <w:t xml:space="preserve"> </w:t>
            </w:r>
            <w:r>
              <w:rPr>
                <w:b/>
                <w:i/>
              </w:rPr>
              <w:t>rõhutab, et lihtsustamispüüdlused ei tohiks mõjutada pankade vastupanuvõimet, finantsstabiilsust ega kriisilahendusraamistiku mõjusust;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et </w:t>
            </w:r>
            <w:r>
              <w:rPr>
                <w:b/>
                <w:i/>
              </w:rPr>
              <w:t>järelevalve ja stabiilsuse jaoks on hädavajalik usaldusväärne, järjepidev ja õigeaegne finantsaruandlus;</w:t>
            </w:r>
            <w:r>
              <w:t xml:space="preserve"> </w:t>
            </w:r>
            <w:r>
              <w:rPr>
                <w:b/>
                <w:i/>
              </w:rPr>
              <w:t>rõhutab, et</w:t>
            </w:r>
            <w:r>
              <w:t xml:space="preserve"> lihtsustamine ei tohi nõrgendada usaldatavus-, tarbijakaitse- või stabiilsusstandardeid</w:t>
            </w:r>
            <w:r>
              <w:rPr>
                <w:b/>
                <w:i/>
              </w:rPr>
              <w:t>;</w:t>
            </w:r>
            <w:r>
              <w:t xml:space="preserve"> </w:t>
            </w:r>
            <w:r>
              <w:rPr>
                <w:b/>
                <w:i/>
              </w:rPr>
              <w:t>nõuab tasakaalustatud ja integreeritumat lähenemisviisi koos ühise andmesõnastiku ja taotluste hoidlaga, et vähendada tarbetut keerukust, säilitades samal ajal pangandusliidu raamistiku stabiilsuse</w:t>
            </w:r>
            <w:r>
              <w:t>;</w:t>
            </w:r>
          </w:p>
        </w:tc>
        <w:tc>
          <w:tcPr>
            <w:tcW w:w="4876" w:type="dxa"/>
            <w:tcBorders>
              <w:top w:val="nil"/>
              <w:left w:val="nil"/>
              <w:bottom w:val="nil"/>
              <w:right w:val="nil"/>
            </w:tcBorders>
          </w:tcPr>
          <w:p>
            <w:pPr>
              <w:pStyle w:val="Normal6a"/>
            </w:pPr>
            <w:r>
              <w:t>9.</w:t>
            </w:r>
            <w:r>
              <w:tab/>
            </w:r>
            <w:r>
              <w:t xml:space="preserve">rõhutab, et </w:t>
            </w:r>
            <w:r>
              <w:rPr>
                <w:b/>
                <w:i/>
              </w:rPr>
              <w:t>õigusnormide</w:t>
            </w:r>
            <w:r>
              <w:t xml:space="preserve"> lihtsustamine ei tohi nõrgendada usaldatavus-, tarbijakaitse- või stabiilsusstandardeid</w:t>
            </w:r>
            <w:r>
              <w:rPr>
                <w:b/>
                <w:i/>
              </w:rPr>
              <w:t>, vaid peab muutma need lõppeesmärgi saavutamiseks tõhusamaks ja proportsionaalsemaks;</w:t>
            </w:r>
            <w:r>
              <w:t xml:space="preserve"> </w:t>
            </w:r>
            <w:r>
              <w:rPr>
                <w:b/>
                <w:i/>
              </w:rPr>
              <w:t>kutsub üles edendama järelevalvekohustuste täitmiseks digitaalset arengut, eelkõige tehisintellekti;</w:t>
            </w:r>
            <w:r>
              <w:t xml:space="preserve"> </w:t>
            </w:r>
            <w:r>
              <w:rPr>
                <w:b/>
                <w:i/>
              </w:rPr>
              <w:t>julgustab järelevalve- ja reguleerivaid asutusi vähendama reguleeritud üksuste nõuete täitmisega seotud ja aruandluskulusid, jagades rohkem andmeid eri asutuste vahel ja uurides tehisintellekti võimalust minna tõukemudelilt – millega reguleeritakse järelevalve alla kuuluvatelt krediidiasutustelt ja investeerimisühingutelt saadud andmeid – üle tõmbemudelile, mille puhul järelevalve alla kuuluvad krediidiasutused ja investeerimisühingud annavad järelevalveasutustele juurdepääsu üksikasjalikele andmetele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rõhutab, et järelevalve ja stabiilsuse jaoks on hädavajalik usaldusväärne, järjepidev ja õigeaegne finantsaruandlus; rõhutab</w:t>
            </w:r>
            <w:r>
              <w:rPr>
                <w:b/>
                <w:i/>
              </w:rPr>
              <w:t>, et lihtsustamine ei tohi nõrgendada</w:t>
            </w:r>
            <w:r>
              <w:t xml:space="preserve"> usaldatavus-, tarbijakaitse- või </w:t>
            </w:r>
            <w:r>
              <w:rPr>
                <w:b/>
                <w:i/>
              </w:rPr>
              <w:t>stabiilsusstandardeid</w:t>
            </w:r>
            <w:r>
              <w:t xml:space="preserve">; nõuab tasakaalustatud ja integreeritumat lähenemisviisi </w:t>
            </w:r>
            <w:r>
              <w:rPr>
                <w:b/>
                <w:i/>
              </w:rPr>
              <w:t>koos ühise andmesõnastiku ja taotluste hoidlaga</w:t>
            </w:r>
            <w:r>
              <w:t xml:space="preserve">, et vähendada </w:t>
            </w:r>
            <w:r>
              <w:rPr>
                <w:b/>
                <w:i/>
              </w:rPr>
              <w:t>tarbetut keerukust, säilitades samal ajal pangandusliidu raamistiku stabiilsuse</w:t>
            </w:r>
            <w:r>
              <w:t>;</w:t>
            </w:r>
          </w:p>
        </w:tc>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rõhutab </w:t>
            </w:r>
            <w:r>
              <w:rPr>
                <w:b/>
                <w:i/>
              </w:rPr>
              <w:t>õiguskindluse, prognoositavuse ja stabiilsuse olulisust pangandussektori jaoks;</w:t>
            </w:r>
            <w:r>
              <w:t xml:space="preserve"> </w:t>
            </w:r>
            <w:r>
              <w:rPr>
                <w:b/>
                <w:i/>
              </w:rPr>
              <w:t>rõhutab sellega seoses vajadust täiendavate meetmete järele, mis edendaksid digitaliseerimist ja lihtsustamist, säilitades samal ajal</w:t>
            </w:r>
            <w:r>
              <w:t xml:space="preserve"> usaldatavus-, tarbijakaitse- või </w:t>
            </w:r>
            <w:r>
              <w:rPr>
                <w:b/>
                <w:i/>
              </w:rPr>
              <w:t>stabiilsusstandardid</w:t>
            </w:r>
            <w:r>
              <w:t>; nõuab tasakaalustatud ja integreeritumat lähenemisviisi</w:t>
            </w:r>
            <w:r>
              <w:rPr>
                <w:b/>
                <w:i/>
              </w:rPr>
              <w:t>, nagu tsentraliseeritud andmekeskus, mis põhineb standarditud määratlustel ja mida jagatakse ametiasutuste vahel</w:t>
            </w:r>
            <w:r>
              <w:t xml:space="preserve">, et vähendada </w:t>
            </w:r>
            <w:r>
              <w:rPr>
                <w:b/>
                <w:i/>
              </w:rPr>
              <w:t>dubleerimist, parandada andmete kvaliteeti ja vähendada pankade halduskoormust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w:t>
            </w:r>
            <w:r>
              <w:rPr>
                <w:b/>
                <w:i/>
              </w:rPr>
              <w:t>rõhutab, et lihtsustamine ei tohi nõrgendada usaldatavus-, tarbijakaitse- või stabiilsusstandardeid;</w:t>
            </w:r>
            <w:r>
              <w:t xml:space="preserve"> </w:t>
            </w:r>
            <w:r>
              <w:rPr>
                <w:b/>
                <w:i/>
              </w:rPr>
              <w:t>nõuab tasakaalustatud ja integreeritumat lähenemisviisi koos ühise andmesõnastiku ja taotluste hoidlaga, et vähendada tarbetut keerukust, säilitades samal ajal pangandusliidu raamistiku stabiilsuse</w:t>
            </w:r>
            <w:r>
              <w:t>;</w:t>
            </w:r>
          </w:p>
        </w:tc>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w:t>
            </w:r>
            <w:r>
              <w:rPr>
                <w:b/>
                <w:i/>
              </w:rPr>
              <w:t>märgib siiski vajadust lihtsustamise järele, eriti väiksemate üksuste jaoks;</w:t>
            </w:r>
            <w:r>
              <w:t xml:space="preserve"> </w:t>
            </w:r>
            <w:r>
              <w:rPr>
                <w:b/>
                <w:i/>
              </w:rPr>
              <w:t>on arvamusel, et selle valdkonna nõuded peaksid olema proportsionaalsed ja kohandatud Euroopa pangandussektori eripäradele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rõhutab, et </w:t>
            </w:r>
            <w:r>
              <w:rPr>
                <w:b/>
                <w:i/>
              </w:rPr>
              <w:t>lihtsustamine ei tohi nõrgendada</w:t>
            </w:r>
            <w:r>
              <w:t xml:space="preserve"> usaldatavus-, tarbijakaitse- või stabiilsusstandardeid; </w:t>
            </w:r>
            <w:r>
              <w:rPr>
                <w:b/>
                <w:i/>
              </w:rPr>
              <w:t>nõuab tasakaalustatud ja integreeritumat lähenemisviisi koos ühise andmesõnastiku ja taotluste hoidlaga, et vähendada tarbetut keerukust, säilitades samal ajal pangandusliidu raamistiku stabiilsuse;</w:t>
            </w:r>
          </w:p>
        </w:tc>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rõhutab, et </w:t>
            </w:r>
            <w:r>
              <w:rPr>
                <w:b/>
                <w:i/>
              </w:rPr>
              <w:t>lihtsustamisel tuleks keskenduda dubleerimise ja tarbetu keerukuse kõrvaldamisele, nõrgendamata</w:t>
            </w:r>
            <w:r>
              <w:t xml:space="preserve"> usaldatavus-, tarbijakaitse- või stabiilsusstandardeid;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w:t>
            </w:r>
            <w:r>
              <w:rPr>
                <w:b/>
                <w:i/>
              </w:rPr>
              <w:t>rõhutab, et lihtsustamine ei tohi nõrgendada usaldatavus-, tarbijakaitse- või stabiilsusstandardeid;</w:t>
            </w:r>
            <w:r>
              <w:t xml:space="preserve"> nõuab tasakaalustatud ja integreeritumat lähenemisviisi koos ühise andmesõnastiku ja taotluste hoidlaga, et vähendada tarbetut keerukust, säilitades samal ajal pangandusliidu raamistiku stabiilsuse;</w:t>
            </w:r>
          </w:p>
        </w:tc>
        <w:tc>
          <w:tcPr>
            <w:tcW w:w="4876" w:type="dxa"/>
            <w:tcBorders>
              <w:top w:val="nil"/>
              <w:left w:val="nil"/>
              <w:bottom w:val="nil"/>
              <w:right w:val="nil"/>
            </w:tcBorders>
          </w:tcPr>
          <w:p>
            <w:pPr>
              <w:pStyle w:val="Normal6a"/>
            </w:pPr>
            <w:r>
              <w:t>9.</w:t>
            </w:r>
            <w:r>
              <w:tab/>
            </w:r>
            <w:r>
              <w:t>rõhutab, et järelevalve ja stabiilsuse jaoks on hädavajalik usaldusväärne, järjepidev ja õigeaegne finantsaruandlus; nõuab tasakaalustatud</w:t>
            </w:r>
            <w:r>
              <w:rPr>
                <w:b/>
                <w:i/>
              </w:rPr>
              <w:t>, vähem koormavat</w:t>
            </w:r>
            <w:r>
              <w:t xml:space="preserve"> ja integreeritumat lähenemisviisi </w:t>
            </w:r>
            <w:r>
              <w:rPr>
                <w:b/>
                <w:i/>
              </w:rPr>
              <w:t>järelevalvelisele aruandlusele</w:t>
            </w:r>
            <w:r>
              <w:t xml:space="preserve"> koos ühise andmesõnastiku ja taotluste hoidlaga, et vähendada tarbetut keerukust, säilitades samal ajal pangandusliidu raamistiku stabiilsuse;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rõhutab, et lihtsustamine ei tohi nõrgendada </w:t>
            </w:r>
            <w:r>
              <w:rPr>
                <w:b/>
                <w:i/>
              </w:rPr>
              <w:t>usaldatavus-</w:t>
            </w:r>
            <w:r>
              <w:t>, tarbijakaitse- või stabiilsusstandardeid; nõuab tasakaalustatud ja integreeritumat lähenemisviisi koos ühise andmesõnastiku ja taotluste hoidlaga, et vähendada tarbetut keerukust, säilitades samal ajal pangandusliidu raamistiku stabiilsuse;</w:t>
            </w:r>
          </w:p>
        </w:tc>
        <w:tc>
          <w:tcPr>
            <w:tcW w:w="4876" w:type="dxa"/>
            <w:tcBorders>
              <w:top w:val="nil"/>
              <w:left w:val="nil"/>
              <w:bottom w:val="nil"/>
              <w:right w:val="nil"/>
            </w:tcBorders>
          </w:tcPr>
          <w:p>
            <w:pPr>
              <w:pStyle w:val="Normal6a"/>
            </w:pPr>
            <w:r>
              <w:t>9.</w:t>
            </w:r>
            <w:r>
              <w:tab/>
            </w:r>
            <w:r>
              <w:t xml:space="preserve">rõhutab, et järelevalve ja stabiilsuse jaoks on hädavajalik usaldusväärne, järjepidev ja õigeaegne finantsaruandlus; rõhutab, et lihtsustamine ei tohi nõrgendada </w:t>
            </w:r>
            <w:r>
              <w:rPr>
                <w:b/>
                <w:i/>
              </w:rPr>
              <w:t>usaldatavusnõuete täitmise kerksuse alaseid</w:t>
            </w:r>
            <w:r>
              <w:t>, tarbijakaitse- või stabiilsusstandardeid; nõuab tasakaalustatud ja integreeritumat lähenemisviisi koos ühise andmesõnastiku ja taotluste hoidlaga, et vähendada tarbetut keerukust, säilitades samal ajal pangandusliidu raamistiku stabiilsuse;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märgib, et pangandussektor on seisnud silmitsi arvukate kattuvate, killustatud ja kohati vastuoluliste eeskirjadega;</w:t>
            </w:r>
            <w:r>
              <w:t xml:space="preserve"> </w:t>
            </w:r>
            <w:r>
              <w:rPr>
                <w:b/>
                <w:i/>
              </w:rPr>
              <w:t>väljendab heameelt selle üle, et komisjon vaatab 2026. aastal põhjalikult läbi ELi pangandussektori konkurentsivõime;</w:t>
            </w:r>
            <w:r>
              <w:t xml:space="preserve"> </w:t>
            </w:r>
            <w:r>
              <w:rPr>
                <w:b/>
                <w:i/>
              </w:rPr>
              <w:t>kutsub komisjoni üles vähendama pangandussektori tarbetut regulatiivset koormust, et mitte kahjustada selle konkurentsivõimet;</w:t>
            </w:r>
            <w:r>
              <w:t xml:space="preserve"> </w:t>
            </w:r>
            <w:r>
              <w:rPr>
                <w:b/>
                <w:i/>
              </w:rPr>
              <w:t>kutsub komisjoni sellega seoses üles viima kõigi uute õigusaktide puhul sisse konkurentsivõime kontrolli, et muuta õigusloomeprotsessid sujuvamaks, näiteks vähendades automaatse läbivaatamise klauslite arvu ja kehtestades moratooriumi mitteolulistele uutele eeskirjadele ning kaotades süstemaatiliselt liigsed aruandlus- või avalikustamiskohustused;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kutsub järelevalveasutusi üles vältima põhjendamatuid piiranguid selliste digitaalsete uuenduslike vahendite kasutamisel, mis võivad suurendada tootlikkust ja konkurentsivõimet üldiselt;</w:t>
            </w:r>
            <w:r>
              <w:t xml:space="preserve"> </w:t>
            </w:r>
            <w:r>
              <w:rPr>
                <w:b/>
                <w:i/>
              </w:rPr>
              <w:t>julgustab kasutama põhimõttepõhist ja proportsionaalset lähenemisviisi, vältides innovatsiooni takistamist;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väljendab heameelt Euroopa Keskpanga kõrgetasemelise lihtsustamise rakkerühma loomise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rõhutab, kui oluline on tagada ELi panganduse õigusraamistikus proportsionaalsus, võttes arvesse eri institutsioonide suurust ja keerukust;</w:t>
            </w:r>
            <w:r>
              <w:t xml:space="preserve"> </w:t>
            </w:r>
            <w:r>
              <w:rPr>
                <w:b/>
                <w:i/>
              </w:rPr>
              <w:t>rõhutab väikeste pankade tähtsust VKEde ja kohaliku majanduse toetamisel ning kutsub komisjoni üles tagama, et mis tahes reguleerimine jääks riskitundlikuks ja tasakaalustatuks ning toetaks mitmekesist ja konkurentsivõimelist pangandussektorit kogu 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tunnustab </w:t>
            </w:r>
            <w:r>
              <w:rPr>
                <w:b/>
                <w:i/>
              </w:rPr>
              <w:t>institutsioonilisi ja regulatiivseid edusamme, mis on tugevdanud euroala pankade vastupanuvõimet</w:t>
            </w:r>
            <w:r>
              <w:t xml:space="preserve">; märgib, et </w:t>
            </w:r>
            <w:r>
              <w:rPr>
                <w:b/>
                <w:i/>
              </w:rPr>
              <w:t>ELi finantsteenuste ühtse turu täieliku</w:t>
            </w:r>
            <w:r>
              <w:t xml:space="preserve"> potentsiaali </w:t>
            </w:r>
            <w:r>
              <w:rPr>
                <w:b/>
                <w:i/>
              </w:rPr>
              <w:t>ärakasutamisel esineb endiselt takistusi</w:t>
            </w:r>
            <w:r>
              <w:t xml:space="preserve">; </w:t>
            </w:r>
            <w:r>
              <w:rPr>
                <w:b/>
                <w:i/>
              </w:rPr>
              <w:t>kutsub komisjoni, liikmesriike ja ELi organeid üles viima ambitsioonid vastavusse konkreetsete sammudega hoiuste ja investeeringute liidu ja ühtse turu väljakujundamiseks, edendades lihtsustamist ja konkurentsivõimet;</w:t>
            </w:r>
          </w:p>
        </w:tc>
        <w:tc>
          <w:tcPr>
            <w:tcW w:w="4876" w:type="dxa"/>
            <w:tcBorders>
              <w:top w:val="nil"/>
              <w:left w:val="nil"/>
              <w:bottom w:val="nil"/>
              <w:right w:val="nil"/>
            </w:tcBorders>
          </w:tcPr>
          <w:p>
            <w:pPr>
              <w:pStyle w:val="Normal6a"/>
            </w:pPr>
            <w:r>
              <w:t>10.</w:t>
            </w:r>
            <w:r>
              <w:tab/>
            </w:r>
            <w:r>
              <w:t xml:space="preserve">tunnustab </w:t>
            </w:r>
            <w:r>
              <w:rPr>
                <w:b/>
                <w:i/>
              </w:rPr>
              <w:t>institutsioonilist arengut vastupanuvõime alal</w:t>
            </w:r>
            <w:r>
              <w:t xml:space="preserve">; märgib, et </w:t>
            </w:r>
            <w:r>
              <w:rPr>
                <w:b/>
                <w:i/>
              </w:rPr>
              <w:t>õigusnormide järjest suurem paljusus õõnestab jätkuvalt Euroopa pangandussektori tegelikku</w:t>
            </w:r>
            <w:r>
              <w:t xml:space="preserve"> potentsiaali;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tunnustab institutsioonilisi ja regulatiivseid edusamme, mis on tugevdanud </w:t>
            </w:r>
            <w:r>
              <w:rPr>
                <w:b/>
                <w:i/>
              </w:rPr>
              <w:t>euroala</w:t>
            </w:r>
            <w:r>
              <w:t xml:space="preserve"> pankade vastupanuvõimet; märgib, et ELi finantsteenuste ühtse turu täieliku potentsiaali ärakasutamisel esineb endiselt takistusi; kutsub komisjoni, liikmesriike ja ELi organeid üles viima ambitsioonid vastavusse konkreetsete sammudega hoiuste ja investeeringute liidu ja ühtse turu väljakujundamiseks, </w:t>
            </w:r>
            <w:r>
              <w:rPr>
                <w:b/>
                <w:i/>
              </w:rPr>
              <w:t>edendades lihtsustamist ja konkurentsivõimet</w:t>
            </w:r>
            <w:r>
              <w:t>;</w:t>
            </w:r>
          </w:p>
        </w:tc>
        <w:tc>
          <w:tcPr>
            <w:tcW w:w="4876" w:type="dxa"/>
            <w:tcBorders>
              <w:top w:val="nil"/>
              <w:left w:val="nil"/>
              <w:bottom w:val="nil"/>
              <w:right w:val="nil"/>
            </w:tcBorders>
          </w:tcPr>
          <w:p>
            <w:pPr>
              <w:pStyle w:val="Normal6a"/>
            </w:pPr>
            <w:r>
              <w:t>10.</w:t>
            </w:r>
            <w:r>
              <w:tab/>
            </w:r>
            <w:r>
              <w:t xml:space="preserve">tunnustab institutsioonilisi ja regulatiivseid edusamme, mis on tugevdanud </w:t>
            </w:r>
            <w:r>
              <w:rPr>
                <w:b/>
                <w:i/>
              </w:rPr>
              <w:t>ELi</w:t>
            </w:r>
            <w:r>
              <w:t xml:space="preserve"> pankade vastupanuvõimet; märgib, et ELi finantsteenuste ühtse turu täieliku potentsiaali ärakasutamisel esineb endiselt takistusi; kutsub komisjoni, liikmesriike ja ELi organeid üles viima ambitsioonid vastavusse konkreetsete sammudega hoiuste ja investeeringute liidu ja ühtse turu väljakujundamiseks, </w:t>
            </w:r>
            <w:r>
              <w:rPr>
                <w:b/>
                <w:i/>
              </w:rPr>
              <w:t>et võimaldada vajalikke investeeringuid õiglaseks üleminekuks rohelisele majandusele</w:t>
            </w:r>
            <w:r>
              <w:t xml:space="preserve">; </w:t>
            </w:r>
            <w:r>
              <w:rPr>
                <w:b/>
                <w:i/>
              </w:rPr>
              <w:t>rõhutab taksonoomiamääruse tähtsust sellise püüdluse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tunnustab institutsioonilisi ja regulatiivseid edusamme, mis on tugevdanud euroala pankade vastupanuvõimet; märgib, et ELi finantsteenuste ühtse turu täieliku potentsiaali ärakasutamisel esineb endiselt takistusi; kutsub komisjoni, liikmesriike ja ELi organeid üles viima ambitsioonid vastavusse konkreetsete sammudega hoiuste ja investeeringute liidu ja ühtse turu väljakujundamiseks, edendades lihtsustamist ja konkurentsivõimet;</w:t>
            </w:r>
          </w:p>
        </w:tc>
        <w:tc>
          <w:tcPr>
            <w:tcW w:w="4876" w:type="dxa"/>
            <w:tcBorders>
              <w:top w:val="nil"/>
              <w:left w:val="nil"/>
              <w:bottom w:val="nil"/>
              <w:right w:val="nil"/>
            </w:tcBorders>
          </w:tcPr>
          <w:p>
            <w:pPr>
              <w:pStyle w:val="Normal6a"/>
            </w:pPr>
            <w:r>
              <w:t>10.</w:t>
            </w:r>
            <w:r>
              <w:tab/>
            </w:r>
            <w:r>
              <w:t xml:space="preserve">tunnustab institutsioonilisi ja regulatiivseid edusamme, mis on tugevdanud euroala pankade vastupanuvõimet; märgib, et ELi finantsteenuste ühtse turu täieliku potentsiaali ärakasutamisel esineb endiselt </w:t>
            </w:r>
            <w:r>
              <w:rPr>
                <w:b/>
                <w:i/>
              </w:rPr>
              <w:t>märkimisväärseid</w:t>
            </w:r>
            <w:r>
              <w:t xml:space="preserve"> takistusi; kutsub komisjoni, liikmesriike ja ELi organeid üles viima ambitsioonid vastavusse konkreetsete sammudega hoiuste ja investeeringute liidu ja ühtse turu väljakujundamiseks, edendades lihtsustamist ja konkurentsivõimet; </w:t>
            </w:r>
            <w:r>
              <w:rPr>
                <w:b/>
                <w:i/>
              </w:rPr>
              <w:t>kutsub komisjoni üles olema oma 2026. aasta aruandes ELi pangandussektori konkurentsivõime kohta ambitsioonikas ja julge, minnes kaugemale üksnes lihtsustamisest ning esitades konkreetseid ja teostatavaid ettepanekuid turuintegratsiooni, rahvusvahelisel tasandil võrdsete tingimuste ja Euroopa pankade konkurentsivõime tugevdamiseks;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rõhutab, et võttes arvesse jätkuvat geopoliitilist ebakindlust, potentsiaalselt ülehinnatud aktsiaturge ja hiljutisi rahutusi USAs pärast läbipaistmatut laenuandmist pangandusvälises (erakrediidi) sektoris, peaksid järelevalveasutused säilitama tulevikku suunatud perspektiivi ja jälgima piisavalt riske, ning et pangad peaksid säilitama piisavad kapitalipuhvrid ja olema oma tegevuses vastupidavad;</w:t>
            </w:r>
            <w:r>
              <w:t xml:space="preserve"> </w:t>
            </w:r>
            <w:r>
              <w:rPr>
                <w:b/>
                <w:i/>
              </w:rPr>
              <w:t>rõhutab sellega seoses vajadust parandada pangandusväliste finantsvahendajate järelevalvet ja vastupanuvõimet;</w:t>
            </w:r>
            <w:r>
              <w:t xml:space="preserve"> </w:t>
            </w:r>
            <w:r>
              <w:rPr>
                <w:b/>
                <w:i/>
              </w:rPr>
              <w:t>rõhutab, et tänane mõistlik järelevalve võib kaitsta maksumaksjaid, hoiustajaid ja reaalmajandust tulevaste kahjude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julgustab pangandussektorit tehisintellekti üha rohkem kasutama, tunnistades selle potentsiaali parandada tõhusust, innovatsiooni ja tarbijateenuseid ning tugevdada pettuste ennetamist;</w:t>
            </w:r>
            <w:r>
              <w:t xml:space="preserve"> </w:t>
            </w:r>
            <w:r>
              <w:rPr>
                <w:b/>
                <w:i/>
              </w:rPr>
              <w:t>rõhutab, et ELi tasandi reguleerimine ei tohi takistada tehnoloogilist innovatsiooni ja kasutuselevõttu pangandussektoris, tekitades turuosaliste seas ebakindlust ja segadust seoses tehisintellekti nõuetekohase kasutamisega;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väljendab heameelt EKP 2025. aasta detsembri aruande üle Euroopa usaldatavusnõuete regulatiivse, järelevalve- ja aruandlusraamistiku lihtsustamise kohta ning EBA aruande üle õigus- ja järelevalveraamistiku tõhususe kohta;</w:t>
            </w:r>
            <w:r>
              <w:t xml:space="preserve"> </w:t>
            </w:r>
            <w:r>
              <w:rPr>
                <w:b/>
                <w:i/>
              </w:rPr>
              <w:t>kutsub komisjoni üles võtma nendes aruannetes sisalduvate ettepanekute suhtes järelmeetmeid ja arendama neid edasi pangandusliidu konkurentsivõime eelseisva läbivaatamise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EKPd üles võtma asjakohaseid meetmeid, et kõrvaldada kõik takistused, mis takistavad pärast suurt finantskriisi oluliselt vähenenud lühiajaliste tagamata pankadevaheliste turgude taastumist;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on seisukohal, et põhimõttelist „pankrotti minemiseks liiga suure“ probleemi ei ole nõuetekohaselt käsitletud ja et struktuurireform on endiselt põhjendatud;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väljendab heameelt komisjoni eesmärgi üle teha 2026. aastal kokkuvõte Euroopa pangandussektori konkurentsivõimest;</w:t>
            </w:r>
            <w:r>
              <w:t xml:space="preserve"> </w:t>
            </w:r>
            <w:r>
              <w:rPr>
                <w:b/>
                <w:i/>
              </w:rPr>
              <w:t>kutsub komisjoni üles esitama ambitsioonika aruande, millele on lisatud seadusandlikud ettepanekud Euroopa pangandussektori konkurentsivõime oluliseks suurendamiseks;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julgustab EKPd kõrvaldama kõik allesjäänud tõkked, mis takistavad pankade piiriülest ühinemist, tagades samal ajal finantsstabiilsuse ja aidates kaasa Euroopa pangandusturu integratsioonile;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rõhutab, et Euroopa panganduseeskirjad peavad olema paremini kohandatud krediidiasutuste ja investeerimisühingute suurusele, ärimudelile, keerukusele ja riskiprofiilile;</w:t>
            </w:r>
            <w:r>
              <w:t xml:space="preserve"> </w:t>
            </w:r>
            <w:r>
              <w:rPr>
                <w:b/>
                <w:i/>
              </w:rPr>
              <w:t>rõhutab, et teised suuremad jurisdiktsioonid on valinud väikeste pankade jaoks sihtotstarbelise ja proportsionaalsema korra;</w:t>
            </w:r>
            <w:r>
              <w:t xml:space="preserve"> </w:t>
            </w:r>
            <w:r>
              <w:rPr>
                <w:b/>
                <w:i/>
              </w:rPr>
              <w:t>kutsub komisjoni üles kasutama eelseisvat panganduse konkurentsivõime läbivaatamist võimalusena töötada väikeste, rahvusvaheliselt mitteaktiivsete pankade jaoks välja tõeline väikepanganduse kord, mis on oluliselt leebem kui väga keerukad usaldatavus- ja järelevalvenõuded, mida praegu kohaldatakse kõigi Euroopa pankade suhtes ning mis on kavandatud peamiselt suurte, rahvusvaheliselt aktiivsete ja süsteemselt oluliste pangandusgruppide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märgib, et pangandussektorit mõjutav reguleerimine võiks olla proportsionaalsem, ning peab kahetsusväärseks väikeste pankade liigset koormust, mis takistab neil kasvada ja olla konkurentsivõimelisem; julgustab töötama väikeste pankade jaoks, kes võivad otsustada seda kasutada, välja täiesti originaalse eeskirjade kogumi;</w:t>
            </w:r>
            <w:r>
              <w:t xml:space="preserve"> </w:t>
            </w:r>
            <w:r>
              <w:rPr>
                <w:b/>
                <w:i/>
              </w:rPr>
              <w:t>on arvamusel, et see kavandatav nn väikepanganduse kord peab vastama nende pankade vajadustele proportsionaalsema reguleerimise kaudu, nagu teised jurisdiktsioonid ja ülemaailmsed finantskeskused on juba rakendanud;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märgib murega, et pankade riskipositsioonid oma riigi võlakirjades on jätkuvalt väga suured;</w:t>
            </w:r>
            <w:r>
              <w:t xml:space="preserve"> </w:t>
            </w:r>
            <w:r>
              <w:rPr>
                <w:b/>
                <w:i/>
              </w:rPr>
              <w:t>tuletab meelde, et pangariski ja riigi maksejõuetuse riski vahelise seose katkestamine on pangandusliidu jaoks endiselt probleem;</w:t>
            </w:r>
            <w:r>
              <w:t xml:space="preserve"> </w:t>
            </w:r>
            <w:r>
              <w:rPr>
                <w:b/>
                <w:i/>
              </w:rPr>
              <w:t>rõhutab, et pankade bilansiriski saab veelgi vähendada riiginõuete asjakohasema regulatiivse käsitlemise abil;</w:t>
            </w:r>
            <w:r>
              <w:t xml:space="preserve"> </w:t>
            </w:r>
            <w:r>
              <w:rPr>
                <w:b/>
                <w:i/>
              </w:rPr>
              <w:t>kutsub komisjoni üles esitama seadusandliku ettepaneku, millega kehtestatakse riiginõuete jaoks asjakohased riskikaalud;</w:t>
            </w:r>
            <w:r>
              <w:t xml:space="preserve"> </w:t>
            </w:r>
            <w:r>
              <w:rPr>
                <w:b/>
                <w:i/>
              </w:rPr>
              <w:t>rõhutab, et valitsemissektori võla taseme tõus muudab riiginõuete asjakohase käsitlemise pakilisemaks;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julgustab jätkama ELi finantseeskirjade põhjalikku ühtlustamist, kaotades liigsed aruandlus- ja avalikustamiskohustused;</w:t>
            </w:r>
            <w:r>
              <w:t xml:space="preserve"> </w:t>
            </w:r>
            <w:r>
              <w:rPr>
                <w:b/>
                <w:i/>
              </w:rPr>
              <w:t>kutsub üles lihtsustama kapitalikogumit, vähendades kattuvate puhvrite ja järelevalveliste lisandite arvu, et luua kapitalinõuete selgem ja läbipaistvam hierarhia;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juhib tähelepanu Euroopa pankade turu killustatusele, mis pärsib tõhusust ning tekitab kattuvaid eeskirju ja dubleeritud nõudeid, seda ka tarbijakaitse valdkonnas;</w:t>
            </w:r>
            <w:r>
              <w:t xml:space="preserve"> </w:t>
            </w:r>
            <w:r>
              <w:rPr>
                <w:b/>
                <w:i/>
              </w:rPr>
              <w:t>rõhutab vajadust kujundada välja pankade ühtne turg ja vähendada praegust struktuurset vahendite eraldamist, mis sunnib tütarettevõtjaid hoidma kapitali ja likviidsust kohalikul tasandil;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kutsub komisjoni üles kaaluma, kas Euroopa Pangandusjärelevalve rolli ja ülesandeid saaks edasi arendada, et võtta paremini arvesse regulatiivsete ja järelevalvestandardite mõju innovatsioonile ja ELi pangandussektori rahvusvahelisele konkurentsivõimele, ilma et see piiraks tema põhilisi usaldatavusnõuete täitmise järelevalve alaseid volitusi;</w:t>
            </w:r>
            <w:r>
              <w:t xml:space="preserve"> </w:t>
            </w:r>
            <w:r>
              <w:rPr>
                <w:b/>
                <w:i/>
              </w:rPr>
              <w:t>rõhutab, et innovatsioonisõbralike ja proportsionaalsete järelevalvetavade edendamine on oluline tagamaks, et pangandusliit jääb vastupidavaks ja konkurentsivõimeliseks ning suudab toetada reaalmajanduse kasvu;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märgib, et ühtse järelevalvemehhanismi pankade esimese taseme põhiomavahendite üldine suhtarv jõudis 2025. aasta </w:t>
            </w:r>
            <w:r>
              <w:rPr>
                <w:b/>
                <w:i/>
              </w:rPr>
              <w:t>teises</w:t>
            </w:r>
            <w:r>
              <w:t xml:space="preserve"> kvartalis </w:t>
            </w:r>
            <w:r>
              <w:rPr>
                <w:b/>
                <w:i/>
              </w:rPr>
              <w:t>16,12</w:t>
            </w:r>
            <w:r>
              <w:t xml:space="preserve"> %ni, kusjuures omakapitali investeeringute tulusus oli </w:t>
            </w:r>
            <w:r>
              <w:rPr>
                <w:b/>
                <w:i/>
              </w:rPr>
              <w:t>10,11</w:t>
            </w:r>
            <w:r>
              <w:t> %, samal ajal kui viivislaenude osakaal vähenes 2,22 %ni ja 2. etapi laenude osakaal oli 9,59 %</w:t>
            </w:r>
            <w:r>
              <w:rPr>
                <w:vertAlign w:val="superscript"/>
              </w:rPr>
              <w:t>15</w:t>
            </w:r>
            <w:r>
              <w:t>; rõhutab vajadust jälgida krediidiriski, säilitades samal ajal pangandussektori vastupanuvõime jaoks piisava kapitali ja likviidsuse;</w:t>
            </w:r>
          </w:p>
        </w:tc>
        <w:tc>
          <w:tcPr>
            <w:tcW w:w="4876" w:type="dxa"/>
            <w:tcBorders>
              <w:top w:val="nil"/>
              <w:left w:val="nil"/>
              <w:bottom w:val="nil"/>
              <w:right w:val="nil"/>
            </w:tcBorders>
          </w:tcPr>
          <w:p>
            <w:pPr>
              <w:pStyle w:val="Normal6a"/>
            </w:pPr>
            <w:r>
              <w:t>11.</w:t>
            </w:r>
            <w:r>
              <w:tab/>
            </w:r>
            <w:r>
              <w:t xml:space="preserve">märgib, et ühtse järelevalvemehhanismi pankade esimese taseme põhiomavahendite üldine suhtarv jõudis 2025. aasta </w:t>
            </w:r>
            <w:r>
              <w:rPr>
                <w:b/>
                <w:i/>
              </w:rPr>
              <w:t>kolmandas</w:t>
            </w:r>
            <w:r>
              <w:t xml:space="preserve"> kvartalis </w:t>
            </w:r>
            <w:r>
              <w:rPr>
                <w:b/>
                <w:i/>
              </w:rPr>
              <w:t>16,10</w:t>
            </w:r>
            <w:r>
              <w:t xml:space="preserve"> %ni, kusjuures omakapitali investeeringute tulusus oli </w:t>
            </w:r>
            <w:r>
              <w:rPr>
                <w:b/>
                <w:i/>
              </w:rPr>
              <w:t>9,88</w:t>
            </w:r>
            <w:r>
              <w:t xml:space="preserve"> %, samal ajal kui viivislaenude osakaal vähenes 2,22 %ni ja 2. etapi laenude osakaal oli 9,59 %</w:t>
            </w:r>
            <w:r>
              <w:rPr>
                <w:vertAlign w:val="superscript"/>
              </w:rPr>
              <w:t>15</w:t>
            </w:r>
            <w:r>
              <w:t>; rõhutab vajadust jälgida krediidiriski, säilitades samal ajal pangandussektori vastupanuvõime jaoks piisava kapitali ja likviidsuse;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EKP, Pangandusjärelevalve statistika (2025. aasta </w:t>
            </w:r>
            <w:r>
              <w:rPr>
                <w:b/>
                <w:i/>
              </w:rPr>
              <w:t>II</w:t>
            </w:r>
            <w:r>
              <w:t xml:space="preserve"> kvartal).</w:t>
            </w:r>
          </w:p>
        </w:tc>
        <w:tc>
          <w:tcPr>
            <w:tcW w:w="4876" w:type="dxa"/>
            <w:tcBorders>
              <w:top w:val="nil"/>
              <w:left w:val="nil"/>
              <w:bottom w:val="nil"/>
              <w:right w:val="nil"/>
            </w:tcBorders>
          </w:tcPr>
          <w:p>
            <w:pPr>
              <w:pStyle w:val="Normal6a"/>
            </w:pPr>
            <w:r>
              <w:rPr>
                <w:vertAlign w:val="superscript"/>
              </w:rPr>
              <w:t>15</w:t>
            </w:r>
            <w:r>
              <w:t xml:space="preserve"> </w:t>
            </w:r>
            <w:r>
              <w:t xml:space="preserve">EKP, Pangandusjärelevalve statistika (2025. aasta </w:t>
            </w:r>
            <w:r>
              <w:rPr>
                <w:b/>
                <w:i/>
              </w:rPr>
              <w:t>III</w:t>
            </w:r>
            <w:r>
              <w:t xml:space="preserve"> kvartal).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märgib, et ühtse järelevalvemehhanismi pankade esimese taseme põhiomavahendite üldine suhtarv jõudis 2025. aasta teises kvartalis 16,12 %ni, kusjuures omakapitali investeeringute tulusus oli 10,11 %, samal ajal kui viivislaenude osakaal vähenes 2,22 %ni ja 2. etapi laenude osakaal oli 9,59 %</w:t>
            </w:r>
            <w:r>
              <w:rPr>
                <w:b/>
                <w:i/>
                <w:vertAlign w:val="superscript"/>
              </w:rPr>
              <w:t>15</w:t>
            </w:r>
            <w:r>
              <w:t>; rõhutab vajadust jälgida krediidiriski, säilitades samal ajal pangandussektori vastupanuvõime jaoks piisava kapitali ja likviidsuse;</w:t>
            </w:r>
          </w:p>
        </w:tc>
        <w:tc>
          <w:tcPr>
            <w:tcW w:w="4876" w:type="dxa"/>
            <w:tcBorders>
              <w:top w:val="nil"/>
              <w:left w:val="nil"/>
              <w:bottom w:val="nil"/>
              <w:right w:val="nil"/>
            </w:tcBorders>
          </w:tcPr>
          <w:p>
            <w:pPr>
              <w:pStyle w:val="Normal6a"/>
            </w:pPr>
            <w:r>
              <w:t>11.</w:t>
            </w:r>
            <w:r>
              <w:tab/>
            </w:r>
            <w:r>
              <w:t>märgib, et ühtse järelevalvemehhanismi pankade esimese taseme põhiomavahendite üldine suhtarv jõudis 2025. aasta teises kvartalis 16,12 %ni, kusjuures omakapitali investeeringute tulusus oli 10,11 %, samal ajal kui viivislaenude osakaal vähenes 2,22 %ni ja 2. etapi laenude osakaal oli 9,59 %</w:t>
            </w:r>
            <w:r>
              <w:rPr>
                <w:vertAlign w:val="superscript"/>
              </w:rPr>
              <w:t>15</w:t>
            </w:r>
            <w:r>
              <w:t xml:space="preserve">; rõhutab vajadust jälgida krediidiriski, säilitades samal ajal pangandussektori vastupanuvõime jaoks piisava kapitali ja likviidsuse; </w:t>
            </w:r>
            <w:r>
              <w:rPr>
                <w:b/>
                <w:i/>
              </w:rPr>
              <w:t>rõhutab, et riskide vähendamisel tehtud edusammudega ei ole kaasnenud vastavaid edusamme riskide jagamisel;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EKP, Pangandusjärelevalve statistika (2025. aasta II kvartal).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juhib tähelepanu ebasoodsatele makromajanduslikele tingimustele ja geopoliitilistele tagasilöökidele, mis võivad viia varade kvaliteedi halvenemiseni;</w:t>
            </w:r>
            <w:r>
              <w:t xml:space="preserve"> </w:t>
            </w:r>
            <w:r>
              <w:rPr>
                <w:b/>
                <w:i/>
              </w:rPr>
              <w:t>toonitab seetõttu usaldusväärse riskijuhtimise ja asjakohaste eraldiste tähtsust;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et euroala pankade riskipositsioon riigi võlakohustuste suhtes on endiselt suur, ja juhib tähelepanu sellega seotud riskidele;</w:t>
            </w:r>
            <w:r>
              <w:t xml:space="preserve"> </w:t>
            </w:r>
            <w:r>
              <w:rPr>
                <w:b/>
                <w:i/>
              </w:rPr>
              <w:t>tuletab meelde, et pangandusliidu üks peamisi eesmärke on katkestada riigi ja pankade kriisiring;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et finantsstabiilsuse nõukogu, Euroopa Süsteemsete Riskide Nõukogu ning muud rahvusvahelised ja Euroopa organid on korduvalt rõhutanud pangandusvälisest finantssektorist tulenevat riski, eelkõige selle järjest suurema seotuse tõttu traditsioonilise pangandussektoriga;</w:t>
            </w:r>
            <w:r>
              <w:t xml:space="preserve"> </w:t>
            </w:r>
            <w:r>
              <w:rPr>
                <w:b/>
                <w:i/>
              </w:rPr>
              <w:t>toetab eurosüsteemi soovitust võtta kasutusele kogu süsteemi hõlmavad stressitestid põhiturgude vastupanuvõimet ohustavate riskide kindlakstegemiseks ja kvantifitseerimiseks;</w:t>
            </w:r>
            <w:r>
              <w:t xml:space="preserve"> </w:t>
            </w:r>
            <w:r>
              <w:rPr>
                <w:b/>
                <w:i/>
              </w:rPr>
              <w:t>nõuab tungivalt, et komisjon uuriks, kas järelevalvevahendites on lünki, sealhulgas seoses võimalike likviidsusprobleemidega ja mõjuga süsteemsele riskile;</w:t>
            </w:r>
            <w:r>
              <w:t xml:space="preserve"> </w:t>
            </w:r>
            <w:r>
              <w:rPr>
                <w:b/>
                <w:i/>
              </w:rPr>
              <w:t>kutsub komisjoni üles esitama asjakohaseid seadusandlikke ettepanekuid finantsstabiilsuse kaitsmiseks;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w:t>
            </w:r>
            <w:r>
              <w:rPr>
                <w:b/>
                <w:i/>
              </w:rPr>
              <w:t>standardite õigeaegset, täielikku ja usaldusväärset rakendamist, et tugevdada vastupanuvõimet ja konkurentsivõimet;</w:t>
            </w:r>
            <w:r>
              <w:t xml:space="preserve"> </w:t>
            </w:r>
            <w:r>
              <w:rPr>
                <w:b/>
                <w:i/>
              </w:rPr>
              <w:t>taunib kõrvalekaldeid ja kutsub komisjoni üles vaatama läbi samaväärsust kinnitavad otsused jurisdiktsioonidega, kes neid standardeid ei rakenda</w:t>
            </w:r>
            <w:r>
              <w:t>;</w:t>
            </w:r>
          </w:p>
        </w:tc>
        <w:tc>
          <w:tcPr>
            <w:tcW w:w="4876" w:type="dxa"/>
            <w:tcBorders>
              <w:top w:val="nil"/>
              <w:left w:val="nil"/>
              <w:bottom w:val="nil"/>
              <w:right w:val="nil"/>
            </w:tcBorders>
          </w:tcPr>
          <w:p>
            <w:pPr>
              <w:pStyle w:val="Normal6a"/>
            </w:pPr>
            <w:r>
              <w:t>12.</w:t>
            </w:r>
            <w:r>
              <w:tab/>
            </w:r>
            <w:r>
              <w:t>rõhutab</w:t>
            </w:r>
            <w:r>
              <w:rPr>
                <w:b/>
                <w:i/>
              </w:rPr>
              <w:t>, et</w:t>
            </w:r>
            <w:r>
              <w:t xml:space="preserve"> Basel III </w:t>
            </w:r>
            <w:r>
              <w:rPr>
                <w:b/>
                <w:i/>
              </w:rPr>
              <w:t>eeskirju tuleks kohandada Euroopa pangandussektori eripäradega, võttes arvesse proportsionaalsuse kriteeriumi ja lihtsustuste kasutuselevõttu väiksemate pankade jaoks, mis on kooskõlas Euroopa Keskpanga kõrgetasemelise lihtsustamise rakkerühma tulemustega, mida toetab EKP nõukogu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w:t>
            </w:r>
            <w:r>
              <w:rPr>
                <w:b/>
                <w:i/>
              </w:rPr>
              <w:t>standardite õigeaegset, täielikku ja usaldusväärset rakendamist, et tugevdada vastupanuvõimet ja</w:t>
            </w:r>
            <w:r>
              <w:t xml:space="preserve"> konkurentsivõimet; </w:t>
            </w:r>
            <w:r>
              <w:rPr>
                <w:b/>
                <w:i/>
              </w:rPr>
              <w:t>taunib kõrvalekaldeid ja kutsub komisjoni üles vaatama läbi samaväärsust kinnitavad otsused jurisdiktsioonidega, kes neid standardeid ei rakenda</w:t>
            </w:r>
            <w:r>
              <w:t>;</w:t>
            </w:r>
          </w:p>
        </w:tc>
        <w:tc>
          <w:tcPr>
            <w:tcW w:w="4876" w:type="dxa"/>
            <w:tcBorders>
              <w:top w:val="nil"/>
              <w:left w:val="nil"/>
              <w:bottom w:val="nil"/>
              <w:right w:val="nil"/>
            </w:tcBorders>
          </w:tcPr>
          <w:p>
            <w:pPr>
              <w:pStyle w:val="Normal6a"/>
            </w:pPr>
            <w:r>
              <w:t>12.</w:t>
            </w:r>
            <w:r>
              <w:tab/>
            </w:r>
            <w:r>
              <w:t xml:space="preserve">rõhutab </w:t>
            </w:r>
            <w:r>
              <w:rPr>
                <w:b/>
                <w:i/>
              </w:rPr>
              <w:t>vajadust rakendada</w:t>
            </w:r>
            <w:r>
              <w:t xml:space="preserve"> Basel III </w:t>
            </w:r>
            <w:r>
              <w:rPr>
                <w:b/>
                <w:i/>
              </w:rPr>
              <w:t>standardeid viisil, mis võtab arvesse ülemaailmseid arenguid ja vajadust kaitsta Euroopa pankade rahvusvahelist</w:t>
            </w:r>
            <w:r>
              <w:t xml:space="preserve"> konkurentsivõimet; </w:t>
            </w:r>
            <w:r>
              <w:rPr>
                <w:b/>
                <w:i/>
              </w:rPr>
              <w:t>märgib murega, et teised jurisdiktsioonid on järginud vähem ambitsioonikat rakenduskava;</w:t>
            </w:r>
            <w:r>
              <w:t xml:space="preserve"> </w:t>
            </w:r>
            <w:r>
              <w:rPr>
                <w:b/>
                <w:i/>
              </w:rPr>
              <w:t>rõhutab, et komisjon peaks põhjalikult hindama, kas ELi pankade rahvusvahelise konkurentsivõime säilitamiseks on vaja rakendamisega viivitada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standardite </w:t>
            </w:r>
            <w:r>
              <w:rPr>
                <w:b/>
                <w:i/>
              </w:rPr>
              <w:t>õigeaegset, täielikku ja usaldusväärset rakendamist</w:t>
            </w:r>
            <w:r>
              <w:t xml:space="preserve">, et tugevdada vastupanuvõimet ja konkurentsivõimet; </w:t>
            </w:r>
            <w:r>
              <w:rPr>
                <w:b/>
                <w:i/>
              </w:rPr>
              <w:t>taunib kõrvalekaldeid ja kutsub komisjoni üles vaatama läbi samaväärsust kinnitavad otsused jurisdiktsioonidega, kes neid standardeid ei rakenda</w:t>
            </w:r>
            <w:r>
              <w:t>;</w:t>
            </w:r>
          </w:p>
        </w:tc>
        <w:tc>
          <w:tcPr>
            <w:tcW w:w="4876" w:type="dxa"/>
            <w:tcBorders>
              <w:top w:val="nil"/>
              <w:left w:val="nil"/>
              <w:bottom w:val="nil"/>
              <w:right w:val="nil"/>
            </w:tcBorders>
          </w:tcPr>
          <w:p>
            <w:pPr>
              <w:pStyle w:val="Normal6a"/>
            </w:pPr>
            <w:r>
              <w:t>12.</w:t>
            </w:r>
            <w:r>
              <w:tab/>
            </w:r>
            <w:r>
              <w:t xml:space="preserve">rõhutab </w:t>
            </w:r>
            <w:r>
              <w:rPr>
                <w:b/>
                <w:i/>
              </w:rPr>
              <w:t>vajadust tagada</w:t>
            </w:r>
            <w:r>
              <w:t xml:space="preserve"> Basel III standardite </w:t>
            </w:r>
            <w:r>
              <w:rPr>
                <w:b/>
                <w:i/>
              </w:rPr>
              <w:t>rakendamine</w:t>
            </w:r>
            <w:r>
              <w:t xml:space="preserve">, et tugevdada vastupanuvõimet ja </w:t>
            </w:r>
            <w:r>
              <w:rPr>
                <w:b/>
                <w:i/>
              </w:rPr>
              <w:t>ülemaailmset</w:t>
            </w:r>
            <w:r>
              <w:t xml:space="preserve"> konkurentsivõimet; </w:t>
            </w:r>
            <w:r>
              <w:rPr>
                <w:b/>
                <w:i/>
              </w:rPr>
              <w:t>märgib jätkuvat ebaselgust seoses rakendamisega mõnes suuremas ELi-välises jurisdiktsioonis ning rõhutab, et finantsstabiilsuse, Baseli raamistiku terviklikkuse ja võrdsete tingimuste säilitamine on oluline pikaajalise konkurentsivõime tagamiseks rahvusvahelises kontekstis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w:t>
            </w:r>
            <w:r>
              <w:rPr>
                <w:b/>
                <w:i/>
              </w:rPr>
              <w:t>et tugevdada</w:t>
            </w:r>
            <w:r>
              <w:t xml:space="preserve"> vastupanuvõimet ja konkurentsivõimet; </w:t>
            </w:r>
            <w:r>
              <w:rPr>
                <w:b/>
                <w:i/>
              </w:rPr>
              <w:t>taunib kõrvalekaldeid ja</w:t>
            </w:r>
            <w:r>
              <w:t xml:space="preserve"> kutsub komisjoni üles </w:t>
            </w:r>
            <w:r>
              <w:rPr>
                <w:b/>
                <w:i/>
              </w:rPr>
              <w:t>vaatama läbi samaväärsust kinnitavad otsused jurisdiktsioonidega, kes neid standardeid ei rakenda</w:t>
            </w:r>
            <w:r>
              <w:t>;</w:t>
            </w:r>
          </w:p>
        </w:tc>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w:t>
            </w:r>
            <w:r>
              <w:rPr>
                <w:b/>
                <w:i/>
              </w:rPr>
              <w:t>kuivõrd need tugevdavad</w:t>
            </w:r>
            <w:r>
              <w:t xml:space="preserve"> vastupanuvõimet ja konkurentsivõimet; </w:t>
            </w:r>
            <w:r>
              <w:rPr>
                <w:b/>
                <w:i/>
              </w:rPr>
              <w:t>märgib murega, et teised jurisdiktsioonid on järginud vähem ambitsioonikat tegevuskava, mis võib kahjustada võrdseid võimalusi rahvusvahelisel tasandil;</w:t>
            </w:r>
            <w:r>
              <w:t xml:space="preserve"> kutsub komisjoni üles </w:t>
            </w:r>
            <w:r>
              <w:rPr>
                <w:b/>
                <w:i/>
              </w:rPr>
              <w:t>hindama ELi pankade rahvusvahelist konkurentsivõimet ja selle tagama, vähendamata nende vastupanuvõimet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et tugevdada vastupanuvõimet ja konkurentsivõimet; taunib kõrvalekaldeid </w:t>
            </w:r>
            <w:r>
              <w:rPr>
                <w:b/>
                <w:i/>
              </w:rPr>
              <w:t>ja kutsub komisjoni üles vaatama läbi samaväärsust kinnitavad otsused jurisdiktsioonidega, kes neid standardeid ei rakenda</w:t>
            </w:r>
            <w:r>
              <w:t>;</w:t>
            </w:r>
          </w:p>
        </w:tc>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w:t>
            </w:r>
            <w:r>
              <w:rPr>
                <w:b/>
                <w:i/>
              </w:rPr>
              <w:t>üksnes rahvusvaheliselt tegutsevate pankade suhtes, kelle jaoks need standardid välja töötati</w:t>
            </w:r>
            <w:r>
              <w:t>, et tugevdada vastupanuvõimet ja konkurentsivõimet; taunib kõrvalekaldeid;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Basel III standardite õigeaegset</w:t>
            </w:r>
            <w:r>
              <w:rPr>
                <w:b/>
                <w:i/>
              </w:rPr>
              <w:t>, täielikku</w:t>
            </w:r>
            <w:r>
              <w:t xml:space="preserve"> ja usaldusväärset rakendamist, et tugevdada vastupanuvõimet ja konkurentsivõimet; </w:t>
            </w:r>
            <w:r>
              <w:rPr>
                <w:b/>
                <w:i/>
              </w:rPr>
              <w:t>taunib kõrvalekaldeid ja</w:t>
            </w:r>
            <w:r>
              <w:t xml:space="preserve"> kutsub komisjoni üles </w:t>
            </w:r>
            <w:r>
              <w:rPr>
                <w:b/>
                <w:i/>
              </w:rPr>
              <w:t>vaatama läbi</w:t>
            </w:r>
            <w:r>
              <w:t xml:space="preserve"> samaväärsust kinnitavad otsused jurisdiktsioonidega, kes </w:t>
            </w:r>
            <w:r>
              <w:rPr>
                <w:b/>
                <w:i/>
              </w:rPr>
              <w:t>neid</w:t>
            </w:r>
            <w:r>
              <w:t xml:space="preserve"> standardeid </w:t>
            </w:r>
            <w:r>
              <w:rPr>
                <w:b/>
                <w:i/>
              </w:rPr>
              <w:t>ei rakenda</w:t>
            </w:r>
            <w:r>
              <w:t>;</w:t>
            </w:r>
          </w:p>
        </w:tc>
        <w:tc>
          <w:tcPr>
            <w:tcW w:w="4876" w:type="dxa"/>
            <w:tcBorders>
              <w:top w:val="nil"/>
              <w:left w:val="nil"/>
              <w:bottom w:val="nil"/>
              <w:right w:val="nil"/>
            </w:tcBorders>
          </w:tcPr>
          <w:p>
            <w:pPr>
              <w:pStyle w:val="Normal6a"/>
            </w:pPr>
            <w:r>
              <w:t>12.</w:t>
            </w:r>
            <w:r>
              <w:tab/>
            </w:r>
            <w:r>
              <w:t xml:space="preserve">rõhutab Basel III standardite õigeaegset ja usaldusväärset rakendamist, et tugevdada vastupanuvõimet ja konkurentsivõimet; </w:t>
            </w:r>
            <w:r>
              <w:rPr>
                <w:b/>
                <w:i/>
              </w:rPr>
              <w:t>võtab teadmiseks praeguse ebaselguse Basel III standardite rakendamise osas mõnes teises jurisdiktsioonis ja võimaliku ohu rahvusvahelisel tasandil võrdsetele võimalustele;</w:t>
            </w:r>
            <w:r>
              <w:t xml:space="preserve"> </w:t>
            </w:r>
            <w:r>
              <w:rPr>
                <w:b/>
                <w:i/>
              </w:rPr>
              <w:t>rõhutab, et komisjon peaks hindama seda, kas sihipärased muudatused võiksid aidata säilitada ELi pankade rahvusvahelist konkurentsivõimet nende vastupanuvõimet vähendamata;</w:t>
            </w:r>
            <w:r>
              <w:t xml:space="preserve"> kutsub komisjoni üles </w:t>
            </w:r>
            <w:r>
              <w:rPr>
                <w:b/>
                <w:i/>
              </w:rPr>
              <w:t>hindama, kas</w:t>
            </w:r>
            <w:r>
              <w:t xml:space="preserve"> samaväärsust kinnitavad otsused</w:t>
            </w:r>
            <w:r>
              <w:rPr>
                <w:b/>
                <w:i/>
              </w:rPr>
              <w:t>, mis on tehtud</w:t>
            </w:r>
            <w:r>
              <w:t xml:space="preserve"> jurisdiktsioonidega, kes </w:t>
            </w:r>
            <w:r>
              <w:rPr>
                <w:b/>
                <w:i/>
              </w:rPr>
              <w:t>ei rakenda Basel III</w:t>
            </w:r>
            <w:r>
              <w:t xml:space="preserve"> standardeid</w:t>
            </w:r>
            <w:r>
              <w:rPr>
                <w:b/>
                <w:i/>
              </w:rPr>
              <w:t>, tuleb läbi vaadata, et säilitada ELi finantssektori finantsstabiilsus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Basel III standardite õigeaegset, täielikku ja usaldusväärset rakendamist, et tugevdada vastupanuvõimet ja konkurentsivõimet; taunib kõrvalekaldeid ja kutsub komisjoni üles vaatama läbi samaväärsust kinnitavad otsused jurisdiktsioonidega, kes neid standardeid ei rakenda;</w:t>
            </w:r>
          </w:p>
        </w:tc>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et tugevdada vastupanuvõimet ja konkurentsivõimet; taunib kõrvalekaldeid ja kutsub komisjoni üles vaatama läbi samaväärsust kinnitavad otsused jurisdiktsioonidega, kes neid standardeid ei rakenda; </w:t>
            </w:r>
            <w:r>
              <w:rPr>
                <w:b/>
                <w:i/>
              </w:rPr>
              <w:t>rõhutab samas, et Basel III standardite rakendamisel tuleks säilitada võrdsed võimalused ülemaailmsel tasandil ning seejuures tuleks ELi 3. tasandi reeglite rakendamisel vältida liikmesriikide ametiasutuste poolset ülereguleerimist ja ennetada soovimatut mõju ELi pankade võimele rahastada reaalmajandust;</w:t>
            </w:r>
            <w:r>
              <w:t xml:space="preserve"> </w:t>
            </w:r>
            <w:r>
              <w:rPr>
                <w:b/>
                <w:i/>
              </w:rPr>
              <w:t>väljendab sellega seoses heameelt komisjoni algatuse üle anda välja aruanne ELi pangandussektori konkurentsivõime ja integratsiooni kohta ning kutsub üles esitama konkreetseid ettepanekuid pankade laenuandmisvõime toetamiseks, pidades eelkõige silmas laenu andmist leibkondadele, VKEdele ning avaliku ja erasektori tulusateks investeeringuteks, sealhulgas, kui see on asjakohane, meetmeid, mis toetaksid madala riskiga ja lühiajaliste finantsinstrumentide, nagu faktooring ja kaubanduse rahastamine, tõhusat kasutamist;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w:t>
            </w:r>
            <w:r>
              <w:rPr>
                <w:b/>
                <w:i/>
              </w:rPr>
              <w:t>standardite õigeaegset, täielikku ja usaldusväärset rakendamist, et tugevdada</w:t>
            </w:r>
            <w:r>
              <w:t xml:space="preserve"> vastupanuvõimet ja konkurentsivõimet; </w:t>
            </w:r>
            <w:r>
              <w:rPr>
                <w:b/>
                <w:i/>
              </w:rPr>
              <w:t>taunib kõrvalekaldeid ja kutsub komisjoni üles vaatama läbi samaväärsust kinnitavad otsused jurisdiktsioonidega, kes neid standardeid ei rakenda</w:t>
            </w:r>
            <w:r>
              <w:t>;</w:t>
            </w:r>
          </w:p>
        </w:tc>
        <w:tc>
          <w:tcPr>
            <w:tcW w:w="4876" w:type="dxa"/>
            <w:tcBorders>
              <w:top w:val="nil"/>
              <w:left w:val="nil"/>
              <w:bottom w:val="nil"/>
              <w:right w:val="nil"/>
            </w:tcBorders>
          </w:tcPr>
          <w:p>
            <w:pPr>
              <w:pStyle w:val="Normal6a"/>
            </w:pPr>
            <w:r>
              <w:t>12.</w:t>
            </w:r>
            <w:r>
              <w:tab/>
            </w:r>
            <w:r>
              <w:t>rõhutab</w:t>
            </w:r>
            <w:r>
              <w:rPr>
                <w:b/>
                <w:i/>
              </w:rPr>
              <w:t>, et finantsstabiilsus on tulemusliku rahapoliitika ja vastupanuvõimelise finantssüsteemi eeltingimus;</w:t>
            </w:r>
            <w:r>
              <w:t xml:space="preserve"> </w:t>
            </w:r>
            <w:r>
              <w:rPr>
                <w:b/>
                <w:i/>
              </w:rPr>
              <w:t>tunneb heameelt niisuguse</w:t>
            </w:r>
            <w:r>
              <w:t xml:space="preserve"> Basel III </w:t>
            </w:r>
            <w:r>
              <w:rPr>
                <w:b/>
                <w:i/>
              </w:rPr>
              <w:t>raamistiku lõpliku vormistamise ja rakendamise üle, mis tugevdab ELi</w:t>
            </w:r>
            <w:r>
              <w:t xml:space="preserve"> vastupanuvõimet ja konkurentsivõimet; </w:t>
            </w:r>
            <w:r>
              <w:rPr>
                <w:b/>
                <w:i/>
              </w:rPr>
              <w:t>rõhutab jätkuvat ebaselgust seoses Basel III standardite rakendamisega mõnes muus jurisdiktsioonis ja ohtu, et see võib tekitada rahvusvahelisel tasandil võrdsete võimalustega seotud probleeme;</w:t>
            </w:r>
            <w:r>
              <w:t xml:space="preserve"> </w:t>
            </w:r>
            <w:r>
              <w:rPr>
                <w:b/>
                <w:i/>
              </w:rPr>
              <w:t>toonitab, kui oluline on tagada õige tasakaal finantsstabiilsuse, rahvusvaheliste raamistike järgimise ja rahvusvahelisel tasandil võrdsete võimaluste vahel, et tagada Euroopa pankade suutlikkus konkureerida võrdsetel alustel teiste jurisdiktsioonide pankadega</w:t>
            </w:r>
            <w:r>
              <w:t xml:space="preserve">; </w:t>
            </w:r>
            <w:r>
              <w:rPr>
                <w:b/>
                <w:i/>
              </w:rPr>
              <w:t>toonitab, kui oluline on võtta arvesse Euroopa eripära, et tagada konkurentsivõimeline Euroopa pangandussektor;</w:t>
            </w:r>
            <w:r>
              <w:t xml:space="preserve"> </w:t>
            </w:r>
            <w:r>
              <w:rPr>
                <w:b/>
                <w:i/>
              </w:rPr>
              <w:t>rõhutab kauplemisportfelli põhjaliku läbivaatamise järjepideva ja rahvusvaheliselt kooskõlastatud rakendamise tähtsust;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et tugevdada vastupanuvõimet ja konkurentsivõimet; </w:t>
            </w:r>
            <w:r>
              <w:rPr>
                <w:b/>
                <w:i/>
              </w:rPr>
              <w:t>taunib kõrvalekaldeid ja</w:t>
            </w:r>
            <w:r>
              <w:t xml:space="preserve"> kutsub komisjoni üles </w:t>
            </w:r>
            <w:r>
              <w:rPr>
                <w:b/>
                <w:i/>
              </w:rPr>
              <w:t>vaatama läbi</w:t>
            </w:r>
            <w:r>
              <w:t xml:space="preserve"> samaväärsust </w:t>
            </w:r>
            <w:r>
              <w:rPr>
                <w:b/>
                <w:i/>
              </w:rPr>
              <w:t>kinnitavad otsused</w:t>
            </w:r>
            <w:r>
              <w:t xml:space="preserve"> jurisdiktsioonidega, kes neid standardeid ei rakenda;</w:t>
            </w:r>
          </w:p>
        </w:tc>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et tugevdada vastupanuvõimet ja konkurentsivõimet; kutsub komisjoni üles </w:t>
            </w:r>
            <w:r>
              <w:rPr>
                <w:b/>
                <w:i/>
              </w:rPr>
              <w:t>hindama järjepidevalt ja riskipõhiselt</w:t>
            </w:r>
            <w:r>
              <w:t xml:space="preserve"> samaväärsust </w:t>
            </w:r>
            <w:r>
              <w:rPr>
                <w:b/>
                <w:i/>
              </w:rPr>
              <w:t>kinnitavaid otsuseid</w:t>
            </w:r>
            <w:r>
              <w:t xml:space="preserve"> jurisdiktsioonidega, kes neid standardeid ei rakenda</w:t>
            </w:r>
            <w:r>
              <w:rPr>
                <w:b/>
                <w:i/>
              </w:rPr>
              <w:t>, tagades ülemaailmsed konkurentsitingimused</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Basel III standardite õigeaegset, täielikku ja usaldusväärset rakendamist, et tugevdada vastupanuvõimet ja konkurentsivõimet; taunib kõrvalekaldeid ja kutsub komisjoni üles vaatama läbi samaväärsust kinnitavad otsused jurisdiktsioonidega, kes neid standardeid ei rakenda;</w:t>
            </w:r>
          </w:p>
        </w:tc>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et tugevdada vastupanuvõimet ja </w:t>
            </w:r>
            <w:r>
              <w:rPr>
                <w:b/>
                <w:i/>
              </w:rPr>
              <w:t>konkurentsivõimet, sealhulgas kauplemisportfelli põhjalikku läbivaatamist;</w:t>
            </w:r>
            <w:r>
              <w:t xml:space="preserve"> </w:t>
            </w:r>
            <w:r>
              <w:rPr>
                <w:b/>
                <w:i/>
              </w:rPr>
              <w:t>tuletab meelde, et ühtse järelevalvemehhanismi raames on mitu korda korratud, et kauplemisportfelli põhjaliku läbivaatamise standardite rakendamine tugevdaks ELi pankade vastupanuvõimet ega kahjustaks nende</w:t>
            </w:r>
            <w:r>
              <w:t xml:space="preserve"> konkurentsivõimet; taunib kõrvalekaldeid ja kutsub komisjoni üles vaatama läbi samaväärsust kinnitavad otsused jurisdiktsioonidega, kes neid standardeid ei rakenda; </w:t>
            </w:r>
            <w:r>
              <w:rPr>
                <w:b/>
                <w:i/>
              </w:rPr>
              <w:t>rõhutab, et seni on EL järginud Baseli standardeid vähem kui mõned tema rahvusvahelised partnerid;</w:t>
            </w:r>
            <w:r>
              <w:t xml:space="preserve"> </w:t>
            </w:r>
            <w:r>
              <w:rPr>
                <w:b/>
                <w:i/>
              </w:rPr>
              <w:t>on seisukohal, et puudulik rakendamine teistes rahvusvahelistes jurisdiktsioonides suurendab riske, millega ELi pangad silmitsi seisavad, ning et seda tuleks järelevalveraamistikus piisavalt arvesse võtta;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Basel III standardite õigeaegset, täielikku ja usaldusväärset rakendamist, et tugevdada vastupanuvõimet ja konkurentsivõimet; taunib kõrvalekaldeid ja kutsub komisjoni üles vaatama läbi samaväärsust kinnitavad otsused jurisdiktsioonidega, kes neid standardeid ei rakenda;</w:t>
            </w:r>
          </w:p>
        </w:tc>
        <w:tc>
          <w:tcPr>
            <w:tcW w:w="4876" w:type="dxa"/>
            <w:tcBorders>
              <w:top w:val="nil"/>
              <w:left w:val="nil"/>
              <w:bottom w:val="nil"/>
              <w:right w:val="nil"/>
            </w:tcBorders>
          </w:tcPr>
          <w:p>
            <w:pPr>
              <w:pStyle w:val="Normal6a"/>
            </w:pPr>
            <w:r>
              <w:t>12.</w:t>
            </w:r>
            <w:r>
              <w:tab/>
            </w:r>
            <w:r>
              <w:t xml:space="preserve">rõhutab Basel III standardite õigeaegset, täielikku ja usaldusväärset rakendamist, et tugevdada vastupanuvõimet ja konkurentsivõimet; taunib kõrvalekaldeid ja kutsub komisjoni üles vaatama läbi samaväärsust kinnitavad otsused jurisdiktsioonidega, kes neid standardeid ei rakenda; </w:t>
            </w:r>
            <w:r>
              <w:rPr>
                <w:b/>
                <w:i/>
              </w:rPr>
              <w:t>toonitab, et ELi kõrvalekalded Basel III täielikust rakendamisest, sealhulgas järkjärgulised kohandused ja edasilükatud tururiski normid, kahjustavad nii konkurentsivõimet kui ka finantsstabiilsust, võimaldades õiguslikku arbitraaži ja ebajärjekindlat riskiga kaalumist;</w:t>
            </w:r>
            <w:r>
              <w:t xml:space="preserve"> </w:t>
            </w:r>
            <w:r>
              <w:rPr>
                <w:b/>
                <w:i/>
              </w:rPr>
              <w:t>need kõrvalekalded tuleks kiiresti kõrvaldada, et viia ELi pankade tegevus kooskõlla ülemaailmsete konkurentide omaga;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märgib, et pangad puutuvad üha enam kokku mittepangast finantsvahendajatega ning et sellega kaasnevad mitmesugused riskid alates likviidsusalastest riskidest kuni vastaspoole riskideni;</w:t>
            </w:r>
            <w:r>
              <w:t xml:space="preserve"> </w:t>
            </w:r>
            <w:r>
              <w:rPr>
                <w:b/>
                <w:i/>
              </w:rPr>
              <w:t>rõhutab vajadust teha Euroopas mittepangast finantsvahendajate sektori üle ulatuslikku järelevalvet;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võtab teadmiseks EKP järeldused, et kõrged kapitalinõuded ei kahjusta pankade konkurentsivõimet, vaid pigem tagavad pankade vastupanuvõime ja suutlikkuse rahastada majandust kogu tsükli jooksul;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peab kahetsusväärseks pangafiliaalide sulgemiste arvu suurenemist, mis mõjutab haavatavaid ja äärepoolsemaid kogukondi;</w:t>
            </w:r>
            <w:r>
              <w:t xml:space="preserve"> </w:t>
            </w:r>
            <w:r>
              <w:rPr>
                <w:b/>
                <w:i/>
              </w:rPr>
              <w:t>rõhutab väiksemate pankade rolli kodumajapidamistele teenuste kättesaadavuse tagamisel;</w:t>
            </w:r>
            <w:r>
              <w:t xml:space="preserve"> </w:t>
            </w:r>
            <w:r>
              <w:rPr>
                <w:b/>
                <w:i/>
              </w:rPr>
              <w:t>võtab murega teadmiseks tehisintellektiga seotud töökohtade kadumise;</w:t>
            </w:r>
            <w:r>
              <w:t xml:space="preserve"> </w:t>
            </w:r>
            <w:r>
              <w:rPr>
                <w:b/>
                <w:i/>
              </w:rPr>
              <w:t>rõhutab vajadust kaitsta töökohtade kvaliteeti, õiglasi tingimusi ja võrdset juurdepääsu pangandusele;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peab kahetsusväärseks</w:t>
            </w:r>
            <w:r>
              <w:t xml:space="preserve"> pangafiliaalide sulgemiste arvu </w:t>
            </w:r>
            <w:r>
              <w:rPr>
                <w:b/>
                <w:i/>
              </w:rPr>
              <w:t>suurenemist, mis mõjutab haavatavaid ja äärepoolsemaid kogukondi</w:t>
            </w:r>
            <w:r>
              <w:t xml:space="preserve">; rõhutab väiksemate pankade rolli kodumajapidamistele teenuste kättesaadavuse tagamisel; </w:t>
            </w:r>
            <w:r>
              <w:rPr>
                <w:b/>
                <w:i/>
              </w:rPr>
              <w:t>võtab murega teadmiseks tehisintellektiga seotud töökohtade kadumise;</w:t>
            </w:r>
            <w:r>
              <w:t xml:space="preserve"> rõhutab vajadust </w:t>
            </w:r>
            <w:r>
              <w:rPr>
                <w:b/>
                <w:i/>
              </w:rPr>
              <w:t>kaitsta töökohtade kvaliteeti, õiglasi tingimusi ja võrdset juurdepääsu pangandusele</w:t>
            </w:r>
            <w:r>
              <w:t>;</w:t>
            </w:r>
          </w:p>
        </w:tc>
        <w:tc>
          <w:tcPr>
            <w:tcW w:w="4876" w:type="dxa"/>
            <w:tcBorders>
              <w:top w:val="nil"/>
              <w:left w:val="nil"/>
              <w:bottom w:val="nil"/>
              <w:right w:val="nil"/>
            </w:tcBorders>
          </w:tcPr>
          <w:p>
            <w:pPr>
              <w:pStyle w:val="Normal6a"/>
            </w:pPr>
            <w:r>
              <w:t>13.</w:t>
            </w:r>
            <w:r>
              <w:tab/>
            </w:r>
            <w:r>
              <w:rPr>
                <w:b/>
                <w:i/>
              </w:rPr>
              <w:t>võtab teadmiseks</w:t>
            </w:r>
            <w:r>
              <w:t xml:space="preserve"> pangafiliaalide sulgemiste arvu </w:t>
            </w:r>
            <w:r>
              <w:rPr>
                <w:b/>
                <w:i/>
              </w:rPr>
              <w:t>suurenemise</w:t>
            </w:r>
            <w:r>
              <w:t xml:space="preserve">; rõhutab väiksemate pankade rolli kodumajapidamistele </w:t>
            </w:r>
            <w:r>
              <w:rPr>
                <w:b/>
                <w:i/>
              </w:rPr>
              <w:t>ja kohalikele ettevõtjatele</w:t>
            </w:r>
            <w:r>
              <w:t xml:space="preserve"> teenuste kättesaadavuse tagamisel; rõhutab vajadust </w:t>
            </w:r>
            <w:r>
              <w:rPr>
                <w:b/>
                <w:i/>
              </w:rPr>
              <w:t>kohandada järelevalve- ja usaldatavusnõudeid vastavalt väiksemate pankade suurusele, keerukusele ja riskiprofiilile kooskõlas proportsionaalsuse põhimõttega, et kõrvaldada põhjendamatu regulatiivne koormus, mis takistab nende võimet kasvada, konkureerida ja jätkuvalt teenida reaalmajandust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peab kahetsusväärseks</w:t>
            </w:r>
            <w:r>
              <w:t xml:space="preserve"> pangafiliaalide sulgemiste arvu suurenemist, mis </w:t>
            </w:r>
            <w:r>
              <w:rPr>
                <w:b/>
                <w:i/>
              </w:rPr>
              <w:t>mõjutab haavatavaid ja äärepoolsemaid kogukondi</w:t>
            </w:r>
            <w:r>
              <w:t>; rõhutab väiksemate pankade rolli kodumajapidamistele teenuste kättesaadavuse tagamisel; võtab murega teadmiseks tehisintellektiga seotud töökohtade kadumise; rõhutab vajadust kaitsta töökohtade kvaliteeti, õiglasi tingimusi ja võrdset juurdepääsu pangandusele;</w:t>
            </w:r>
          </w:p>
        </w:tc>
        <w:tc>
          <w:tcPr>
            <w:tcW w:w="4876" w:type="dxa"/>
            <w:tcBorders>
              <w:top w:val="nil"/>
              <w:left w:val="nil"/>
              <w:bottom w:val="nil"/>
              <w:right w:val="nil"/>
            </w:tcBorders>
          </w:tcPr>
          <w:p>
            <w:pPr>
              <w:pStyle w:val="Normal6a"/>
            </w:pPr>
            <w:r>
              <w:t>13.</w:t>
            </w:r>
            <w:r>
              <w:tab/>
            </w:r>
            <w:r>
              <w:rPr>
                <w:b/>
                <w:i/>
              </w:rPr>
              <w:t>märgib</w:t>
            </w:r>
            <w:r>
              <w:t xml:space="preserve"> pangafiliaalide sulgemiste arvu suurenemist, mis </w:t>
            </w:r>
            <w:r>
              <w:rPr>
                <w:b/>
                <w:i/>
              </w:rPr>
              <w:t>toimub eri liikmesriikides erineval määral;</w:t>
            </w:r>
            <w:r>
              <w:t xml:space="preserve"> </w:t>
            </w:r>
            <w:r>
              <w:rPr>
                <w:b/>
                <w:i/>
              </w:rPr>
              <w:t>tunnistab võimalikku märkimisväärset mõju, mida need sulgemised võivad avaldada haavatavatele ja äärepoolseimatele kogukondadele, ning toonitab samal ajal ka näiteid innovatsioonist, mis võimaldab teatavatel kasutajatel tänu tehnoloogia arengule saada distantsilt täiustatud teenuseid;</w:t>
            </w:r>
            <w:r>
              <w:t xml:space="preserve"> </w:t>
            </w:r>
            <w:r>
              <w:rPr>
                <w:b/>
                <w:i/>
              </w:rPr>
              <w:t>tuletab meelde näiteid eri pankadest, kes teevad koostööd klientidele füüsiliste pangateenuste osutamiseks, hoolimata mõne pangafiliaali sulgemisest, seda nii maa- kui ka linnapiirkondades</w:t>
            </w:r>
            <w:r>
              <w:t xml:space="preserve">; rõhutab väiksemate pankade rolli kodumajapidamistele teenuste kättesaadavuse tagamisel; </w:t>
            </w:r>
            <w:r>
              <w:rPr>
                <w:b/>
                <w:i/>
              </w:rPr>
              <w:t>rõhutab suuremate pankade panust Euroopa majanduse konkurentsivõimesse ja rahastamisse;</w:t>
            </w:r>
            <w:r>
              <w:t xml:space="preserve"> võtab murega teadmiseks tehisintellektiga seotud töökohtade kadumise </w:t>
            </w:r>
            <w:r>
              <w:rPr>
                <w:b/>
                <w:i/>
              </w:rPr>
              <w:t>ja tehisintellektiga seostatavad võimalikud ohud, mis toovad kaasa riskikontsentratsiooni pankade bilansis</w:t>
            </w:r>
            <w:r>
              <w:t xml:space="preserve">; rõhutab vajadust </w:t>
            </w:r>
            <w:r>
              <w:rPr>
                <w:b/>
                <w:i/>
              </w:rPr>
              <w:t>tagada kõrge kvaliteediga riskijuhtimine ning</w:t>
            </w:r>
            <w:r>
              <w:t xml:space="preserve"> kaitsta töökohtade kvaliteeti, õiglasi tingimusi ja võrdset juurdepääsu pangandusele;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peab kahetsusväärseks pangafiliaalide sulgemiste arvu suurenemist, mis mõjutab haavatavaid ja äärepoolsemaid kogukondi; rõhutab väiksemate pankade rolli kodumajapidamistele </w:t>
            </w:r>
            <w:r>
              <w:rPr>
                <w:b/>
                <w:i/>
              </w:rPr>
              <w:t>teenuste kättesaadavuse tagamisel;</w:t>
            </w:r>
            <w:r>
              <w:t xml:space="preserve"> </w:t>
            </w:r>
            <w:r>
              <w:rPr>
                <w:b/>
                <w:i/>
              </w:rPr>
              <w:t>võtab murega teadmiseks tehisintellektiga seotud töökohtade kadumise;</w:t>
            </w:r>
            <w:r>
              <w:t xml:space="preserve"> rõhutab vajadust </w:t>
            </w:r>
            <w:r>
              <w:rPr>
                <w:b/>
                <w:i/>
              </w:rPr>
              <w:t>kaitsta töökohtade kvaliteeti, õiglasi tingimusi ja võrdset juurdepääsu pangandusele</w:t>
            </w:r>
            <w:r>
              <w:t>;</w:t>
            </w:r>
          </w:p>
        </w:tc>
        <w:tc>
          <w:tcPr>
            <w:tcW w:w="4876" w:type="dxa"/>
            <w:tcBorders>
              <w:top w:val="nil"/>
              <w:left w:val="nil"/>
              <w:bottom w:val="nil"/>
              <w:right w:val="nil"/>
            </w:tcBorders>
          </w:tcPr>
          <w:p>
            <w:pPr>
              <w:pStyle w:val="Normal6a"/>
            </w:pPr>
            <w:r>
              <w:t>13.</w:t>
            </w:r>
            <w:r>
              <w:tab/>
            </w:r>
            <w:r>
              <w:t xml:space="preserve">peab kahetsusväärseks pangafiliaalide sulgemiste arvu suurenemist, mis mõjutab haavatavaid ja äärepoolsemaid kogukondi; </w:t>
            </w:r>
            <w:r>
              <w:rPr>
                <w:b/>
                <w:i/>
              </w:rPr>
              <w:t>toonitab, et see suundumus on vähemalt osaliselt tingitud ülemäärasest regulatiivsest koormusest;</w:t>
            </w:r>
            <w:r>
              <w:t xml:space="preserve"> rõhutab väiksemate pankade rolli kodumajapidamistele </w:t>
            </w:r>
            <w:r>
              <w:rPr>
                <w:b/>
                <w:i/>
              </w:rPr>
              <w:t>teenustele juurdepääsu pakkumisel ja</w:t>
            </w:r>
            <w:r>
              <w:t xml:space="preserve"> rõhutab vajadust </w:t>
            </w:r>
            <w:r>
              <w:rPr>
                <w:b/>
                <w:i/>
              </w:rPr>
              <w:t>väikepanganduse korda edasi arendada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peab kahetsusväärseks pangafiliaalide sulgemiste arvu suurenemist, mis mõjutab haavatavaid ja äärepoolsemaid kogukondi; rõhutab väiksemate pankade rolli kodumajapidamistele teenuste kättesaadavuse tagamisel; võtab murega teadmiseks tehisintellektiga seotud töökohtade kadumise; rõhutab vajadust kaitsta töökohtade kvaliteeti, õiglasi tingimusi ja võrdset juurdepääsu pangandusele;</w:t>
            </w:r>
          </w:p>
        </w:tc>
        <w:tc>
          <w:tcPr>
            <w:tcW w:w="4876" w:type="dxa"/>
            <w:tcBorders>
              <w:top w:val="nil"/>
              <w:left w:val="nil"/>
              <w:bottom w:val="nil"/>
              <w:right w:val="nil"/>
            </w:tcBorders>
          </w:tcPr>
          <w:p>
            <w:pPr>
              <w:pStyle w:val="Normal6a"/>
            </w:pPr>
            <w:r>
              <w:t>13.</w:t>
            </w:r>
            <w:r>
              <w:tab/>
            </w:r>
            <w:r>
              <w:t xml:space="preserve">peab kahetsusväärseks pangafiliaalide sulgemiste arvu suurenemist, mis mõjutab haavatavaid ja äärepoolsemaid kogukondi; </w:t>
            </w:r>
            <w:r>
              <w:rPr>
                <w:b/>
                <w:i/>
              </w:rPr>
              <w:t>tuletab meelde kodanike õigust pääseda juurde põhilistele finantsteenustele;</w:t>
            </w:r>
            <w:r>
              <w:t xml:space="preserve"> rõhutab väiksemate pankade rolli kodumajapidamistele teenuste kättesaadavuse tagamisel; </w:t>
            </w:r>
            <w:r>
              <w:rPr>
                <w:b/>
                <w:i/>
              </w:rPr>
              <w:t>rõhutab, et panganduse ärimudelite mitmekesisus suurendab finantssüsteemi vastupanuvõimet;</w:t>
            </w:r>
            <w:r>
              <w:t xml:space="preserve"> võtab murega teadmiseks tehisintellektiga seotud töökohtade kadumise</w:t>
            </w:r>
            <w:r>
              <w:rPr>
                <w:b/>
                <w:i/>
              </w:rPr>
              <w:t>;</w:t>
            </w:r>
            <w:r>
              <w:t xml:space="preserve"> </w:t>
            </w:r>
            <w:r>
              <w:rPr>
                <w:b/>
                <w:i/>
              </w:rPr>
              <w:t>kutsub krediidiasutusi üles rakendama ümberõppepoliitikat ja tagama automatiseeritud otsuste puhul inimjärelevalve</w:t>
            </w:r>
            <w:r>
              <w:t>; rõhutab vajadust kaitsta töökohtade kvaliteeti, õiglasi tingimusi ja võrdset juurdepääsu pangandusele;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peab kahetsusväärseks pangafiliaalide sulgemiste arvu suurenemist, mis mõjutab haavatavaid </w:t>
            </w:r>
            <w:r>
              <w:rPr>
                <w:b/>
                <w:i/>
              </w:rPr>
              <w:t>ja äärepoolsemaid</w:t>
            </w:r>
            <w:r>
              <w:t xml:space="preserve"> kogukondi; rõhutab väiksemate pankade rolli kodumajapidamistele teenuste kättesaadavuse tagamisel; </w:t>
            </w:r>
            <w:r>
              <w:rPr>
                <w:b/>
                <w:i/>
              </w:rPr>
              <w:t>võtab murega teadmiseks tehisintellektiga seotud töökohtade kadumise;</w:t>
            </w:r>
            <w:r>
              <w:t xml:space="preserve"> </w:t>
            </w:r>
            <w:r>
              <w:rPr>
                <w:b/>
                <w:i/>
              </w:rPr>
              <w:t>rõhutab vajadust kaitsta</w:t>
            </w:r>
            <w:r>
              <w:t xml:space="preserve"> töökohtade </w:t>
            </w:r>
            <w:r>
              <w:rPr>
                <w:b/>
                <w:i/>
              </w:rPr>
              <w:t>kvaliteeti, õiglasi tingimusi ja võrdset</w:t>
            </w:r>
            <w:r>
              <w:t xml:space="preserve"> juurdepääsu pangandusele;</w:t>
            </w:r>
          </w:p>
        </w:tc>
        <w:tc>
          <w:tcPr>
            <w:tcW w:w="4876" w:type="dxa"/>
            <w:tcBorders>
              <w:top w:val="nil"/>
              <w:left w:val="nil"/>
              <w:bottom w:val="nil"/>
              <w:right w:val="nil"/>
            </w:tcBorders>
          </w:tcPr>
          <w:p>
            <w:pPr>
              <w:pStyle w:val="Normal6a"/>
            </w:pPr>
            <w:r>
              <w:t>13.</w:t>
            </w:r>
            <w:r>
              <w:tab/>
            </w:r>
            <w:r>
              <w:t xml:space="preserve">peab kahetsusväärseks </w:t>
            </w:r>
            <w:r>
              <w:rPr>
                <w:b/>
                <w:i/>
              </w:rPr>
              <w:t>maapiirkondades</w:t>
            </w:r>
            <w:r>
              <w:t xml:space="preserve"> pangafiliaalide sulgemiste arvu suurenemist, mis mõjutab haavatavaid kogukondi; rõhutab väiksemate pankade rolli kodumajapidamistele teenuste kättesaadavuse tagamisel; </w:t>
            </w:r>
            <w:r>
              <w:rPr>
                <w:b/>
                <w:i/>
              </w:rPr>
              <w:t>toonitab digitaliseerimise ja tehisintellekti tähtsust pangandussektori tulemuslikkuse suurendamisel, näiteks toimingute ühtlustamisel, kulude vähendamisel ning klienditeeninduse kiiruse ja kvaliteedi parandamisel, tagades samal ajal</w:t>
            </w:r>
            <w:r>
              <w:t xml:space="preserve"> töökohtade </w:t>
            </w:r>
            <w:r>
              <w:rPr>
                <w:b/>
                <w:i/>
              </w:rPr>
              <w:t>kvaliteedi, õiglased tingimused ja võrdse</w:t>
            </w:r>
            <w:r>
              <w:t xml:space="preserve"> juurdepääsu pangandusele;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peab kahetsusväärseks pangafiliaalide sulgemiste arvu suurenemist, mis mõjutab haavatavaid ja äärepoolsemaid kogukondi; rõhutab väiksemate pankade rolli kodumajapidamistele teenuste kättesaadavuse tagamisel; võtab murega teadmiseks tehisintellektiga seotud töökohtade kadumise; rõhutab vajadust kaitsta töökohtade kvaliteeti, õiglasi tingimusi ja võrdset juurdepääsu pangandusele;</w:t>
            </w:r>
          </w:p>
        </w:tc>
        <w:tc>
          <w:tcPr>
            <w:tcW w:w="4876" w:type="dxa"/>
            <w:tcBorders>
              <w:top w:val="nil"/>
              <w:left w:val="nil"/>
              <w:bottom w:val="nil"/>
              <w:right w:val="nil"/>
            </w:tcBorders>
          </w:tcPr>
          <w:p>
            <w:pPr>
              <w:pStyle w:val="Normal6a"/>
            </w:pPr>
            <w:r>
              <w:t>13.</w:t>
            </w:r>
            <w:r>
              <w:tab/>
            </w:r>
            <w:r>
              <w:t>peab kahetsusväärseks pangafiliaalide sulgemiste arvu suurenemist, mis mõjutab haavatavaid ja äärepoolsemaid kogukondi</w:t>
            </w:r>
            <w:r>
              <w:rPr>
                <w:b/>
                <w:i/>
              </w:rPr>
              <w:t>, muu hulgas suureneva regulatiivse koormuse tõttu</w:t>
            </w:r>
            <w:r>
              <w:t xml:space="preserve">; rõhutab väiksemate pankade rolli kodumajapidamistele teenuste kättesaadavuse tagamisel; võtab murega teadmiseks tehisintellektiga seotud töökohtade kadumise; rõhutab vajadust kaitsta töökohtade kvaliteeti, õiglasi tingimusi ja võrdset juurdepääsu pangandusele; </w:t>
            </w:r>
            <w:r>
              <w:rPr>
                <w:b/>
                <w:i/>
              </w:rPr>
              <w:t>tunneb heameelt väikepanganduse korra rakendamises seisneva lähenemisviisi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peab kahetsusväärseks pangafiliaalide sulgemiste arvu suurenemist, mis mõjutab haavatavaid ja äärepoolsemaid kogukondi; rõhutab väiksemate pankade rolli kodumajapidamistele teenuste kättesaadavuse tagamisel; võtab murega teadmiseks tehisintellektiga seotud töökohtade kadumise; rõhutab vajadust kaitsta töökohtade kvaliteeti, õiglasi tingimusi ja võrdset juurdepääsu pangandusele;</w:t>
            </w:r>
          </w:p>
        </w:tc>
        <w:tc>
          <w:tcPr>
            <w:tcW w:w="4876" w:type="dxa"/>
            <w:tcBorders>
              <w:top w:val="nil"/>
              <w:left w:val="nil"/>
              <w:bottom w:val="nil"/>
              <w:right w:val="nil"/>
            </w:tcBorders>
          </w:tcPr>
          <w:p>
            <w:pPr>
              <w:pStyle w:val="Normal6a"/>
            </w:pPr>
            <w:r>
              <w:t>13.</w:t>
            </w:r>
            <w:r>
              <w:tab/>
            </w:r>
            <w:r>
              <w:t>peab kahetsusväärseks pangafiliaalide sulgemiste arvu suurenemist, mis mõjutab haavatavaid ja äärepoolsemaid kogukondi</w:t>
            </w:r>
            <w:r>
              <w:rPr>
                <w:b/>
                <w:i/>
              </w:rPr>
              <w:t>, osaliselt suureneva regulatiivse koormuse tõttu</w:t>
            </w:r>
            <w:r>
              <w:t xml:space="preserve">; rõhutab väiksemate pankade rolli kodumajapidamistele teenuste kättesaadavuse tagamisel; võtab murega teadmiseks tehisintellektiga seotud töökohtade kadumise; rõhutab vajadust kaitsta töökohtade kvaliteeti, õiglasi tingimusi ja võrdset juurdepääsu pangandusele; </w:t>
            </w:r>
            <w:r>
              <w:rPr>
                <w:b/>
                <w:i/>
              </w:rPr>
              <w:t>tunneb heameelt väikepanganduse korra rakendamises seisneva lähenemisviisi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peab kahetsusväärseks pangafiliaalide sulgemiste arvu suurenemist, mis </w:t>
            </w:r>
            <w:r>
              <w:rPr>
                <w:b/>
                <w:i/>
              </w:rPr>
              <w:t>mõjutab</w:t>
            </w:r>
            <w:r>
              <w:t xml:space="preserve"> haavatavaid ja äärepoolsemaid kogukondi; rõhutab väiksemate pankade rolli kodumajapidamistele teenuste kättesaadavuse tagamisel; võtab murega teadmiseks tehisintellektiga seotud töökohtade kadumise; rõhutab vajadust kaitsta töökohtade kvaliteeti, õiglasi tingimusi ja võrdset juurdepääsu pangandusele;</w:t>
            </w:r>
          </w:p>
        </w:tc>
        <w:tc>
          <w:tcPr>
            <w:tcW w:w="4876" w:type="dxa"/>
            <w:tcBorders>
              <w:top w:val="nil"/>
              <w:left w:val="nil"/>
              <w:bottom w:val="nil"/>
              <w:right w:val="nil"/>
            </w:tcBorders>
          </w:tcPr>
          <w:p>
            <w:pPr>
              <w:pStyle w:val="Normal6a"/>
            </w:pPr>
            <w:r>
              <w:t>13.</w:t>
            </w:r>
            <w:r>
              <w:tab/>
            </w:r>
            <w:r>
              <w:t xml:space="preserve">peab kahetsusväärseks pangafiliaalide sulgemiste arvu suurenemist, mis </w:t>
            </w:r>
            <w:r>
              <w:rPr>
                <w:b/>
                <w:i/>
              </w:rPr>
              <w:t>on osaliselt tingitud kasvavast regulatiivsest koormusest;</w:t>
            </w:r>
            <w:r>
              <w:t xml:space="preserve"> </w:t>
            </w:r>
            <w:r>
              <w:rPr>
                <w:b/>
                <w:i/>
              </w:rPr>
              <w:t>tunneb sellega seoses heameelt väikepanganduse korra rakendamises seisneva lähenemisviisi üle;</w:t>
            </w:r>
            <w:r>
              <w:t xml:space="preserve"> </w:t>
            </w:r>
            <w:r>
              <w:rPr>
                <w:b/>
                <w:i/>
              </w:rPr>
              <w:t>märgib ühtlasi, et need sulgemised mõjutavad ebaproportsionaalselt</w:t>
            </w:r>
            <w:r>
              <w:t xml:space="preserve"> haavatavaid ja äärepoolsemaid kogukondi; rõhutab väiksemate pankade rolli kodumajapidamistele teenuste kättesaadavuse tagamisel; võtab murega teadmiseks tehisintellektiga seotud töökohtade kadumise; rõhutab vajadust kaitsta töökohtade kvaliteeti, õiglasi tingimusi ja võrdset juurdepääsu pangandusele;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rõhutab, et üha sagedamini esinev pangafiliaalide sulgemine on tõsine nähtus ja sellega kaasneb nn pangakõrbete tekkimise oht, mis mõjutab eelkõige kõige haavatavamaid kodanikke ja ELi piirkondi, kus digilõhe on kõige suurem;</w:t>
            </w:r>
            <w:r>
              <w:t xml:space="preserve"> </w:t>
            </w:r>
            <w:r>
              <w:rPr>
                <w:b/>
                <w:i/>
              </w:rPr>
              <w:t>rõhutab, kui tähtis roll on keskmise suurusega ja väikestel pankadel põhiliste pangateenuste tagamisel, eelkõige ELi maa- ja mägipiirkondades, sisemaal, saarepiirkondades ja äärepoolseimates piirkondades, ning et see toetab leibkondi, VKEsid ja kohalikku majandust;</w:t>
            </w:r>
            <w:r>
              <w:t xml:space="preserve"> </w:t>
            </w:r>
            <w:r>
              <w:rPr>
                <w:b/>
                <w:i/>
              </w:rPr>
              <w:t>rõhutab vajadust vähendada regulatiivset koormust, mis lasub olulist sotsiaal-majanduslikku rolli täitvatel üksustel, ja kohaldada selleks pangandusjärelevalves proportsionaalsuse põhimõtet;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tunnistab panganduse ärimudelite struktuurimuutusi, sealhulgas neid, mis tulenevad digiüleminekust, ning rõhutab, kui oluline on tagada, et peredel ja VKEdel oleks jätkuvalt tõhus juurdepääs põhilistele finantsteenustele;</w:t>
            </w:r>
            <w:r>
              <w:t xml:space="preserve"> </w:t>
            </w:r>
            <w:r>
              <w:rPr>
                <w:b/>
                <w:i/>
              </w:rPr>
              <w:t>rõhutab rolli, mida väiksemad üksused ja uued digikanalid võivad sellega seoses täita; </w:t>
            </w:r>
            <w:r>
              <w:t xml:space="preserve"> </w:t>
            </w:r>
            <w:r>
              <w:rPr>
                <w:b/>
                <w:i/>
              </w:rPr>
              <w:t>juhib tähelepanu sellele, et uute tehnoloogiate, sealhulgas tehisintellekti kasutuselevõttu tuleb hallata vastutustundlikult, edendades oskuste kohandamist ja tootlikkust, ilma et see takistaks innovatsiooni ja Euroopa finantssektori konkurentsivõimet;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kutsub komisjoni üles kaaluma võimalust esitada algatusi millega tagataks, et kõikides liikmesriikides oleks finantsteenustele ühetaoline minimaalne füüsiline ligipääsetavus, ja hindama, kas osa kasumlikkuse suurenemisest tuleks eraldada pangafiliaalide võrgustiku toetuseks, et reageerida nn pangakõrbede tekkimise nähtusele;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tunnistab </w:t>
            </w:r>
            <w:r>
              <w:rPr>
                <w:b/>
                <w:i/>
              </w:rPr>
              <w:t>krüptovaraga seotud</w:t>
            </w:r>
            <w:r>
              <w:t xml:space="preserve"> riske ja võimalusi; nõuab </w:t>
            </w:r>
            <w:r>
              <w:rPr>
                <w:b/>
                <w:i/>
              </w:rPr>
              <w:t>järjepidevat järelevalvet tagamaks, et innovatsioon teenib avalikkust</w:t>
            </w:r>
            <w:r>
              <w:t>; nõuab, et ELi ja liikmesriikide ametiasutused jälgiksid riskipositsioone, tegeleksid spekulatiivsete riskidega, võitleksid finantskuritegevuse vastu ja kaitseksid tarbijaid;</w:t>
            </w:r>
          </w:p>
        </w:tc>
        <w:tc>
          <w:tcPr>
            <w:tcW w:w="4876" w:type="dxa"/>
            <w:tcBorders>
              <w:top w:val="nil"/>
              <w:left w:val="nil"/>
              <w:bottom w:val="nil"/>
              <w:right w:val="nil"/>
            </w:tcBorders>
          </w:tcPr>
          <w:p>
            <w:pPr>
              <w:pStyle w:val="Normal6a"/>
            </w:pPr>
            <w:r>
              <w:t>14.</w:t>
            </w:r>
            <w:r>
              <w:tab/>
            </w:r>
            <w:r>
              <w:t xml:space="preserve">tunnistab </w:t>
            </w:r>
            <w:r>
              <w:rPr>
                <w:b/>
                <w:i/>
              </w:rPr>
              <w:t>finantsvarade tokeniseerimise</w:t>
            </w:r>
            <w:r>
              <w:t xml:space="preserve"> riske ja võimalusi; nõuab</w:t>
            </w:r>
            <w:r>
              <w:rPr>
                <w:b/>
                <w:i/>
              </w:rPr>
              <w:t>, et reguleerimise ja järelevalve suhtes kohaldataks põhimõttelist ja proportsionaalset lähenemisviisi, mis ei takista innovatsiooni</w:t>
            </w:r>
            <w:r>
              <w:t>; nõuab, et ELi ja liikmesriikide ametiasutused jälgiksid riskipositsioone, tegeleksid spekulatiivsete riskidega, võitleksid finantskuritegevuse vastu ja kaitseksid tarbijaid;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tunnistab</w:t>
            </w:r>
            <w:r>
              <w:t xml:space="preserve"> krüptovaraga seotud riske </w:t>
            </w:r>
            <w:r>
              <w:rPr>
                <w:b/>
                <w:i/>
              </w:rPr>
              <w:t>ja võimalusi</w:t>
            </w:r>
            <w:r>
              <w:t xml:space="preserve">; nõuab järjepidevat järelevalvet tagamaks, et innovatsioon teenib avalikkust; nõuab, et ELi ja liikmesriikide ametiasutused jälgiksid riskipositsioone, tegeleksid </w:t>
            </w:r>
            <w:r>
              <w:rPr>
                <w:b/>
                <w:i/>
              </w:rPr>
              <w:t>spekulatiivsete</w:t>
            </w:r>
            <w:r>
              <w:t xml:space="preserve"> riskidega, võitleksid finantskuritegevuse vastu ja kaitseksid tarbijaid;</w:t>
            </w:r>
          </w:p>
        </w:tc>
        <w:tc>
          <w:tcPr>
            <w:tcW w:w="4876" w:type="dxa"/>
            <w:tcBorders>
              <w:top w:val="nil"/>
              <w:left w:val="nil"/>
              <w:bottom w:val="nil"/>
              <w:right w:val="nil"/>
            </w:tcBorders>
          </w:tcPr>
          <w:p>
            <w:pPr>
              <w:pStyle w:val="Normal6a"/>
            </w:pPr>
            <w:r>
              <w:t>14.</w:t>
            </w:r>
            <w:r>
              <w:tab/>
            </w:r>
            <w:r>
              <w:rPr>
                <w:b/>
                <w:i/>
              </w:rPr>
              <w:t>toonitab</w:t>
            </w:r>
            <w:r>
              <w:t xml:space="preserve"> krüptovaraga seotud riske; nõuab järjepidevat järelevalvet tagamaks, et innovatsioon teenib avalikkust; nõuab, et ELi ja liikmesriikide ametiasutused jälgiksid riskipositsioone, tegeleksid riskidega</w:t>
            </w:r>
            <w:r>
              <w:rPr>
                <w:b/>
                <w:i/>
              </w:rPr>
              <w:t>, tõkestaksid spekulatiivset käitumist</w:t>
            </w:r>
            <w:r>
              <w:t>, võitleksid finantskuritegevuse vastu ja kaitseksid tarbijaid;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tunnistab krüptovaraga seotud</w:t>
            </w:r>
            <w:r>
              <w:t xml:space="preserve"> riske </w:t>
            </w:r>
            <w:r>
              <w:rPr>
                <w:b/>
                <w:i/>
              </w:rPr>
              <w:t>ja võimalusi</w:t>
            </w:r>
            <w:r>
              <w:t>; nõuab järjepidevat järelevalvet tagamaks, et innovatsioon teenib avalikkust; nõuab, et ELi ja liikmesriikide ametiasutused jälgiksid riskipositsioone, tegeleksid spekulatiivsete riskidega, võitleksid finantskuritegevuse vastu ja kaitseksid tarbijaid;</w:t>
            </w:r>
          </w:p>
        </w:tc>
        <w:tc>
          <w:tcPr>
            <w:tcW w:w="4876" w:type="dxa"/>
            <w:tcBorders>
              <w:top w:val="nil"/>
              <w:left w:val="nil"/>
              <w:bottom w:val="nil"/>
              <w:right w:val="nil"/>
            </w:tcBorders>
          </w:tcPr>
          <w:p>
            <w:pPr>
              <w:pStyle w:val="Normal6a"/>
            </w:pPr>
            <w:r>
              <w:t>14.</w:t>
            </w:r>
            <w:r>
              <w:tab/>
            </w:r>
            <w:r>
              <w:rPr>
                <w:b/>
                <w:i/>
              </w:rPr>
              <w:t>toonitab krüptovarast tingitud spetsiifilisi</w:t>
            </w:r>
            <w:r>
              <w:t xml:space="preserve"> riske</w:t>
            </w:r>
            <w:r>
              <w:rPr>
                <w:b/>
                <w:i/>
              </w:rPr>
              <w:t>;</w:t>
            </w:r>
            <w:r>
              <w:t xml:space="preserve"> </w:t>
            </w:r>
            <w:r>
              <w:rPr>
                <w:b/>
                <w:i/>
              </w:rPr>
              <w:t>tuletab meelde, et krüptovarad on väga volatiilsed ja vähetootlikud varad, mida kasutatakse peamiselt spekulatiivsetel eesmärkidel</w:t>
            </w:r>
            <w:r>
              <w:t>; nõuab järjepidevat järelevalvet tagamaks, et innovatsioon teenib avalikkust; nõuab, et ELi ja liikmesriikide ametiasutused jälgiksid riskipositsioone, tegeleksid spekulatiivsete riskidega, võitleksid finantskuritegevuse vastu ja kaitseksid tarbijaid;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tunnistab krüptovaraga seotud riske ja võimalusi; nõuab järjepidevat järelevalvet </w:t>
            </w:r>
            <w:r>
              <w:rPr>
                <w:b/>
                <w:i/>
              </w:rPr>
              <w:t>tagamaks, et innovatsioon teenib avalikkust</w:t>
            </w:r>
            <w:r>
              <w:t>; nõuab, et ELi ja liikmesriikide ametiasutused jälgiksid riskipositsioone, tegeleksid spekulatiivsete riskidega, võitleksid finantskuritegevuse vastu ja kaitseksid tarbijaid;</w:t>
            </w:r>
          </w:p>
        </w:tc>
        <w:tc>
          <w:tcPr>
            <w:tcW w:w="4876" w:type="dxa"/>
            <w:tcBorders>
              <w:top w:val="nil"/>
              <w:left w:val="nil"/>
              <w:bottom w:val="nil"/>
              <w:right w:val="nil"/>
            </w:tcBorders>
          </w:tcPr>
          <w:p>
            <w:pPr>
              <w:pStyle w:val="Normal6a"/>
            </w:pPr>
            <w:r>
              <w:t>14.</w:t>
            </w:r>
            <w:r>
              <w:tab/>
            </w:r>
            <w:r>
              <w:t xml:space="preserve">tunnistab krüptovaraga seotud riske ja võimalusi; nõuab järjepidevat </w:t>
            </w:r>
            <w:r>
              <w:rPr>
                <w:b/>
                <w:i/>
              </w:rPr>
              <w:t>ja innovatsioonisõbralikku</w:t>
            </w:r>
            <w:r>
              <w:t xml:space="preserve"> järelevalvet; nõuab, et ELi ja liikmesriikide ametiasutused jälgiksid riskipositsioone, tegeleksid spekulatiivsete riskidega, võitleksid finantskuritegevuse vastu ja kaitseksid tarbijaid;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tunnistab krüptovaraga seotud riske ja võimalusi; nõuab </w:t>
            </w:r>
            <w:r>
              <w:rPr>
                <w:b/>
                <w:i/>
              </w:rPr>
              <w:t>järjepidevat</w:t>
            </w:r>
            <w:r>
              <w:t xml:space="preserve"> järelevalvet tagamaks, et innovatsioon teenib avalikkust; nõuab, et ELi ja liikmesriikide ametiasutused jälgiksid riskipositsioone, tegeleksid spekulatiivsete riskidega, võitleksid finantskuritegevuse vastu ja kaitseksid tarbijaid;</w:t>
            </w:r>
          </w:p>
        </w:tc>
        <w:tc>
          <w:tcPr>
            <w:tcW w:w="4876" w:type="dxa"/>
            <w:tcBorders>
              <w:top w:val="nil"/>
              <w:left w:val="nil"/>
              <w:bottom w:val="nil"/>
              <w:right w:val="nil"/>
            </w:tcBorders>
          </w:tcPr>
          <w:p>
            <w:pPr>
              <w:pStyle w:val="Normal6a"/>
            </w:pPr>
            <w:r>
              <w:t>14.</w:t>
            </w:r>
            <w:r>
              <w:tab/>
            </w:r>
            <w:r>
              <w:t xml:space="preserve">tunnistab krüptovaraga seotud riske ja võimalusi; nõuab </w:t>
            </w:r>
            <w:r>
              <w:rPr>
                <w:b/>
                <w:i/>
              </w:rPr>
              <w:t>usaldusväärset</w:t>
            </w:r>
            <w:r>
              <w:t xml:space="preserve"> järelevalvet tagamaks, et innovatsioon teenib avalikkust; nõuab, et ELi ja liikmesriikide ametiasutused jälgiksid riskipositsioone, tegeleksid spekulatiivsete riskidega, võitleksid finantskuritegevuse vastu ja kaitseksid tarbijaid;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tunnistab krüptovaraga seotud riske ja võimalusi; nõuab järjepidevat järelevalvet tagamaks, et innovatsioon teenib avalikkust; nõuab, et ELi ja liikmesriikide ametiasutused jälgiksid riskipositsioone, tegeleksid spekulatiivsete riskidega, võitleksid finantskuritegevuse vastu ja kaitseksid tarbijaid;</w:t>
            </w:r>
          </w:p>
        </w:tc>
        <w:tc>
          <w:tcPr>
            <w:tcW w:w="4876" w:type="dxa"/>
            <w:tcBorders>
              <w:top w:val="nil"/>
              <w:left w:val="nil"/>
              <w:bottom w:val="nil"/>
              <w:right w:val="nil"/>
            </w:tcBorders>
          </w:tcPr>
          <w:p>
            <w:pPr>
              <w:pStyle w:val="Normal6a"/>
            </w:pPr>
            <w:r>
              <w:t>14.</w:t>
            </w:r>
            <w:r>
              <w:tab/>
            </w:r>
            <w:r>
              <w:t xml:space="preserve">tunnistab krüptovaraga seotud riske ja võimalusi; nõuab järjepidevat järelevalvet tagamaks, et innovatsioon teenib avalikkust; nõuab, et ELi ja liikmesriikide ametiasutused jälgiksid riskipositsioone, tegeleksid spekulatiivsete riskidega, võitleksid finantskuritegevuse vastu ja kaitseksid tarbijaid; </w:t>
            </w:r>
            <w:r>
              <w:rPr>
                <w:b/>
                <w:i/>
              </w:rPr>
              <w:t>toonitab ülemaailmsete standardite tähtsust selles valdkonnas ja vajadust uurida viise, kuidas edendada eurodes nomineeritud stabiilse krüptovara arendamist, et säilitada ELi rahaline suveräänsus;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kutsub komisjoni, Euroopa Pangandusjärelevalvet ja pangandusliidu riiklikke pädevaid asutusi üles tagama määruse (EL) 2023/1114 (krüptovaraturgude määrus) range, järjepideva ja usaldusväärse rakendamise ja täitmise tagamise, mis on vajalik täiendus liidu pangapõhisele finantsstabiilsuse raamistikule;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tunnistab riske, mida kujutavad endast ELi pankadele kolmandate riikide mitmekordselt emiteeritavad stabiilsed krüptovarad, ning seda, et jurisdiktsioonidevaheline õiguslik arbitraaž võib viia ELi pankade hoiuste väljavooluni ja avaldada ülekanduvat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kutsub komisjoni, Euroopa Pangandusjärelevalvet ja riiklikke pädevaid asutusi üles võtma igakülgselt arvesse EKP ja Euroopa Süsteemsete Riskide Nõukogu arvamusi, nõuandeid ja soovitusi;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rõhutab, et mis tahes järelevalvealane leebus, killustumine või erandid krüptovaraturgude määruse kohaldamisest suurendaks riski, mis seisneb stabiilse krüptovara väljavoolus ning ülekanduva mõju avaldumises pankadele, riigivõlakirjaturgudele ja maksesüsteemidele pangandusliidus;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väljendab </w:t>
            </w:r>
            <w:r>
              <w:rPr>
                <w:b/>
                <w:i/>
              </w:rPr>
              <w:t>heameelt</w:t>
            </w:r>
            <w:r>
              <w:t xml:space="preserve"> kriisiohje- ja hoiusekindlustusraamistiku reformi </w:t>
            </w:r>
            <w:r>
              <w:rPr>
                <w:b/>
                <w:i/>
              </w:rPr>
              <w:t>üle, et tagada sidus</w:t>
            </w:r>
            <w:r>
              <w:t xml:space="preserve"> kriisiohje </w:t>
            </w:r>
            <w:r>
              <w:rPr>
                <w:b/>
                <w:i/>
              </w:rPr>
              <w:t>ja hoiusekindlustus, tugevdada stabiilsust ning kaitsta sääste ja maksumaksjaid</w:t>
            </w:r>
            <w:r>
              <w:t xml:space="preserve">; </w:t>
            </w:r>
            <w:r>
              <w:rPr>
                <w:b/>
                <w:i/>
              </w:rPr>
              <w:t>rõhutab, et väiksemate pankade puhul on vaja paindlikkust ja ametiasutustel peavad olema mõjusad vahendid, et tagada vastupanuvõimeline ja sotsiaalselt vastutustundlik pangandusliit;</w:t>
            </w:r>
          </w:p>
        </w:tc>
        <w:tc>
          <w:tcPr>
            <w:tcW w:w="4876" w:type="dxa"/>
            <w:tcBorders>
              <w:top w:val="nil"/>
              <w:left w:val="nil"/>
              <w:bottom w:val="nil"/>
              <w:right w:val="nil"/>
            </w:tcBorders>
          </w:tcPr>
          <w:p>
            <w:pPr>
              <w:pStyle w:val="Normal6a"/>
            </w:pPr>
            <w:r>
              <w:t>15.</w:t>
            </w:r>
            <w:r>
              <w:tab/>
            </w:r>
            <w:r>
              <w:t xml:space="preserve">väljendab </w:t>
            </w:r>
            <w:r>
              <w:rPr>
                <w:b/>
                <w:i/>
              </w:rPr>
              <w:t>muret praeguses seisus</w:t>
            </w:r>
            <w:r>
              <w:t xml:space="preserve"> kriisiohje- ja hoiusekindlustusraamistiku reformi </w:t>
            </w:r>
            <w:r>
              <w:rPr>
                <w:b/>
                <w:i/>
              </w:rPr>
              <w:t>pärast;</w:t>
            </w:r>
            <w:r>
              <w:t xml:space="preserve"> </w:t>
            </w:r>
            <w:r>
              <w:rPr>
                <w:b/>
                <w:i/>
              </w:rPr>
              <w:t>lükkab tagasi mis tahes ülesehituse, mille raames varjatakse seotud maksejõuetuse riske keerukate kaitsemeetmete ja riskijagamise abil, ning kritiseerib liikmesriikide vahelise vastastikuse kahjude katmise kontseptsiooni kui sellist, millega sisuliselt sotsialiseeritaks pangariskid ja vähendataks turudistsipliini;</w:t>
            </w:r>
            <w:r>
              <w:t xml:space="preserve"> </w:t>
            </w:r>
            <w:r>
              <w:rPr>
                <w:b/>
                <w:i/>
              </w:rPr>
              <w:t>kehtiv</w:t>
            </w:r>
            <w:r>
              <w:t xml:space="preserve"> kriisiohje</w:t>
            </w:r>
            <w:r>
              <w:rPr>
                <w:b/>
                <w:i/>
              </w:rPr>
              <w:t>- ja hoiusekindlustusraamistik ei tohiks õigustada piiriülese riskijagamise enneaegset laiendamist ilma selgete väljumis- ja aruandlusmehhanismideta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väljendab heameelt</w:t>
            </w:r>
            <w:r>
              <w:t xml:space="preserve"> kriisiohje- ja hoiusekindlustusraamistiku reformi </w:t>
            </w:r>
            <w:r>
              <w:rPr>
                <w:b/>
                <w:i/>
              </w:rPr>
              <w:t>üle, et tagada sidus kriisiohje ja hoiusekindlustus</w:t>
            </w:r>
            <w:r>
              <w:t xml:space="preserve">, tugevdada stabiilsust ning kaitsta sääste ja maksumaksjaid; rõhutab, et </w:t>
            </w:r>
            <w:r>
              <w:rPr>
                <w:b/>
                <w:i/>
              </w:rPr>
              <w:t>väiksemate</w:t>
            </w:r>
            <w:r>
              <w:t xml:space="preserve"> pankade puhul on vaja paindlikkust ja ametiasutustel peavad olema mõjusad vahendid, et tagada vastupanuvõimeline </w:t>
            </w:r>
            <w:r>
              <w:rPr>
                <w:b/>
                <w:i/>
              </w:rPr>
              <w:t>ja sotsiaalselt vastutustundlik</w:t>
            </w:r>
            <w:r>
              <w:t xml:space="preserve"> pangandusliit;</w:t>
            </w:r>
          </w:p>
        </w:tc>
        <w:tc>
          <w:tcPr>
            <w:tcW w:w="4876" w:type="dxa"/>
            <w:tcBorders>
              <w:top w:val="nil"/>
              <w:left w:val="nil"/>
              <w:bottom w:val="nil"/>
              <w:right w:val="nil"/>
            </w:tcBorders>
          </w:tcPr>
          <w:p>
            <w:pPr>
              <w:pStyle w:val="Normal6a"/>
            </w:pPr>
            <w:r>
              <w:t>15.</w:t>
            </w:r>
            <w:r>
              <w:tab/>
            </w:r>
            <w:r>
              <w:rPr>
                <w:b/>
                <w:i/>
              </w:rPr>
              <w:t>võtab teadmiseks</w:t>
            </w:r>
            <w:r>
              <w:t xml:space="preserve"> kriisiohje- ja hoiusekindlustusraamistiku reformi</w:t>
            </w:r>
            <w:r>
              <w:rPr>
                <w:b/>
                <w:i/>
              </w:rPr>
              <w:t>, mille eesmärk on parandada kriisiohjet ja hoiusekindlustust</w:t>
            </w:r>
            <w:r>
              <w:t xml:space="preserve">, tugevdada stabiilsust ning kaitsta sääste ja maksumaksjaid; rõhutab, et </w:t>
            </w:r>
            <w:r>
              <w:rPr>
                <w:b/>
                <w:i/>
              </w:rPr>
              <w:t>väikeste ja keskmise suurusega</w:t>
            </w:r>
            <w:r>
              <w:t xml:space="preserve"> pankade puhul on vaja paindlikkust ja ametiasutustel peavad olema mõjusad vahendid, et tagada vastupanuvõimeline pangandusliit; </w:t>
            </w:r>
            <w:r>
              <w:rPr>
                <w:b/>
                <w:i/>
              </w:rPr>
              <w:t>toonitab, et kriisilahendus peaks olema vaikevalik ainult nende pankade jaoks, kelle maksejõuetus mõjutaks finantsstabiilsust, ning et seetõttu jääb väikeste ja keskmise suurusega pankade jaoks vaikevalikuks maksejõuetus;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et tagada </w:t>
            </w:r>
            <w:r>
              <w:rPr>
                <w:b/>
                <w:i/>
              </w:rPr>
              <w:t>vastupanuvõimeline ja sotsiaalselt vastutustundlik pangandusliit</w:t>
            </w:r>
            <w:r>
              <w:t>;</w:t>
            </w:r>
          </w:p>
        </w:tc>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et </w:t>
            </w:r>
            <w:r>
              <w:rPr>
                <w:b/>
                <w:i/>
              </w:rPr>
              <w:t>reageerida pankade maksejõuetusele ja kaitsta finantsstabiilsust, sealhulgas süsteemse stsenaariumi korral;</w:t>
            </w:r>
            <w:r>
              <w:t xml:space="preserve"> </w:t>
            </w:r>
            <w:r>
              <w:rPr>
                <w:b/>
                <w:i/>
              </w:rPr>
              <w:t>kordab, et pankade kriisilahenduse eesmärk on kaitsta finantsstabiilsust ja</w:t>
            </w:r>
            <w:r>
              <w:t xml:space="preserve"> tagada </w:t>
            </w:r>
            <w:r>
              <w:rPr>
                <w:b/>
                <w:i/>
              </w:rPr>
              <w:t>pankade kriitilised funktsioonid, mitte päästa võlausaldajaid või aktsionäre</w:t>
            </w:r>
            <w:r>
              <w:t xml:space="preserve">; </w:t>
            </w:r>
            <w:r>
              <w:rPr>
                <w:b/>
                <w:i/>
              </w:rPr>
              <w:t>rõhutab, et maksejõuetu panga kriisilahendus, mis toimub tavapärase maksejõuetusmenetluse kaudu, peaks jääma standardiks pankadele, mis ei ole süsteemselt olulised, juhul kui see kaitseb kõige tulemuslikumalt panga kriitilisi funktsioone;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w:t>
            </w:r>
            <w:r>
              <w:rPr>
                <w:b/>
                <w:i/>
              </w:rPr>
              <w:t>väiksemate pankade puhul on vaja paindlikkust ja</w:t>
            </w:r>
            <w:r>
              <w:t xml:space="preserve"> ametiasutustel peavad olema mõjusad vahendid, et tagada vastupanuvõimeline ja sotsiaalselt vastutustundlik pangandusliit;</w:t>
            </w:r>
          </w:p>
        </w:tc>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ametiasutustel peavad olema mõjusad </w:t>
            </w:r>
            <w:r>
              <w:rPr>
                <w:b/>
                <w:i/>
              </w:rPr>
              <w:t>ja proportsionaalsed</w:t>
            </w:r>
            <w:r>
              <w:t xml:space="preserve"> vahendid, et tagada vastupanuvõimeline ja sotsiaalselt vastutustundlik pangandusliit;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w:t>
            </w:r>
            <w:r>
              <w:rPr>
                <w:b/>
                <w:i/>
              </w:rPr>
              <w:t>et tagada vastupanuvõimeline ja sotsiaalselt vastutustundlik pangandusliit</w:t>
            </w:r>
            <w:r>
              <w:t>;</w:t>
            </w:r>
          </w:p>
        </w:tc>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w:t>
            </w:r>
            <w:r>
              <w:rPr>
                <w:b/>
                <w:i/>
              </w:rPr>
              <w:t>mida toetab õigusraamistik, mis soodustab pankade arengut ja aitab kaasa vastupanuvõimelisele ja rahaliselt stabiilsele pangandusliidule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et tagada vastupanuvõimeline </w:t>
            </w:r>
            <w:r>
              <w:rPr>
                <w:b/>
                <w:i/>
              </w:rPr>
              <w:t>ja sotsiaalselt vastutustundlik</w:t>
            </w:r>
            <w:r>
              <w:t xml:space="preserve"> pangandusliit;</w:t>
            </w:r>
          </w:p>
        </w:tc>
        <w:tc>
          <w:tcPr>
            <w:tcW w:w="4876" w:type="dxa"/>
            <w:tcBorders>
              <w:top w:val="nil"/>
              <w:left w:val="nil"/>
              <w:bottom w:val="nil"/>
              <w:right w:val="nil"/>
            </w:tcBorders>
          </w:tcPr>
          <w:p>
            <w:pPr>
              <w:pStyle w:val="Normal6a"/>
            </w:pPr>
            <w:r>
              <w:t>15.</w:t>
            </w:r>
            <w:r>
              <w:tab/>
            </w:r>
            <w:r>
              <w:t>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et tagada vastupanuvõimeline pangandusliit;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w:t>
            </w:r>
            <w:r>
              <w:rPr>
                <w:b/>
                <w:i/>
              </w:rPr>
              <w:t>ning</w:t>
            </w:r>
            <w:r>
              <w:t xml:space="preserve"> kaitsta sääste ja maksumaksjaid; rõhutab, </w:t>
            </w:r>
            <w:r>
              <w:rPr>
                <w:b/>
                <w:i/>
              </w:rPr>
              <w:t>et väiksemate pankade puhul on vaja paindlikkust ja</w:t>
            </w:r>
            <w:r>
              <w:t xml:space="preserve"> ametiasutustel </w:t>
            </w:r>
            <w:r>
              <w:rPr>
                <w:b/>
                <w:i/>
              </w:rPr>
              <w:t>peavad olema</w:t>
            </w:r>
            <w:r>
              <w:t xml:space="preserve"> mõjusad vahendid, et tagada vastupanuvõimeline ja sotsiaalselt vastutustundlik pangandusliit;</w:t>
            </w:r>
          </w:p>
        </w:tc>
        <w:tc>
          <w:tcPr>
            <w:tcW w:w="4876" w:type="dxa"/>
            <w:tcBorders>
              <w:top w:val="nil"/>
              <w:left w:val="nil"/>
              <w:bottom w:val="nil"/>
              <w:right w:val="nil"/>
            </w:tcBorders>
          </w:tcPr>
          <w:p>
            <w:pPr>
              <w:pStyle w:val="Normal6a"/>
            </w:pPr>
            <w:r>
              <w:t>15.</w:t>
            </w:r>
            <w:r>
              <w:tab/>
            </w:r>
            <w:r>
              <w:t>väljendab heameelt kriisiohje- ja hoiusekindlustusraamistiku reformi üle, et tagada sidus kriisiohje ja hoiusekindlustus, tugevdada stabiilsust</w:t>
            </w:r>
            <w:r>
              <w:rPr>
                <w:b/>
                <w:i/>
              </w:rPr>
              <w:t>,</w:t>
            </w:r>
            <w:r>
              <w:t xml:space="preserve"> kaitsta sääste ja maksumaksjaid</w:t>
            </w:r>
            <w:r>
              <w:rPr>
                <w:b/>
                <w:i/>
              </w:rPr>
              <w:t> ning tagada avaliku sektori raha parem kasutamine kriisilahenduseks, kui see on avalikes huvides</w:t>
            </w:r>
            <w:r>
              <w:t xml:space="preserve">; rõhutab, </w:t>
            </w:r>
            <w:r>
              <w:rPr>
                <w:b/>
                <w:i/>
              </w:rPr>
              <w:t>kui oluline on selge õigusraamistik ning see, et</w:t>
            </w:r>
            <w:r>
              <w:t xml:space="preserve"> ametiasutustel </w:t>
            </w:r>
            <w:r>
              <w:rPr>
                <w:b/>
                <w:i/>
              </w:rPr>
              <w:t>oleksid</w:t>
            </w:r>
            <w:r>
              <w:t xml:space="preserve"> mõjusad vahendid</w:t>
            </w:r>
            <w:r>
              <w:rPr>
                <w:b/>
                <w:i/>
              </w:rPr>
              <w:t>, andmed ja otsustusmehhanismid</w:t>
            </w:r>
            <w:r>
              <w:t>, et tagada vastupanuvõimeline ja sotsiaalselt vastutustundlik pangandusliit;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väljendab heameelt kriisiohje- ja hoiusekindlustusraamistiku reformi üle, et tagada sidus kriisiohje ja hoiusekindlustus, tugevdada stabiilsust ning kaitsta sääste ja maksumaksjaid; rõhutab</w:t>
            </w:r>
            <w:r>
              <w:rPr>
                <w:b/>
                <w:i/>
              </w:rPr>
              <w:t>, et</w:t>
            </w:r>
            <w:r>
              <w:t xml:space="preserve"> väiksemate pankade puhul </w:t>
            </w:r>
            <w:r>
              <w:rPr>
                <w:b/>
                <w:i/>
              </w:rPr>
              <w:t>on vaja paindlikkust ja</w:t>
            </w:r>
            <w:r>
              <w:t xml:space="preserve"> ametiasutustel peavad olema mõjusad vahendid, et tagada vastupanuvõimeline ja sotsiaalselt vastutustundlik pangandusliit;</w:t>
            </w:r>
          </w:p>
        </w:tc>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w:t>
            </w:r>
            <w:r>
              <w:rPr>
                <w:b/>
                <w:i/>
              </w:rPr>
              <w:t>paindlikkuse vajalikkust</w:t>
            </w:r>
            <w:r>
              <w:t xml:space="preserve"> väiksemate </w:t>
            </w:r>
            <w:r>
              <w:rPr>
                <w:b/>
                <w:i/>
              </w:rPr>
              <w:t>ja keskmise suurusega</w:t>
            </w:r>
            <w:r>
              <w:t xml:space="preserve"> pankade </w:t>
            </w:r>
            <w:r>
              <w:rPr>
                <w:b/>
                <w:i/>
              </w:rPr>
              <w:t>jaoks, kelle</w:t>
            </w:r>
            <w:r>
              <w:t xml:space="preserve"> puhul </w:t>
            </w:r>
            <w:r>
              <w:rPr>
                <w:b/>
                <w:i/>
              </w:rPr>
              <w:t>ei ole kriisilahendusraamistik sageli kõige asjakohasem vahend ja kelle puhul eelistatakse jätkuvalt tavapärase maksejõuetusmenetluse raames toimuvat likvideerimist, ning seda, et</w:t>
            </w:r>
            <w:r>
              <w:t xml:space="preserve"> ametiasutustel peavad olema mõjusad vahendid, et tagada vastupanuvõimeline ja sotsiaalselt vastutustundlik pangandusliit;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väljendab heameelt kriisiohje- ja hoiusekindlustusraamistiku reformi üle, et tagada sidus kriisiohje ja hoiusekindlustus, tugevdada stabiilsust ning kaitsta sääste ja maksumaksjaid; rõhutab</w:t>
            </w:r>
            <w:r>
              <w:rPr>
                <w:b/>
                <w:i/>
              </w:rPr>
              <w:t>, et</w:t>
            </w:r>
            <w:r>
              <w:t xml:space="preserve"> väiksemate pankade puhul </w:t>
            </w:r>
            <w:r>
              <w:rPr>
                <w:b/>
                <w:i/>
              </w:rPr>
              <w:t>on vaja paindlikkust ja</w:t>
            </w:r>
            <w:r>
              <w:t xml:space="preserve"> ametiasutustel peavad olema mõjusad vahendid, et tagada vastupanuvõimeline ja sotsiaalselt vastutustundlik pangandusliit;</w:t>
            </w:r>
          </w:p>
        </w:tc>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w:t>
            </w:r>
            <w:r>
              <w:rPr>
                <w:b/>
                <w:i/>
              </w:rPr>
              <w:t>paindlikkuse vajalikkust</w:t>
            </w:r>
            <w:r>
              <w:t xml:space="preserve"> väiksemate </w:t>
            </w:r>
            <w:r>
              <w:rPr>
                <w:b/>
                <w:i/>
              </w:rPr>
              <w:t>ja keskmise suurusega</w:t>
            </w:r>
            <w:r>
              <w:t xml:space="preserve"> pankade </w:t>
            </w:r>
            <w:r>
              <w:rPr>
                <w:b/>
                <w:i/>
              </w:rPr>
              <w:t>jaoks, kelle</w:t>
            </w:r>
            <w:r>
              <w:t xml:space="preserve"> puhul </w:t>
            </w:r>
            <w:r>
              <w:rPr>
                <w:b/>
                <w:i/>
              </w:rPr>
              <w:t>ei ole kriisilahendusraamistik sageli kõige asjakohasem vahend ja kelle puhul eelistatakse jätkuvalt tavapärase maksejõuetusmenetluse raames toimuvat likvideerimist, ning seda, et</w:t>
            </w:r>
            <w:r>
              <w:t xml:space="preserve"> ametiasutustel peavad olema mõjusad vahendid, et tagada vastupanuvõimeline ja sotsiaalselt vastutustundlik pangandusliit;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et tagada vastupanuvõimeline ja sotsiaalselt vastutustundlik pangandusliit;</w:t>
            </w:r>
          </w:p>
        </w:tc>
        <w:tc>
          <w:tcPr>
            <w:tcW w:w="4876" w:type="dxa"/>
            <w:tcBorders>
              <w:top w:val="nil"/>
              <w:left w:val="nil"/>
              <w:bottom w:val="nil"/>
              <w:right w:val="nil"/>
            </w:tcBorders>
          </w:tcPr>
          <w:p>
            <w:pPr>
              <w:pStyle w:val="Normal6a"/>
            </w:pPr>
            <w:r>
              <w:t>15.</w:t>
            </w:r>
            <w:r>
              <w:tab/>
            </w:r>
            <w:r>
              <w:t xml:space="preserve">väljendab heameelt kriisiohje- ja hoiusekindlustusraamistiku reformi üle, et tagada sidus kriisiohje ja hoiusekindlustus, tugevdada stabiilsust ning kaitsta sääste ja maksumaksjaid; rõhutab, et väiksemate pankade puhul on vaja paindlikkust ja ametiasutustel peavad olema mõjusad vahendid, et tagada vastupanuvõimeline ja sotsiaalselt vastutustundlik pangandusliit; </w:t>
            </w:r>
            <w:r>
              <w:rPr>
                <w:b/>
                <w:i/>
              </w:rPr>
              <w:t>rõhutab vajadust hõlbustada hoiusekindlustusfondi vahendite kasutamist kriisilahenduseks;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tunneb heameelt ettepaneku üle võtta vastu Euroopa Parlamendi ja nõukogu direktiiv, millega ühtlustatakse maksejõuetusõiguse teatavaid aspekte, kuna maksejõuetusõiguse ja saneerimismenetluste edasine ühtlustamine võib edendada pangandusliidu väljakujundamist;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rõhutab, et pankade maksejõuetuse korral </w:t>
            </w:r>
            <w:r>
              <w:rPr>
                <w:b/>
                <w:i/>
              </w:rPr>
              <w:t>peaks esmane vastutus lasuma aktsionäridel, võlausaldajatel või pangandussektori rahastatavatel mehhanismidel ning</w:t>
            </w:r>
            <w:r>
              <w:t xml:space="preserve"> avaliku sektori </w:t>
            </w:r>
            <w:r>
              <w:rPr>
                <w:b/>
                <w:i/>
              </w:rPr>
              <w:t>vahendeid tuleks kasutada üksnes</w:t>
            </w:r>
            <w:r>
              <w:t xml:space="preserve"> viimase </w:t>
            </w:r>
            <w:r>
              <w:rPr>
                <w:b/>
                <w:i/>
              </w:rPr>
              <w:t>abinõuna kooskõlas eelarvepoliitilise vastutuse, sotsiaalse õigluse ja turudistsipliiniga</w:t>
            </w:r>
            <w:r>
              <w:t>;</w:t>
            </w:r>
          </w:p>
        </w:tc>
        <w:tc>
          <w:tcPr>
            <w:tcW w:w="4876" w:type="dxa"/>
            <w:tcBorders>
              <w:top w:val="nil"/>
              <w:left w:val="nil"/>
              <w:bottom w:val="nil"/>
              <w:right w:val="nil"/>
            </w:tcBorders>
          </w:tcPr>
          <w:p>
            <w:pPr>
              <w:pStyle w:val="Normal6a"/>
            </w:pPr>
            <w:r>
              <w:t>16.</w:t>
            </w:r>
            <w:r>
              <w:tab/>
            </w:r>
            <w:r>
              <w:t xml:space="preserve">rõhutab, et </w:t>
            </w:r>
            <w:r>
              <w:rPr>
                <w:b/>
                <w:i/>
              </w:rPr>
              <w:t>järjepidevalt ja tulemuslikult tuleb teha järelevalvet niisuguste usaldatavus- ja kriisilahenduseeskirjade järgimise üle, millega tagatakse kohustuste ja nõudeõiguste teisendamise vahendite usaldusväärsus ja tulemuslik rakendamine</w:t>
            </w:r>
            <w:r>
              <w:t xml:space="preserve"> pankade maksejõuetuse korral</w:t>
            </w:r>
            <w:r>
              <w:rPr>
                <w:b/>
                <w:i/>
              </w:rPr>
              <w:t>;</w:t>
            </w:r>
            <w:r>
              <w:t xml:space="preserve"> </w:t>
            </w:r>
            <w:r>
              <w:rPr>
                <w:b/>
                <w:i/>
              </w:rPr>
              <w:t>rõhutab, et finantseerimisasutuste päästmine</w:t>
            </w:r>
            <w:r>
              <w:t xml:space="preserve"> avaliku sektori </w:t>
            </w:r>
            <w:r>
              <w:rPr>
                <w:b/>
                <w:i/>
              </w:rPr>
              <w:t>vahendite abil peab jääma rangelt</w:t>
            </w:r>
            <w:r>
              <w:t xml:space="preserve"> viimase </w:t>
            </w:r>
            <w:r>
              <w:rPr>
                <w:b/>
                <w:i/>
              </w:rPr>
              <w:t>valiku abinõuks, et säilitada eelarvepoliitiline vastutus, kaitsta maksumaksjaid ja säilitada turudistsipliin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rõhutab, et pankade maksejõuetuse korral </w:t>
            </w:r>
            <w:r>
              <w:rPr>
                <w:b/>
                <w:i/>
              </w:rPr>
              <w:t>peaks esmane vastutus lasuma aktsionäridel, võlausaldajatel</w:t>
            </w:r>
            <w:r>
              <w:t xml:space="preserve"> või pangandussektori </w:t>
            </w:r>
            <w:r>
              <w:rPr>
                <w:b/>
                <w:i/>
              </w:rPr>
              <w:t>rahastatavatel mehhanismidel ning</w:t>
            </w:r>
            <w:r>
              <w:t xml:space="preserve"> avaliku sektori </w:t>
            </w:r>
            <w:r>
              <w:rPr>
                <w:b/>
                <w:i/>
              </w:rPr>
              <w:t>vahendeid</w:t>
            </w:r>
            <w:r>
              <w:t xml:space="preserve"> tuleks </w:t>
            </w:r>
            <w:r>
              <w:rPr>
                <w:b/>
                <w:i/>
              </w:rPr>
              <w:t>kasutada</w:t>
            </w:r>
            <w:r>
              <w:t xml:space="preserve"> üksnes viimase abinõuna </w:t>
            </w:r>
            <w:r>
              <w:rPr>
                <w:b/>
                <w:i/>
              </w:rPr>
              <w:t>kooskõlas eelarvepoliitilise vastutuse, sotsiaalse õigluse ja turudistsipliiniga</w:t>
            </w:r>
            <w:r>
              <w:t>;</w:t>
            </w:r>
          </w:p>
        </w:tc>
        <w:tc>
          <w:tcPr>
            <w:tcW w:w="4876" w:type="dxa"/>
            <w:tcBorders>
              <w:top w:val="nil"/>
              <w:left w:val="nil"/>
              <w:bottom w:val="nil"/>
              <w:right w:val="nil"/>
            </w:tcBorders>
          </w:tcPr>
          <w:p>
            <w:pPr>
              <w:pStyle w:val="Normal6a"/>
            </w:pPr>
            <w:r>
              <w:t>16.</w:t>
            </w:r>
            <w:r>
              <w:tab/>
            </w:r>
            <w:r>
              <w:t xml:space="preserve">rõhutab, et pankade maksejõuetuse korral </w:t>
            </w:r>
            <w:r>
              <w:rPr>
                <w:b/>
                <w:i/>
              </w:rPr>
              <w:t>peaksid aktsionärid, võlausaldajad</w:t>
            </w:r>
            <w:r>
              <w:t xml:space="preserve"> või pangandussektori </w:t>
            </w:r>
            <w:r>
              <w:rPr>
                <w:b/>
                <w:i/>
              </w:rPr>
              <w:t>rahastatavad mehhanismid olema esimesed, kes kannavad kahju kooskõlas vastutuse põhimõtte ja turudistsipliiniga;</w:t>
            </w:r>
            <w:r>
              <w:t xml:space="preserve"> </w:t>
            </w:r>
            <w:r>
              <w:rPr>
                <w:b/>
                <w:i/>
              </w:rPr>
              <w:t>rõhutab, et</w:t>
            </w:r>
            <w:r>
              <w:t xml:space="preserve"> avaliku sektori </w:t>
            </w:r>
            <w:r>
              <w:rPr>
                <w:b/>
                <w:i/>
              </w:rPr>
              <w:t>vahendite kasutamine</w:t>
            </w:r>
            <w:r>
              <w:t xml:space="preserve"> tuleks </w:t>
            </w:r>
            <w:r>
              <w:rPr>
                <w:b/>
                <w:i/>
              </w:rPr>
              <w:t>ette näha</w:t>
            </w:r>
            <w:r>
              <w:t xml:space="preserve"> üksnes viimase abinõuna </w:t>
            </w:r>
            <w:r>
              <w:rPr>
                <w:b/>
                <w:i/>
              </w:rPr>
              <w:t>ja erandlikel asjaoludel, et kaitsta maksumaksjaid ja säilitada finantsstabiilsus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rõhutab, et pankade maksejõuetuse korral peaks esmane vastutus lasuma </w:t>
            </w:r>
            <w:r>
              <w:rPr>
                <w:b/>
                <w:i/>
              </w:rPr>
              <w:t>aktsionäridel, võlausaldajatel või</w:t>
            </w:r>
            <w:r>
              <w:t xml:space="preserve"> pangandussektori </w:t>
            </w:r>
            <w:r>
              <w:rPr>
                <w:b/>
                <w:i/>
              </w:rPr>
              <w:t>rahastatavatel mehhanismidel ning</w:t>
            </w:r>
            <w:r>
              <w:t xml:space="preserve"> avaliku sektori vahendeid tuleks kasutada üksnes viimase abinõuna kooskõlas eelarvepoliitilise vastutuse, sotsiaalse õigluse ja turudistsipliiniga;</w:t>
            </w:r>
          </w:p>
        </w:tc>
        <w:tc>
          <w:tcPr>
            <w:tcW w:w="4876" w:type="dxa"/>
            <w:tcBorders>
              <w:top w:val="nil"/>
              <w:left w:val="nil"/>
              <w:bottom w:val="nil"/>
              <w:right w:val="nil"/>
            </w:tcBorders>
          </w:tcPr>
          <w:p>
            <w:pPr>
              <w:pStyle w:val="Normal6a"/>
            </w:pPr>
            <w:r>
              <w:t>16.</w:t>
            </w:r>
            <w:r>
              <w:tab/>
            </w:r>
            <w:r>
              <w:t xml:space="preserve">rõhutab, et pankade maksejõuetuse korral peaks esmane vastutus lasuma </w:t>
            </w:r>
            <w:r>
              <w:rPr>
                <w:b/>
                <w:i/>
              </w:rPr>
              <w:t>aktsionäride ja võlausaldajate kohustuste ja nõudeõiguste teisendamisel, mis peaks olema peamine kriisilahenduse rahastamise allikas enne</w:t>
            </w:r>
            <w:r>
              <w:t xml:space="preserve"> pangandussektori </w:t>
            </w:r>
            <w:r>
              <w:rPr>
                <w:b/>
                <w:i/>
              </w:rPr>
              <w:t>rahastatavate mehhanismide kasutamist teise kaitseliinina, samas kui</w:t>
            </w:r>
            <w:r>
              <w:t xml:space="preserve"> avaliku sektori vahendeid tuleks kasutada üksnes viimase abinõuna kooskõlas eelarvepoliitilise vastutuse, sotsiaalse õigluse ja turudistsipliiniga;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rõhutab, et pankade maksejõuetuse korral peaks esmane vastutus lasuma aktsionäridel, võlausaldajatel või pangandussektori rahastatavatel mehhanismidel ning avaliku sektori vahendeid tuleks kasutada üksnes viimase abinõuna kooskõlas eelarvepoliitilise vastutuse</w:t>
            </w:r>
            <w:r>
              <w:rPr>
                <w:b/>
                <w:i/>
              </w:rPr>
              <w:t>, sotsiaalse õigluse</w:t>
            </w:r>
            <w:r>
              <w:t xml:space="preserve"> ja turudistsipliiniga;</w:t>
            </w:r>
          </w:p>
        </w:tc>
        <w:tc>
          <w:tcPr>
            <w:tcW w:w="4876" w:type="dxa"/>
            <w:tcBorders>
              <w:top w:val="nil"/>
              <w:left w:val="nil"/>
              <w:bottom w:val="nil"/>
              <w:right w:val="nil"/>
            </w:tcBorders>
          </w:tcPr>
          <w:p>
            <w:pPr>
              <w:pStyle w:val="Normal6a"/>
            </w:pPr>
            <w:r>
              <w:t>16.</w:t>
            </w:r>
            <w:r>
              <w:tab/>
            </w:r>
            <w:r>
              <w:t>rõhutab, et pankade maksejõuetuse korral peaks esmane vastutus lasuma aktsionäridel, võlausaldajatel või pangandussektori rahastatavatel mehhanismidel ning avaliku sektori vahendeid tuleks kasutada üksnes viimase abinõuna</w:t>
            </w:r>
            <w:r>
              <w:rPr>
                <w:b/>
                <w:i/>
              </w:rPr>
              <w:t>, kuna</w:t>
            </w:r>
            <w:r>
              <w:t xml:space="preserve"> kooskõlas eelarvepoliitilise vastutuse ja turudistsipliiniga </w:t>
            </w:r>
            <w:r>
              <w:rPr>
                <w:b/>
                <w:i/>
              </w:rPr>
              <w:t>tuleb pankade kriisilahenduses maksumaksja rahale tuginemist vältida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rõhutab, et pankade maksejõuetuse korral peaks esmane vastutus lasuma aktsionäridel, võlausaldajatel või pangandussektori rahastatavatel mehhanismidel ning avaliku sektori vahendeid tuleks kasutada üksnes viimase abinõuna kooskõlas eelarvepoliitilise vastutuse</w:t>
            </w:r>
            <w:r>
              <w:rPr>
                <w:b/>
                <w:i/>
              </w:rPr>
              <w:t>, sotsiaalse õigluse</w:t>
            </w:r>
            <w:r>
              <w:t xml:space="preserve"> ja turudistsipliiniga;</w:t>
            </w:r>
          </w:p>
        </w:tc>
        <w:tc>
          <w:tcPr>
            <w:tcW w:w="4876" w:type="dxa"/>
            <w:tcBorders>
              <w:top w:val="nil"/>
              <w:left w:val="nil"/>
              <w:bottom w:val="nil"/>
              <w:right w:val="nil"/>
            </w:tcBorders>
          </w:tcPr>
          <w:p>
            <w:pPr>
              <w:pStyle w:val="Normal6a"/>
            </w:pPr>
            <w:r>
              <w:t>16.</w:t>
            </w:r>
            <w:r>
              <w:tab/>
            </w:r>
            <w:r>
              <w:t>rõhutab, et pankade maksejõuetuse korral peaks esmane vastutus lasuma aktsionäridel, võlausaldajatel või pangandussektori rahastatavatel mehhanismidel ning avaliku sektori vahendeid tuleks kasutada üksnes viimase abinõuna kooskõlas eelarvepoliitilise vastutuse ja turudistsipliiniga;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rõhutab, et pankade maksejõuetuse korral </w:t>
            </w:r>
            <w:r>
              <w:rPr>
                <w:b/>
                <w:i/>
              </w:rPr>
              <w:t>peaks</w:t>
            </w:r>
            <w:r>
              <w:t xml:space="preserve"> esmane vastutus lasuma aktsionäridel, võlausaldajatel või pangandussektori rahastatavatel mehhanismidel ning avaliku sektori vahendeid tuleks kasutada üksnes viimase abinõuna kooskõlas eelarvepoliitilise vastutuse, sotsiaalse õigluse ja turudistsipliiniga;</w:t>
            </w:r>
          </w:p>
        </w:tc>
        <w:tc>
          <w:tcPr>
            <w:tcW w:w="4876" w:type="dxa"/>
            <w:tcBorders>
              <w:top w:val="nil"/>
              <w:left w:val="nil"/>
              <w:bottom w:val="nil"/>
              <w:right w:val="nil"/>
            </w:tcBorders>
          </w:tcPr>
          <w:p>
            <w:pPr>
              <w:pStyle w:val="Normal6a"/>
            </w:pPr>
            <w:r>
              <w:t>16.</w:t>
            </w:r>
            <w:r>
              <w:tab/>
            </w:r>
            <w:r>
              <w:t xml:space="preserve">rõhutab, et pankade maksejõuetuse korral </w:t>
            </w:r>
            <w:r>
              <w:rPr>
                <w:b/>
                <w:i/>
              </w:rPr>
              <w:t>peab</w:t>
            </w:r>
            <w:r>
              <w:t xml:space="preserve"> esmane vastutus lasuma aktsionäridel, võlausaldajatel või pangandussektori rahastatavatel mehhanismidel ning avaliku sektori vahendeid tuleks kasutada üksnes viimase abinõuna kooskõlas eelarvepoliitilise vastutuse, sotsiaalse õigluse ja turudistsipliiniga;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tuletab meelde, et piisav omavahendite ja kõlblike kohustuste miinimumnõue on väga oluline usaldusväärse kriisilahendusraamistiku loomiseks ja selleks, et anda asutustele paindlikkus </w:t>
            </w:r>
            <w:r>
              <w:rPr>
                <w:b/>
                <w:i/>
              </w:rPr>
              <w:t>kriisi puhul asjakohaste</w:t>
            </w:r>
            <w:r>
              <w:t xml:space="preserve"> kriisilahendusstrateegiate rakendamiseks;</w:t>
            </w:r>
          </w:p>
        </w:tc>
        <w:tc>
          <w:tcPr>
            <w:tcW w:w="4876" w:type="dxa"/>
            <w:tcBorders>
              <w:top w:val="nil"/>
              <w:left w:val="nil"/>
              <w:bottom w:val="nil"/>
              <w:right w:val="nil"/>
            </w:tcBorders>
          </w:tcPr>
          <w:p>
            <w:pPr>
              <w:pStyle w:val="Normal6a"/>
            </w:pPr>
            <w:r>
              <w:t>17.</w:t>
            </w:r>
            <w:r>
              <w:tab/>
            </w:r>
            <w:r>
              <w:t xml:space="preserve">tuletab meelde, et piisav omavahendite ja kõlblike kohustuste miinimumnõue on väga oluline usaldusväärse kriisilahendusraamistiku loomiseks ja selleks, et anda asutustele </w:t>
            </w:r>
            <w:r>
              <w:rPr>
                <w:b/>
                <w:i/>
              </w:rPr>
              <w:t>vajalik</w:t>
            </w:r>
            <w:r>
              <w:t xml:space="preserve"> paindlikkus kriisilahendusstrateegiate </w:t>
            </w:r>
            <w:r>
              <w:rPr>
                <w:b/>
                <w:i/>
              </w:rPr>
              <w:t>tõhusaks</w:t>
            </w:r>
            <w:r>
              <w:t xml:space="preserve"> rakendamiseks </w:t>
            </w:r>
            <w:r>
              <w:rPr>
                <w:b/>
                <w:i/>
              </w:rPr>
              <w:t>kriisiolukordades, tagades turudistsipliini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tuletab meelde, et piisav omavahendite ja kõlblike kohustuste miinimumnõue on väga oluline usaldusväärse kriisilahendusraamistiku loomiseks ja selleks, et anda asutustele paindlikkus kriisi puhul asjakohaste kriisilahendusstrateegiate rakendamiseks;</w:t>
            </w:r>
          </w:p>
        </w:tc>
        <w:tc>
          <w:tcPr>
            <w:tcW w:w="4876" w:type="dxa"/>
            <w:tcBorders>
              <w:top w:val="nil"/>
              <w:left w:val="nil"/>
              <w:bottom w:val="nil"/>
              <w:right w:val="nil"/>
            </w:tcBorders>
          </w:tcPr>
          <w:p>
            <w:pPr>
              <w:pStyle w:val="Normal6a"/>
            </w:pPr>
            <w:r>
              <w:t>17.</w:t>
            </w:r>
            <w:r>
              <w:tab/>
            </w:r>
            <w:r>
              <w:t xml:space="preserve">tuletab meelde, et piisav omavahendite ja kõlblike kohustuste miinimumnõue on väga oluline usaldusväärse kriisilahendusraamistiku loomiseks ja selleks, et anda asutustele paindlikkus kriisi puhul asjakohaste kriisilahendusstrateegiate rakendamiseks; </w:t>
            </w:r>
            <w:r>
              <w:rPr>
                <w:b/>
                <w:i/>
              </w:rPr>
              <w:t>rõhutab, et omavahendite ja kõlblike kohustuste miinimumnõudeid tuleks kohandada vastavalt iga panga tegelikule kriisilahendusstrateegiale, eriti kui lisaks kohustuste ja nõudeõiguste teisendamise mehhanismidele kasutatakse ka üleandmise vahendeid, et tagada õigusselgus ja proportsionaalsus;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tuletab meelde, et piisav omavahendite ja kõlblike kohustuste miinimumnõue on väga oluline usaldusväärse kriisilahendusraamistiku loomiseks ja selleks, et anda asutustele paindlikkus kriisi puhul asjakohaste kriisilahendusstrateegiate rakendamiseks;</w:t>
            </w:r>
          </w:p>
        </w:tc>
        <w:tc>
          <w:tcPr>
            <w:tcW w:w="4876" w:type="dxa"/>
            <w:tcBorders>
              <w:top w:val="nil"/>
              <w:left w:val="nil"/>
              <w:bottom w:val="nil"/>
              <w:right w:val="nil"/>
            </w:tcBorders>
          </w:tcPr>
          <w:p>
            <w:pPr>
              <w:pStyle w:val="Normal6a"/>
            </w:pPr>
            <w:r>
              <w:t>17.</w:t>
            </w:r>
            <w:r>
              <w:tab/>
            </w:r>
            <w:r>
              <w:t xml:space="preserve">tuletab meelde, et piisav omavahendite ja kõlblike kohustuste miinimumnõue on väga oluline usaldusväärse kriisilahendusraamistiku loomiseks ja selleks, et anda asutustele paindlikkus kriisi puhul asjakohaste kriisilahendusstrateegiate rakendamiseks; </w:t>
            </w:r>
            <w:r>
              <w:rPr>
                <w:b/>
                <w:i/>
              </w:rPr>
              <w:t>toonitab, et kriisilahenduse korral piisava omavahendite ja kõlblike kohustuste miinimumnõude olemasolu ning tagatise kättesaadavus on pankade kriisilahenduskõlblikkuse eeltingimus ning et omavahendite ja kõlblike kohustuste miinimumnõue tuleks kehtestada väga konservatiivsel viisil;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tuletab meelde, et piisav omavahendite ja kõlblike kohustuste miinimumnõue on väga oluline usaldusväärse kriisilahendusraamistiku loomiseks ja selleks, et anda asutustele paindlikkus kriisi puhul asjakohaste kriisilahendusstrateegiate rakendamiseks;</w:t>
            </w:r>
          </w:p>
        </w:tc>
        <w:tc>
          <w:tcPr>
            <w:tcW w:w="4876" w:type="dxa"/>
            <w:tcBorders>
              <w:top w:val="nil"/>
              <w:left w:val="nil"/>
              <w:bottom w:val="nil"/>
              <w:right w:val="nil"/>
            </w:tcBorders>
          </w:tcPr>
          <w:p>
            <w:pPr>
              <w:pStyle w:val="Normal6a"/>
            </w:pPr>
            <w:r>
              <w:t>17.</w:t>
            </w:r>
            <w:r>
              <w:tab/>
            </w:r>
            <w:r>
              <w:t xml:space="preserve">tuletab meelde, et piisav omavahendite ja kõlblike kohustuste miinimumnõue on väga oluline usaldusväärse kriisilahendusraamistiku loomiseks ja selleks, et anda asutustele paindlikkus kriisi puhul asjakohaste kriisilahendusstrateegiate rakendamiseks; </w:t>
            </w:r>
            <w:r>
              <w:rPr>
                <w:b/>
                <w:i/>
              </w:rPr>
              <w:t>rõhutab, et see miinimumnõue peaks olema piisav panga kriisilahenduse kavas sisalduvate kriisilahendusstrateegiate tulemuslikuks rakendamiseks;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rõhutab, et kui panga kõlblikud kohustused emiteeritakse kolmandate riikide investoritele, peaks niisuguste kohustuste allahindamine või konverteerimine olema täieliku kindlusega täitmisele pööratav, et tagada kriisilahendusvahendite tulemuslik kohaldamine;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tuletab meelde, et pangad peavad pärast kriisilahendust jätkama oluliste teenuste osutamist; rõhutab vajadust selge ja prognoositava raamistiku järele, mis kaitseb hoiustajaid ning toetab </w:t>
            </w:r>
            <w:r>
              <w:rPr>
                <w:b/>
                <w:i/>
              </w:rPr>
              <w:t>väiksemaid</w:t>
            </w:r>
            <w:r>
              <w:t xml:space="preserve"> kliente ja VKEsid;</w:t>
            </w:r>
          </w:p>
        </w:tc>
        <w:tc>
          <w:tcPr>
            <w:tcW w:w="4876" w:type="dxa"/>
            <w:tcBorders>
              <w:top w:val="nil"/>
              <w:left w:val="nil"/>
              <w:bottom w:val="nil"/>
              <w:right w:val="nil"/>
            </w:tcBorders>
          </w:tcPr>
          <w:p>
            <w:pPr>
              <w:pStyle w:val="Normal6a"/>
            </w:pPr>
            <w:r>
              <w:t>18.</w:t>
            </w:r>
            <w:r>
              <w:tab/>
            </w:r>
            <w:r>
              <w:t xml:space="preserve">tuletab meelde, et pangad peavad pärast kriisilahendust jätkama oluliste teenuste osutamist; rõhutab vajadust selge ja prognoositava raamistiku järele, mis kaitseb hoiustajaid ning toetab kliente ja </w:t>
            </w:r>
            <w:r>
              <w:rPr>
                <w:b/>
                <w:i/>
              </w:rPr>
              <w:t>ettevõtjaid, sealhulgas</w:t>
            </w:r>
            <w:r>
              <w:t xml:space="preserve"> VKEsid;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tuletab meelde, et pangad peavad </w:t>
            </w:r>
            <w:r>
              <w:rPr>
                <w:b/>
                <w:i/>
              </w:rPr>
              <w:t>pärast kriisilahendust</w:t>
            </w:r>
            <w:r>
              <w:t xml:space="preserve"> jätkama oluliste teenuste osutamist; rõhutab vajadust selge ja prognoositava raamistiku järele, mis kaitseb hoiustajaid ning toetab väiksemaid kliente ja VKEsid;</w:t>
            </w:r>
          </w:p>
        </w:tc>
        <w:tc>
          <w:tcPr>
            <w:tcW w:w="4876" w:type="dxa"/>
            <w:tcBorders>
              <w:top w:val="nil"/>
              <w:left w:val="nil"/>
              <w:bottom w:val="nil"/>
              <w:right w:val="nil"/>
            </w:tcBorders>
          </w:tcPr>
          <w:p>
            <w:pPr>
              <w:pStyle w:val="Normal6a"/>
            </w:pPr>
            <w:r>
              <w:t>18.</w:t>
            </w:r>
            <w:r>
              <w:tab/>
            </w:r>
            <w:r>
              <w:t xml:space="preserve">tuletab meelde, et pangad peavad </w:t>
            </w:r>
            <w:r>
              <w:rPr>
                <w:b/>
                <w:i/>
              </w:rPr>
              <w:t>kriisilahenduse ajal</w:t>
            </w:r>
            <w:r>
              <w:t xml:space="preserve"> jätkama oluliste teenuste osutamist; rõhutab vajadust selge ja prognoositava raamistiku järele, mis kaitseb hoiustajaid ning toetab väiksemaid kliente ja VKEsid;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väljendab heameelt ühtse kriisilahendusfondi kui täielikult vastastikuseks muudetud ja pangandussektori rahastatava turvavõrgu üle;</w:t>
            </w:r>
            <w:r>
              <w:t xml:space="preserve"> </w:t>
            </w:r>
            <w:r>
              <w:rPr>
                <w:b/>
                <w:i/>
              </w:rPr>
              <w:t>kordab nõudmist ratifitseerida täielikult</w:t>
            </w:r>
            <w:r>
              <w:t xml:space="preserve"> Euroopa stabiilsusmehhanismi asutamislepingu </w:t>
            </w:r>
            <w:r>
              <w:rPr>
                <w:b/>
                <w:i/>
              </w:rPr>
              <w:t>muudatus, et tugevdada usaldusväärsust, kriisilahenduskõlblikkust ja euroala vastupanuvõimet</w:t>
            </w:r>
            <w:r>
              <w:t>;</w:t>
            </w:r>
          </w:p>
        </w:tc>
        <w:tc>
          <w:tcPr>
            <w:tcW w:w="4876" w:type="dxa"/>
            <w:tcBorders>
              <w:top w:val="nil"/>
              <w:left w:val="nil"/>
              <w:bottom w:val="nil"/>
              <w:right w:val="nil"/>
            </w:tcBorders>
          </w:tcPr>
          <w:p>
            <w:pPr>
              <w:pStyle w:val="Normal6a"/>
            </w:pPr>
            <w:r>
              <w:t>19.</w:t>
            </w:r>
            <w:r>
              <w:tab/>
            </w:r>
            <w:r>
              <w:rPr>
                <w:b/>
                <w:i/>
              </w:rPr>
              <w:t>märgib kriitiliselt, et kuigi ühtne kriisilahendusfond on mõeldud toimima turvavõrguna, on selle raames praegu kehtestatud hägusad panustamismeetodid ja sellel puudub läbipaistvus, tuues kaasa kulukoormuse kasvu ilma tõendatava tõhususe suurenemiseta,</w:t>
            </w:r>
            <w:r>
              <w:t xml:space="preserve"> </w:t>
            </w:r>
            <w:r>
              <w:rPr>
                <w:b/>
                <w:i/>
              </w:rPr>
              <w:t>ning et selle asemel saaks ressursse paremini kasutada selgemate riiklike erandolukorra lahendamise plaanidega ja turupõhise distsipliini kaudu;</w:t>
            </w:r>
            <w:r>
              <w:t xml:space="preserve"> </w:t>
            </w:r>
            <w:r>
              <w:rPr>
                <w:b/>
                <w:i/>
              </w:rPr>
              <w:t>austab riikide parlamentide õigusi valitsustevahelise</w:t>
            </w:r>
            <w:r>
              <w:t xml:space="preserve"> Euroopa stabiilsusmehhanismi asutamislepingu </w:t>
            </w:r>
            <w:r>
              <w:rPr>
                <w:b/>
                <w:i/>
              </w:rPr>
              <w:t>ratifitseerimisel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väljendab heameelt</w:t>
            </w:r>
            <w:r>
              <w:t xml:space="preserve"> ühtse kriisilahendusfondi kui täielikult vastastikuseks muudetud ja pangandussektori rahastatava turvavõrgu </w:t>
            </w:r>
            <w:r>
              <w:rPr>
                <w:b/>
                <w:i/>
              </w:rPr>
              <w:t>üle</w:t>
            </w:r>
            <w:r>
              <w:t xml:space="preserve">; </w:t>
            </w:r>
            <w:r>
              <w:rPr>
                <w:b/>
                <w:i/>
              </w:rPr>
              <w:t>kordab nõudmist ratifitseerida täielikult Euroopa stabiilsusmehhanismi asutamislepingu muudatus, et tugevdada usaldusväärsust, kriisilahenduskõlblikkust ja euroala vastupanuvõimet;</w:t>
            </w:r>
          </w:p>
        </w:tc>
        <w:tc>
          <w:tcPr>
            <w:tcW w:w="4876" w:type="dxa"/>
            <w:tcBorders>
              <w:top w:val="nil"/>
              <w:left w:val="nil"/>
              <w:bottom w:val="nil"/>
              <w:right w:val="nil"/>
            </w:tcBorders>
          </w:tcPr>
          <w:p>
            <w:pPr>
              <w:pStyle w:val="Normal6a"/>
            </w:pPr>
            <w:r>
              <w:t>19.</w:t>
            </w:r>
            <w:r>
              <w:tab/>
            </w:r>
            <w:r>
              <w:rPr>
                <w:b/>
                <w:i/>
              </w:rPr>
              <w:t>võtab teadmiseks</w:t>
            </w:r>
            <w:r>
              <w:t xml:space="preserve"> ühtse kriisilahendusfondi kui täielikult vastastikuseks muudetud ja pangandussektori rahastatava turvavõrgu;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väljendab heameelt ühtse kriisilahendusfondi kui </w:t>
            </w:r>
            <w:r>
              <w:rPr>
                <w:b/>
                <w:i/>
              </w:rPr>
              <w:t>täielikult vastastikuseks muudetud ja pangandussektori rahastatava turvavõrgu üle;</w:t>
            </w:r>
            <w:r>
              <w:t xml:space="preserve"> kordab nõudmist ratifitseerida täielikult Euroopa stabiilsusmehhanismi asutamislepingu muudatus, et tugevdada usaldusväärsust, kriisilahenduskõlblikkust ja euroala vastupanuvõimet;</w:t>
            </w:r>
          </w:p>
        </w:tc>
        <w:tc>
          <w:tcPr>
            <w:tcW w:w="4876" w:type="dxa"/>
            <w:tcBorders>
              <w:top w:val="nil"/>
              <w:left w:val="nil"/>
              <w:bottom w:val="nil"/>
              <w:right w:val="nil"/>
            </w:tcBorders>
          </w:tcPr>
          <w:p>
            <w:pPr>
              <w:pStyle w:val="Normal6a"/>
            </w:pPr>
            <w:r>
              <w:t>19.</w:t>
            </w:r>
            <w:r>
              <w:tab/>
            </w:r>
            <w:r>
              <w:t xml:space="preserve">väljendab heameelt ühtse kriisilahendusfondi kui </w:t>
            </w:r>
            <w:r>
              <w:rPr>
                <w:b/>
                <w:i/>
              </w:rPr>
              <w:t xml:space="preserve">kaitsemeetme üle, millega toetatakse panganduskriiside nõuetekohast ohjamist; </w:t>
            </w:r>
            <w:r>
              <w:t xml:space="preserve"> kordab nõudmist ratifitseerida täielikult Euroopa stabiilsusmehhanismi asutamislepingu muudatus, et tugevdada usaldusväärsust, kriisilahenduskõlblikkust ja euroala vastupanuvõimet</w:t>
            </w:r>
            <w:r>
              <w:rPr>
                <w:b/>
                <w:i/>
              </w:rPr>
              <w:t>, säilitades samal ajal turudistsipliini ja maksumaksjate kaitse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väljendab heameelt ühtse kriisilahendusfondi kui täielikult vastastikuseks muudetud ja pangandussektori rahastatava turvavõrgu üle; kordab nõudmist ratifitseerida täielikult Euroopa stabiilsusmehhanismi asutamislepingu muudatus, et tugevdada usaldusväärsust, kriisilahenduskõlblikkust ja euroala vastupanuvõimet;</w:t>
            </w:r>
          </w:p>
        </w:tc>
        <w:tc>
          <w:tcPr>
            <w:tcW w:w="4876" w:type="dxa"/>
            <w:tcBorders>
              <w:top w:val="nil"/>
              <w:left w:val="nil"/>
              <w:bottom w:val="nil"/>
              <w:right w:val="nil"/>
            </w:tcBorders>
          </w:tcPr>
          <w:p>
            <w:pPr>
              <w:pStyle w:val="Normal6a"/>
            </w:pPr>
            <w:r>
              <w:t>19.</w:t>
            </w:r>
            <w:r>
              <w:tab/>
            </w:r>
            <w:r>
              <w:t xml:space="preserve">väljendab heameelt ühtse kriisilahendusfondi kui täielikult vastastikuseks muudetud ja pangandussektori rahastatava turvavõrgu üle; kordab nõudmist ratifitseerida täielikult Euroopa stabiilsusmehhanismi asutamislepingu muudatus, et tugevdada usaldusväärsust, kriisilahenduskõlblikkust ja euroala vastupanuvõimet; </w:t>
            </w:r>
            <w:r>
              <w:rPr>
                <w:b/>
                <w:i/>
              </w:rPr>
              <w:t>rõhutab eesmärki kaitsta maksumaksjaid kriisilahenduse korral ja tuletab meelde, et lisaks kokkulepitud ühisele kaitsekorrale ei tohiks maksejõuetute pankade jaoks kasutada rohkem maksumaksjate vahendeid;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nõuab, et kõik liikmesriigid ratifitseeriksid täielikult Euroopa stabiilsusmehhanismi asutamislepingu muutmislepingu, mis hõlmab ka ühtse kriisilahendusfondi ühise kaitsekorra loomist;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tuletab meelde, et valitsemissektori võla 0 % riskikaalu poliitika on probleem, millega tuleb tegeleda;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taunib soolise tasakaalu puudumist Ühtse Kriisilahendusnõukogu juhtkonnas;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rõhutab asjaolu, et komisjoni ettepanek luua Euroopa hoiusekindlustusskeem avaldati juba 2015. aastal ja et olukord on pärast seda märkimisväärselt muutunud;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kinnitab veel kord oma kindlat pühendumust täiemahulise Euroopa hoiusekindlustusskeemi loomisele pangandusliidu kolmanda ja viimase ning olulise sambana;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kinnitab veel kord oma kindlat pühendumust täiemahulise Euroopa hoiusekindlustusskeemi loomisele pangandusliidu kolmanda ja viimase ning olulise sambana;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kinnitab veel kord oma kindlat pühendumust täiemahulise</w:t>
            </w:r>
            <w:r>
              <w:t xml:space="preserve"> Euroopa hoiusekindlustusskeemi </w:t>
            </w:r>
            <w:r>
              <w:rPr>
                <w:b/>
                <w:i/>
              </w:rPr>
              <w:t>loomisele pangandusliidu kolmanda ja viimase ning olulise sambana</w:t>
            </w:r>
            <w:r>
              <w:t>;</w:t>
            </w:r>
          </w:p>
        </w:tc>
        <w:tc>
          <w:tcPr>
            <w:tcW w:w="4876" w:type="dxa"/>
            <w:tcBorders>
              <w:top w:val="nil"/>
              <w:left w:val="nil"/>
              <w:bottom w:val="nil"/>
              <w:right w:val="nil"/>
            </w:tcBorders>
          </w:tcPr>
          <w:p>
            <w:pPr>
              <w:pStyle w:val="Normal6a"/>
            </w:pPr>
            <w:r>
              <w:t>20.</w:t>
            </w:r>
            <w:r>
              <w:tab/>
            </w:r>
            <w:r>
              <w:rPr>
                <w:b/>
                <w:i/>
              </w:rPr>
              <w:t>ei poolda</w:t>
            </w:r>
            <w:r>
              <w:t xml:space="preserve"> Euroopa hoiusekindlustusskeemi</w:t>
            </w:r>
            <w:r>
              <w:rPr>
                <w:b/>
                <w:i/>
              </w:rPr>
              <w:t>;</w:t>
            </w:r>
            <w:r>
              <w:t xml:space="preserve"> </w:t>
            </w:r>
            <w:r>
              <w:rPr>
                <w:b/>
                <w:i/>
              </w:rPr>
              <w:t>väidab, et vastastikune hoiusekindlustus suunab olemuslikult riski tugevamatesse majandusriikidesse ja nõrgendab hoiustajate stiimuleid jälgida pangariski, tuues kaasa moraaliriski</w:t>
            </w:r>
            <w:r>
              <w:t xml:space="preserve">; </w:t>
            </w:r>
            <w:r>
              <w:rPr>
                <w:b/>
                <w:i/>
              </w:rPr>
              <w:t>pooldab selle asemel tugevaid riiklikke skeeme, millel on ühtlustatud miinimumstandardid, millega säilitatakse turu hinnasignaalid ja vastutus;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kinnitab veel kord oma kindlat pühendumust täiemahulise</w:t>
            </w:r>
            <w:r>
              <w:t xml:space="preserve"> Euroopa </w:t>
            </w:r>
            <w:r>
              <w:rPr>
                <w:b/>
                <w:i/>
              </w:rPr>
              <w:t>hoiusekindlustusskeemi loomisele pangandusliidu kolmanda ja viimase ning olulise sambana</w:t>
            </w:r>
            <w:r>
              <w:t>;</w:t>
            </w:r>
          </w:p>
        </w:tc>
        <w:tc>
          <w:tcPr>
            <w:tcW w:w="4876" w:type="dxa"/>
            <w:tcBorders>
              <w:top w:val="nil"/>
              <w:left w:val="nil"/>
              <w:bottom w:val="nil"/>
              <w:right w:val="nil"/>
            </w:tcBorders>
          </w:tcPr>
          <w:p>
            <w:pPr>
              <w:pStyle w:val="Normal6a"/>
            </w:pPr>
            <w:r>
              <w:t>20.</w:t>
            </w:r>
            <w:r>
              <w:tab/>
            </w:r>
            <w:r>
              <w:rPr>
                <w:b/>
                <w:i/>
              </w:rPr>
              <w:t>rõhutab vajadust jätta</w:t>
            </w:r>
            <w:r>
              <w:t xml:space="preserve"> Euroopa </w:t>
            </w:r>
            <w:r>
              <w:rPr>
                <w:b/>
                <w:i/>
              </w:rPr>
              <w:t>hoiusekindlustusskeemist välja finantsinstitutsioonide kaitseskeemid, et tagada nende jätkuv toimimine, säilitades samal ajal finantsinstitutsioonide kaitseskeemide autonoomia ja tulemuslikkuse ning järgides finantsinstitutsioonide kaitseskeemide erieeskirju, milles lepiti kokku kriisiohje- ja hoiusekindlustusraamistiku läbivaatamisel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kinnitab veel kord oma kindlat pühendumust täiemahulise</w:t>
            </w:r>
            <w:r>
              <w:t xml:space="preserve"> Euroopa hoiusekindlustusskeemi </w:t>
            </w:r>
            <w:r>
              <w:rPr>
                <w:b/>
                <w:i/>
              </w:rPr>
              <w:t>loomisele</w:t>
            </w:r>
            <w:r>
              <w:t xml:space="preserve"> pangandusliidu </w:t>
            </w:r>
            <w:r>
              <w:rPr>
                <w:b/>
                <w:i/>
              </w:rPr>
              <w:t>kolmanda ja viimase ning olulise sambana</w:t>
            </w:r>
            <w:r>
              <w:t>;</w:t>
            </w:r>
          </w:p>
        </w:tc>
        <w:tc>
          <w:tcPr>
            <w:tcW w:w="4876" w:type="dxa"/>
            <w:tcBorders>
              <w:top w:val="nil"/>
              <w:left w:val="nil"/>
              <w:bottom w:val="nil"/>
              <w:right w:val="nil"/>
            </w:tcBorders>
          </w:tcPr>
          <w:p>
            <w:pPr>
              <w:pStyle w:val="Normal6a"/>
            </w:pPr>
            <w:r>
              <w:t>20.</w:t>
            </w:r>
            <w:r>
              <w:tab/>
            </w:r>
            <w:r>
              <w:rPr>
                <w:b/>
                <w:i/>
              </w:rPr>
              <w:t>võtab teadmiseks eurorühma 16. juuni 2022. aasta avalduse pangandusliidu tuleviku kohta ja tunnistab, et mis tahes arutelu</w:t>
            </w:r>
            <w:r>
              <w:t xml:space="preserve"> Euroopa hoiusekindlustusskeemi </w:t>
            </w:r>
            <w:r>
              <w:rPr>
                <w:b/>
                <w:i/>
              </w:rPr>
              <w:t>üle peaks olema osa laiemast arutelust</w:t>
            </w:r>
            <w:r>
              <w:t xml:space="preserve"> pangandusliidu </w:t>
            </w:r>
            <w:r>
              <w:rPr>
                <w:b/>
                <w:i/>
              </w:rPr>
              <w:t>kõigi ülejäänud elementide üle, tagades proportsionaalsuse ja võttes arvesse riiklikke eripärasid</w:t>
            </w:r>
            <w:r>
              <w:t xml:space="preserve">; </w:t>
            </w:r>
            <w:r>
              <w:rPr>
                <w:b/>
                <w:i/>
              </w:rPr>
              <w:t>rõhutab, et enne konkreetsete seadusandlike ettepanekute koostamise alustamist tuleks saavutada konsensuslik kokkulepe pangandusliidu võimalike täiendavate põhielementide suhtes;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kinnitab veel kord oma </w:t>
            </w:r>
            <w:r>
              <w:rPr>
                <w:b/>
                <w:i/>
              </w:rPr>
              <w:t>kindlat</w:t>
            </w:r>
            <w:r>
              <w:t xml:space="preserve"> pühendumust </w:t>
            </w:r>
            <w:r>
              <w:rPr>
                <w:b/>
                <w:i/>
              </w:rPr>
              <w:t>täiemahulise Euroopa hoiusekindlustusskeemi loomisele</w:t>
            </w:r>
            <w:r>
              <w:t xml:space="preserve"> pangandusliidu </w:t>
            </w:r>
            <w:r>
              <w:rPr>
                <w:b/>
                <w:i/>
              </w:rPr>
              <w:t>kolmanda ja viimase ning olulise sambana</w:t>
            </w:r>
            <w:r>
              <w:t>;</w:t>
            </w:r>
          </w:p>
        </w:tc>
        <w:tc>
          <w:tcPr>
            <w:tcW w:w="4876" w:type="dxa"/>
            <w:tcBorders>
              <w:top w:val="nil"/>
              <w:left w:val="nil"/>
              <w:bottom w:val="nil"/>
              <w:right w:val="nil"/>
            </w:tcBorders>
          </w:tcPr>
          <w:p>
            <w:pPr>
              <w:pStyle w:val="Normal6a"/>
            </w:pPr>
            <w:r>
              <w:t>20.</w:t>
            </w:r>
            <w:r>
              <w:tab/>
            </w:r>
            <w:r>
              <w:t xml:space="preserve">kinnitab veel kord oma pühendumust pangandusliidu </w:t>
            </w:r>
            <w:r>
              <w:rPr>
                <w:b/>
                <w:i/>
              </w:rPr>
              <w:t>edasiarendamisele, võttes igakülgselt arvesse riikide eripära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kinnitab veel kord oma kindlat pühendumust </w:t>
            </w:r>
            <w:r>
              <w:rPr>
                <w:b/>
                <w:i/>
              </w:rPr>
              <w:t>täiemahulise</w:t>
            </w:r>
            <w:r>
              <w:t xml:space="preserve"> Euroopa hoiusekindlustusskeemi </w:t>
            </w:r>
            <w:r>
              <w:rPr>
                <w:b/>
                <w:i/>
              </w:rPr>
              <w:t>loomisele pangandusliidu kolmanda ja viimase ning olulise sambana</w:t>
            </w:r>
            <w:r>
              <w:t>;</w:t>
            </w:r>
          </w:p>
        </w:tc>
        <w:tc>
          <w:tcPr>
            <w:tcW w:w="4876" w:type="dxa"/>
            <w:tcBorders>
              <w:top w:val="nil"/>
              <w:left w:val="nil"/>
              <w:bottom w:val="nil"/>
              <w:right w:val="nil"/>
            </w:tcBorders>
          </w:tcPr>
          <w:p>
            <w:pPr>
              <w:pStyle w:val="Normal6a"/>
            </w:pPr>
            <w:r>
              <w:t>20.</w:t>
            </w:r>
            <w:r>
              <w:tab/>
            </w:r>
            <w:r>
              <w:t xml:space="preserve">kinnitab veel kord oma kindlat pühendumust </w:t>
            </w:r>
            <w:r>
              <w:rPr>
                <w:b/>
                <w:i/>
              </w:rPr>
              <w:t>tugevale ja terviklikule pangandusliidule;</w:t>
            </w:r>
            <w:r>
              <w:t xml:space="preserve"> </w:t>
            </w:r>
            <w:r>
              <w:rPr>
                <w:b/>
                <w:i/>
              </w:rPr>
              <w:t>tuletab meelde, et kumbki kaasseadusandja ei ole</w:t>
            </w:r>
            <w:r>
              <w:t xml:space="preserve"> Euroopa hoiusekindlustusskeemi </w:t>
            </w:r>
            <w:r>
              <w:rPr>
                <w:b/>
                <w:i/>
              </w:rPr>
              <w:t>osas edusamme teinud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kinnitab veel kord oma kindlat pühendumust </w:t>
            </w:r>
            <w:r>
              <w:rPr>
                <w:b/>
                <w:i/>
              </w:rPr>
              <w:t>täiemahulise</w:t>
            </w:r>
            <w:r>
              <w:t xml:space="preserve"> Euroopa hoiusekindlustusskeemi loomisele pangandusliidu kolmanda ja viimase ning olulise sambana;</w:t>
            </w:r>
          </w:p>
        </w:tc>
        <w:tc>
          <w:tcPr>
            <w:tcW w:w="4876" w:type="dxa"/>
            <w:tcBorders>
              <w:top w:val="nil"/>
              <w:left w:val="nil"/>
              <w:bottom w:val="nil"/>
              <w:right w:val="nil"/>
            </w:tcBorders>
          </w:tcPr>
          <w:p>
            <w:pPr>
              <w:pStyle w:val="Normal6a"/>
            </w:pPr>
            <w:r>
              <w:t>20.</w:t>
            </w:r>
            <w:r>
              <w:tab/>
            </w:r>
            <w:r>
              <w:t xml:space="preserve">kinnitab veel kord oma kindlat pühendumust </w:t>
            </w:r>
            <w:r>
              <w:rPr>
                <w:b/>
                <w:i/>
              </w:rPr>
              <w:t>riikide eripära täielikult arvesse võtva</w:t>
            </w:r>
            <w:r>
              <w:t xml:space="preserve"> Euroopa hoiusekindlustusskeemi loomisele pangandusliidu kolmanda ja viimase ning olulise sambana;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kinnitab veel kord oma kindlat pühendumust täiemahulise Euroopa hoiusekindlustusskeemi loomisele pangandusliidu kolmanda ja viimase ning olulise sambana;</w:t>
            </w:r>
          </w:p>
        </w:tc>
        <w:tc>
          <w:tcPr>
            <w:tcW w:w="4876" w:type="dxa"/>
            <w:tcBorders>
              <w:top w:val="nil"/>
              <w:left w:val="nil"/>
              <w:bottom w:val="nil"/>
              <w:right w:val="nil"/>
            </w:tcBorders>
          </w:tcPr>
          <w:p>
            <w:pPr>
              <w:pStyle w:val="Normal6a"/>
            </w:pPr>
            <w:r>
              <w:t>20.</w:t>
            </w:r>
            <w:r>
              <w:tab/>
            </w:r>
            <w:r>
              <w:t xml:space="preserve">kinnitab veel kord oma kindlat pühendumust täiemahulise </w:t>
            </w:r>
            <w:r>
              <w:rPr>
                <w:b/>
                <w:i/>
              </w:rPr>
              <w:t>ja vastastikuse</w:t>
            </w:r>
            <w:r>
              <w:t xml:space="preserve"> Euroopa hoiusekindlustusskeemi loomisele pangandusliidu kolmanda ja viimase ning olulise sambana; </w:t>
            </w:r>
            <w:r>
              <w:rPr>
                <w:b/>
                <w:i/>
              </w:rPr>
              <w:t>rõhutab, et hoiuste kaitsmise ühine süsteem on hädavajalik, et tagada hoiustajate võrdne kaitse kogu liidus, tugevdada veelgi finantsstabiilsust ning vähendada otsustavalt veel eksisteerivat pankade ja riikide vastastikust sõltuvust;</w:t>
            </w:r>
            <w:r>
              <w:t xml:space="preserve"> </w:t>
            </w:r>
            <w:r>
              <w:rPr>
                <w:b/>
                <w:i/>
              </w:rPr>
              <w:t>toonitab, et Euroopa hoiusekindlustusskeem tuleks välja kujundada riskipõhisel ja eelarvepoliitiliselt vastutustundlikul viisil ning sellega koos tuleks teha pingutusi riskide vähendamiseks, tugevdades seeläbi turu usaldust ja ühtse pangandusturu terviklikkust;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kinnitab veel kord oma kindlat pühendumust täiemahulise Euroopa hoiusekindlustusskeemi loomisele pangandusliidu kolmanda ja viimase ning olulise sambana;</w:t>
            </w:r>
          </w:p>
        </w:tc>
        <w:tc>
          <w:tcPr>
            <w:tcW w:w="4876" w:type="dxa"/>
            <w:tcBorders>
              <w:top w:val="nil"/>
              <w:left w:val="nil"/>
              <w:bottom w:val="nil"/>
              <w:right w:val="nil"/>
            </w:tcBorders>
          </w:tcPr>
          <w:p>
            <w:pPr>
              <w:pStyle w:val="Normal6a"/>
            </w:pPr>
            <w:r>
              <w:t>20.</w:t>
            </w:r>
            <w:r>
              <w:tab/>
            </w:r>
            <w:r>
              <w:t xml:space="preserve">kinnitab veel kord oma kindlat pühendumust täiemahulise </w:t>
            </w:r>
            <w:r>
              <w:rPr>
                <w:b/>
                <w:i/>
              </w:rPr>
              <w:t>ja kahjumi katmist pakkuva</w:t>
            </w:r>
            <w:r>
              <w:t xml:space="preserve"> Euroopa hoiusekindlustusskeemi loomisele pangandusliidu kolmanda ja viimase ning olulise sambana; </w:t>
            </w:r>
            <w:r>
              <w:rPr>
                <w:b/>
                <w:i/>
              </w:rPr>
              <w:t>tuletab meelde, et Euroopa hoiusekindlustusskeem aitaks märkimisväärselt kaasa pankade ja nende oma riikide vahelisest nõiaringist väljumisele;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kinnitab veel kord oma kindlat pühendumust täiemahulise Euroopa hoiusekindlustusskeemi loomisele pangandusliidu kolmanda ja viimase ning olulise sambana;</w:t>
            </w:r>
          </w:p>
        </w:tc>
        <w:tc>
          <w:tcPr>
            <w:tcW w:w="4876" w:type="dxa"/>
            <w:tcBorders>
              <w:top w:val="nil"/>
              <w:left w:val="nil"/>
              <w:bottom w:val="nil"/>
              <w:right w:val="nil"/>
            </w:tcBorders>
          </w:tcPr>
          <w:p>
            <w:pPr>
              <w:pStyle w:val="Normal6a"/>
            </w:pPr>
            <w:r>
              <w:t>20.</w:t>
            </w:r>
            <w:r>
              <w:tab/>
            </w:r>
            <w:r>
              <w:t>kinnitab veel kord oma kindlat pühendumust täiemahulise Euroopa hoiusekindlustusskeemi loomisele pangandusliidu kolmanda ja viimase ning olulise sambana</w:t>
            </w:r>
            <w:r>
              <w:rPr>
                <w:b/>
                <w:i/>
              </w:rPr>
              <w:t>, mis põhineb riskide asjakohasel maandamisel, õigetel stiimulitel ja ülesehitusel, mis suurendab hoiustajate usaldust, turudistsipliini ja finantsstabiilsust kogu liidus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kinnitab veel kord oma kindlat pühendumust </w:t>
            </w:r>
            <w:r>
              <w:rPr>
                <w:b/>
                <w:i/>
              </w:rPr>
              <w:t>täiemahulise</w:t>
            </w:r>
            <w:r>
              <w:t xml:space="preserve"> Euroopa hoiusekindlustusskeemi loomisele pangandusliidu kolmanda ja viimase ning olulise sambana;</w:t>
            </w:r>
          </w:p>
        </w:tc>
        <w:tc>
          <w:tcPr>
            <w:tcW w:w="4876" w:type="dxa"/>
            <w:tcBorders>
              <w:top w:val="nil"/>
              <w:left w:val="nil"/>
              <w:bottom w:val="nil"/>
              <w:right w:val="nil"/>
            </w:tcBorders>
          </w:tcPr>
          <w:p>
            <w:pPr>
              <w:pStyle w:val="Normal6a"/>
            </w:pPr>
            <w:r>
              <w:t>20.</w:t>
            </w:r>
            <w:r>
              <w:tab/>
            </w:r>
            <w:r>
              <w:t xml:space="preserve">kinnitab veel kord oma kindlat pühendumust Euroopa hoiusekindlustusskeemi loomisele pangandusliidu kolmanda ja viimase ning olulise sambana; </w:t>
            </w:r>
            <w:r>
              <w:rPr>
                <w:b/>
                <w:i/>
              </w:rPr>
              <w:t>on seisukohal, et Euroopa hoiusekindlustusskeemi järkjärgulise kasutuselevõtuga peaks kaasnema kõigi pangandusliidu pankade riskide vähenemine;</w:t>
            </w:r>
            <w:r>
              <w:t xml:space="preserve"> </w:t>
            </w:r>
            <w:r>
              <w:rPr>
                <w:b/>
                <w:i/>
              </w:rPr>
              <w:t>rõhutab, et Euroopa hoiusekindlustusskeemi tehtavate osamaksete puhul tuleks arvesse võtta iga osaleva sektori riskiprofiili;</w:t>
            </w:r>
            <w:r>
              <w:t xml:space="preserve"> </w:t>
            </w:r>
            <w:r>
              <w:rPr>
                <w:b/>
                <w:i/>
              </w:rPr>
              <w:t>rõhutab samuti, kui oluline on täielikult kohaldada kehtivaid norme, sealhulgas selliseid mehhanisme nagu likviidsusnõuete kohaldamisest tehtavad erandid, mis on üks viis tagada vabad grupisisesed kapitali- ja likviidsusvood, võimaldades seeläbi Euroopa pankadel tõhusalt rahastada ettevõtjaid kogu ELis ja suurendada konkurentsivõimet;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kinnitab veel kord oma kindlat pühendumust täiemahulise Euroopa hoiusekindlustusskeemi loomisele pangandusliidu kolmanda ja viimase ning olulise sambana;</w:t>
            </w:r>
          </w:p>
        </w:tc>
        <w:tc>
          <w:tcPr>
            <w:tcW w:w="4876" w:type="dxa"/>
            <w:tcBorders>
              <w:top w:val="nil"/>
              <w:left w:val="nil"/>
              <w:bottom w:val="nil"/>
              <w:right w:val="nil"/>
            </w:tcBorders>
          </w:tcPr>
          <w:p>
            <w:pPr>
              <w:pStyle w:val="Normal6a"/>
            </w:pPr>
            <w:r>
              <w:t>20.</w:t>
            </w:r>
            <w:r>
              <w:tab/>
            </w:r>
            <w:r>
              <w:t xml:space="preserve">kinnitab veel kord oma kindlat pühendumust täiemahulise Euroopa hoiusekindlustusskeemi loomisele pangandusliidu kolmanda ja viimase ning olulise sambana; </w:t>
            </w:r>
            <w:r>
              <w:rPr>
                <w:b/>
                <w:i/>
              </w:rPr>
              <w:t>peab kahetsusväärseks, et Euroopa hoiusekindlustusskeemi puudumise tõttu on pangandusliit endiselt puudulik;</w:t>
            </w:r>
            <w:r>
              <w:t xml:space="preserve"> </w:t>
            </w:r>
            <w:r>
              <w:rPr>
                <w:b/>
                <w:i/>
              </w:rPr>
              <w:t>tunnistab, et Euroopa hoiusekindlustusskeem parandaks hoiustajate kaitset ELis;</w:t>
            </w:r>
            <w:r>
              <w:t xml:space="preserve"> </w:t>
            </w:r>
            <w:r>
              <w:rPr>
                <w:b/>
                <w:i/>
              </w:rPr>
              <w:t>tuletab meelde, et Euroopa hoiusekindlustusskeem oleks ELi kodanike jaoks pangandusliidu käegakatsutav element koos suurema konkurentsi ja tarbijavalikuga;</w:t>
            </w:r>
            <w:r>
              <w:t xml:space="preserve"> </w:t>
            </w:r>
            <w:r>
              <w:rPr>
                <w:b/>
                <w:i/>
              </w:rPr>
              <w:t>on seisukohal, et Euroopa hoiusekindlustusskeem pakuks 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tunnistab, et Euroopa hoiusekindlustusskeem võib parandada hoiustajate kaitset ELis;</w:t>
            </w:r>
            <w:r>
              <w:t xml:space="preserve"> </w:t>
            </w:r>
            <w:r>
              <w:rPr>
                <w:b/>
                <w:i/>
              </w:rPr>
              <w:t>on siiski seisukohal, et peamine takistus Euroopa hoiusekindlustusskeemi kasutuselevõtmisel on mure teatavate pangandussüsteemide riskide pärast;</w:t>
            </w:r>
            <w:r>
              <w:t xml:space="preserve"> </w:t>
            </w:r>
            <w:r>
              <w:rPr>
                <w:b/>
                <w:i/>
              </w:rPr>
              <w:t>rõhutab, et nende riskide vähendamine on mis tahes Euroopa hoiusekindlustusskeemi suhtes kokkuleppele jõudmisel keskse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juhib tähelepanu sellele, et Euroopa hoiusekindlustusskeemi algselt kavandatud vorm ei ole enam asjakohane ja puudub võimalus saada selle rakendamist võimaldavat toetust;</w:t>
            </w:r>
            <w:r>
              <w:t xml:space="preserve"> </w:t>
            </w:r>
            <w:r>
              <w:rPr>
                <w:b/>
                <w:i/>
              </w:rPr>
              <w:t>on arvamusel, et võimalik Euroopa hoiusekindlustusskeem ei tuleks luua täielikult integreeritud süsteemina, vaid see peaks olema pigem teatav edasikindlustuse vorm;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w:t>
            </w:r>
            <w:r>
              <w:t xml:space="preserve"> </w:t>
            </w:r>
            <w:r>
              <w:rPr>
                <w:b/>
                <w:i/>
              </w:rPr>
              <w:t>tuletab meelde majandus- ja rahanduskomisjoni 2024. aasta seisukohta Euroopa hoiusekindlustusskeemi suhtes;</w:t>
            </w:r>
            <w:r>
              <w:t xml:space="preserve"> </w:t>
            </w:r>
            <w:r>
              <w:rPr>
                <w:b/>
                <w:i/>
              </w:rPr>
              <w:t>nõuab tungivalt, et nõukogu edendaks läbirääkimisi;</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väljendab heameelt kriisiohje- ja hoiusekindlustusraamistiku paketi vastuvõtmise üle, mis on positiivne samm, mis tugevdab riiklikke</w:t>
            </w:r>
            <w:r>
              <w:t xml:space="preserve"> hoiuste tagamise </w:t>
            </w:r>
            <w:r>
              <w:rPr>
                <w:b/>
                <w:i/>
              </w:rPr>
              <w:t>skeeme, suurendab usaldust pangandussektori vastu ning parandab tegevus- ja õiguslikke tingimusi liikumiseks hoiustajate ja maksumaksjate ELi ühise kaitse suunas;</w:t>
            </w:r>
            <w:r>
              <w:t xml:space="preserve"> </w:t>
            </w:r>
            <w:r>
              <w:rPr>
                <w:b/>
                <w:i/>
              </w:rPr>
              <w:t>tuletab meelde majandus- ja rahanduskomisjoni 2024. aasta seisukohta</w:t>
            </w:r>
            <w:r>
              <w:t xml:space="preserve"> Euroopa hoiusekindlustusskeemi </w:t>
            </w:r>
            <w:r>
              <w:rPr>
                <w:b/>
                <w:i/>
              </w:rPr>
              <w:t>suhtes;</w:t>
            </w:r>
            <w:r>
              <w:t xml:space="preserve"> </w:t>
            </w:r>
            <w:r>
              <w:rPr>
                <w:b/>
                <w:i/>
              </w:rPr>
              <w:t>nõuab tungivalt, et nõukogu edendaks läbirääkimisi</w:t>
            </w:r>
            <w:r>
              <w:t>;</w:t>
            </w:r>
          </w:p>
        </w:tc>
        <w:tc>
          <w:tcPr>
            <w:tcW w:w="4876" w:type="dxa"/>
            <w:tcBorders>
              <w:top w:val="nil"/>
              <w:left w:val="nil"/>
              <w:bottom w:val="nil"/>
              <w:right w:val="nil"/>
            </w:tcBorders>
          </w:tcPr>
          <w:p>
            <w:pPr>
              <w:pStyle w:val="Normal6a"/>
            </w:pPr>
            <w:r>
              <w:t>21.</w:t>
            </w:r>
            <w:r>
              <w:tab/>
            </w:r>
            <w:r>
              <w:rPr>
                <w:b/>
                <w:i/>
              </w:rPr>
              <w:t>kutsub komisjoni üles tunnistama, et Euroopa hoiusekindlustusskeemi käsitleva praeguse seadusandliku ettepaneku menetlemine on mitu aastat seisnud, ilma et oleks tehtud käegakatsutavaid edusamme, peab kahetsusväärseks, et see pikaajaline ummikseis on õõnestanud pangandusliidu väljakujundamisele pühendumise usaldusväärsust, ning nõuab tungivalt, et komisjon võtaks olemasoleva ettepaneku tagasi ja esitaks viivitamata uuendatud ja auahnema algatuse, millega suudetakse saavutada tõeline Euroopa</w:t>
            </w:r>
            <w:r>
              <w:t xml:space="preserve"> hoiuste tagamise </w:t>
            </w:r>
            <w:r>
              <w:rPr>
                <w:b/>
                <w:i/>
              </w:rPr>
              <w:t>skeemi käsitlev poliitiline kokkulepe;</w:t>
            </w:r>
            <w:r>
              <w:t xml:space="preserve"> </w:t>
            </w:r>
            <w:r>
              <w:rPr>
                <w:b/>
                <w:i/>
              </w:rPr>
              <w:t>rõhutab, et selline uus ettepanek peaks tagama usaldusväärse, tulemusliku ja riskipõhise raamistiku, mis annab tõelise tõuke</w:t>
            </w:r>
            <w:r>
              <w:t xml:space="preserve"> Euroopa hoiusekindlustusskeemi </w:t>
            </w:r>
            <w:r>
              <w:rPr>
                <w:b/>
                <w:i/>
              </w:rPr>
              <w:t>väljakujundamiseks, suurendab hoiustajate usaldust ja tagab võrdsed võimalused kogu ühtsel pangandusturul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väljendab heameelt</w:t>
            </w:r>
            <w:r>
              <w:t xml:space="preserve"> kriisiohje</w:t>
            </w:r>
            <w:r>
              <w:rPr>
                <w:b/>
                <w:i/>
              </w:rPr>
              <w:t>-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w:t>
            </w:r>
            <w:r>
              <w:t xml:space="preserve">; </w:t>
            </w:r>
            <w:r>
              <w:rPr>
                <w:b/>
                <w:i/>
              </w:rPr>
              <w:t>tuletab meelde majandus- ja rahanduskomisjoni 2024. aasta seisukohta Euroopa hoiusekindlustusskeemi suhtes;</w:t>
            </w:r>
            <w:r>
              <w:t xml:space="preserve"> </w:t>
            </w:r>
            <w:r>
              <w:rPr>
                <w:b/>
                <w:i/>
              </w:rPr>
              <w:t>nõuab tungivalt, et nõukogu edendaks läbirääkimisi;</w:t>
            </w:r>
          </w:p>
        </w:tc>
        <w:tc>
          <w:tcPr>
            <w:tcW w:w="4876" w:type="dxa"/>
            <w:tcBorders>
              <w:top w:val="nil"/>
              <w:left w:val="nil"/>
              <w:bottom w:val="nil"/>
              <w:right w:val="nil"/>
            </w:tcBorders>
          </w:tcPr>
          <w:p>
            <w:pPr>
              <w:pStyle w:val="Normal6a"/>
            </w:pPr>
            <w:r>
              <w:t>21.</w:t>
            </w:r>
            <w:r>
              <w:tab/>
            </w:r>
            <w:r>
              <w:rPr>
                <w:b/>
                <w:i/>
              </w:rPr>
              <w:t>tunnustab</w:t>
            </w:r>
            <w:r>
              <w:t xml:space="preserve"> kriisiohje </w:t>
            </w:r>
            <w:r>
              <w:rPr>
                <w:b/>
                <w:i/>
              </w:rPr>
              <w:t>ja hoiusekindlustuse valdkonnas tehtud edusamme, kuid hoiatab liigse tuginemise eest tsentraliseeritud skeemidele, mis võivad vähendada aruandekohustust ja tekitada vastutustundliku eelarvepoliitikaga liikmesriikidele süsteemseid kohustusi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w:t>
            </w:r>
            <w:r>
              <w:rPr>
                <w:b/>
                <w:i/>
              </w:rPr>
              <w:t>,</w:t>
            </w:r>
            <w:r>
              <w:t xml:space="preserve"> suurendab usaldust pangandussektori vastu </w:t>
            </w:r>
            <w:r>
              <w:rPr>
                <w:b/>
                <w:i/>
              </w:rPr>
              <w:t>ning parandab tegevus- ja õiguslikke tingimusi liikumiseks hoiustajate ja maksumaksjate ELi ühise kaitse suunas</w:t>
            </w:r>
            <w:r>
              <w:t xml:space="preserve">; </w:t>
            </w:r>
            <w:r>
              <w:rPr>
                <w:b/>
                <w:i/>
              </w:rPr>
              <w:t>tuletab meelde majandus- ja rahanduskomisjoni 2024. aasta seisukohta Euroopa hoiusekindlustusskeemi suhtes;</w:t>
            </w:r>
            <w:r>
              <w:t xml:space="preserve"> </w:t>
            </w:r>
            <w:r>
              <w:rPr>
                <w:b/>
                <w:i/>
              </w:rPr>
              <w:t>nõuab tungivalt, et nõukogu edendaks läbirääkimisi;</w:t>
            </w:r>
          </w:p>
        </w:tc>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tugevdab riiklikke hoiuste tagamise skeeme </w:t>
            </w:r>
            <w:r>
              <w:rPr>
                <w:b/>
                <w:i/>
              </w:rPr>
              <w:t>ja</w:t>
            </w:r>
            <w:r>
              <w:t xml:space="preserve"> suurendab usaldust pangandussektori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w:t>
            </w:r>
            <w:r>
              <w:rPr>
                <w:b/>
                <w:i/>
              </w:rPr>
              <w:t>tuletab meelde majandus- ja rahanduskomisjoni 2024. aasta seisukohta Euroopa hoiusekindlustusskeemi suhtes;</w:t>
            </w:r>
            <w:r>
              <w:t xml:space="preserve"> </w:t>
            </w:r>
            <w:r>
              <w:rPr>
                <w:b/>
                <w:i/>
              </w:rPr>
              <w:t>nõuab tungivalt, et nõukogu edendaks läbirääkimisi;</w:t>
            </w:r>
          </w:p>
        </w:tc>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fraktsiooni ECR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w:t>
            </w:r>
            <w:r>
              <w:rPr>
                <w:b/>
                <w:i/>
              </w:rPr>
              <w:t>tuletab meelde majandus- ja rahanduskomisjoni 2024. aasta seisukohta Euroopa hoiusekindlustusskeemi suhtes;</w:t>
            </w:r>
            <w:r>
              <w:t xml:space="preserve"> </w:t>
            </w:r>
            <w:r>
              <w:rPr>
                <w:b/>
                <w:i/>
              </w:rPr>
              <w:t>nõuab tungivalt, et nõukogu edendaks läbirääkimisi;</w:t>
            </w:r>
          </w:p>
        </w:tc>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w:t>
            </w:r>
            <w:r>
              <w:rPr>
                <w:b/>
                <w:i/>
              </w:rPr>
              <w:t>tuletab meelde majandus- ja rahanduskomisjoni 2024. aasta seisukohta Euroopa hoiusekindlustusskeemi suhtes;</w:t>
            </w:r>
            <w:r>
              <w:t xml:space="preserve"> nõuab tungivalt, et nõukogu edendaks läbirääkimisi;</w:t>
            </w:r>
          </w:p>
        </w:tc>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nõuab tungivalt, et nõukogu edendaks läbirääkimisi;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w:t>
            </w:r>
            <w:r>
              <w:rPr>
                <w:b/>
                <w:i/>
              </w:rPr>
              <w:t>tuletab meelde majandus- ja rahanduskomisjoni 2024. aasta seisukohta Euroopa hoiusekindlustusskeemi suhtes;</w:t>
            </w:r>
            <w:r>
              <w:t xml:space="preserve"> nõuab tungivalt, et nõukogu edendaks läbirääkimisi;</w:t>
            </w:r>
          </w:p>
        </w:tc>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nõuab tungivalt, et nõukogu edendaks läbirääkimisi;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w:t>
            </w:r>
            <w:r>
              <w:rPr>
                <w:b/>
                <w:i/>
              </w:rPr>
              <w:t>tugevdab riiklikke hoiuste tagamise skeeme,</w:t>
            </w:r>
            <w:r>
              <w:t xml:space="preserve"> suurendab usaldust pangandussektori vastu ning parandab tegevus- ja õiguslikke tingimusi liikumiseks hoiustajate ja maksumaksjate ELi ühise kaitse suunas; tuletab meelde majandus- ja rahanduskomisjoni 2024. aasta seisukohta Euroopa hoiusekindlustusskeemi suhtes; nõuab tungivalt, et nõukogu edendaks läbirääkimisi;</w:t>
            </w:r>
          </w:p>
        </w:tc>
        <w:tc>
          <w:tcPr>
            <w:tcW w:w="4876" w:type="dxa"/>
            <w:tcBorders>
              <w:top w:val="nil"/>
              <w:left w:val="nil"/>
              <w:bottom w:val="nil"/>
              <w:right w:val="nil"/>
            </w:tcBorders>
          </w:tcPr>
          <w:p>
            <w:pPr>
              <w:pStyle w:val="Normal6a"/>
            </w:pPr>
            <w:r>
              <w:t>21.</w:t>
            </w:r>
            <w:r>
              <w:tab/>
            </w:r>
            <w:r>
              <w:t xml:space="preserve">väljendab heameelt kriisiohje- ja hoiusekindlustusraamistiku paketi vastuvõtmise üle, mis on positiivne samm, mis suurendab usaldust pangandussektori vastu ning parandab tegevus- ja õiguslikke tingimusi liikumiseks hoiustajate ja maksumaksjate ELi ühise kaitse suunas; tuletab meelde majandus- ja rahanduskomisjoni 2024. aasta seisukohta Euroopa hoiusekindlustusskeemi suhtes; nõuab tungivalt, et nõukogu edendaks läbirääkimisi; </w:t>
            </w:r>
            <w:r>
              <w:rPr>
                <w:b/>
                <w:i/>
              </w:rPr>
              <w:t>nõuab kindlalt, et eurorühma uus esimees jätkaks võimalikult kiiresti selleteemalisi arutelusid;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 suurendab usaldust pangandussektori vastu ning parandab tegevus- ja õiguslikke tingimusi liikumiseks hoiustajate ja maksumaksjate ELi ühise kaitse suunas; tuletab meelde majandus- ja rahanduskomisjoni 2024. aasta seisukohta Euroopa hoiusekindlustusskeemi suhtes; nõuab tungivalt, et nõukogu edendaks läbirääkimisi;</w:t>
            </w:r>
          </w:p>
        </w:tc>
        <w:tc>
          <w:tcPr>
            <w:tcW w:w="4876" w:type="dxa"/>
            <w:tcBorders>
              <w:top w:val="nil"/>
              <w:left w:val="nil"/>
              <w:bottom w:val="nil"/>
              <w:right w:val="nil"/>
            </w:tcBorders>
          </w:tcPr>
          <w:p>
            <w:pPr>
              <w:pStyle w:val="Normal6a"/>
            </w:pPr>
            <w:r>
              <w:t>21.</w:t>
            </w:r>
            <w:r>
              <w:tab/>
            </w:r>
            <w:r>
              <w:t>väljendab heameelt kriisiohje- ja hoiusekindlustusraamistiku paketi vastuvõtmise üle, mis on positiivne samm, mis tugevdab riiklikke hoiuste tagamise skeeme, suurendab usaldust pangandussektori vastu ning parandab tegevus- ja õiguslikke tingimusi </w:t>
            </w:r>
            <w:r>
              <w:rPr>
                <w:b/>
                <w:i/>
              </w:rPr>
              <w:t>järkjärguliseks ja usaldusväärseks</w:t>
            </w:r>
            <w:r>
              <w:t xml:space="preserve"> liikumiseks hoiustajate ja maksumaksjate ELi ühise kaitse suunas;</w:t>
            </w:r>
            <w:r>
              <w:rPr>
                <w:b/>
                <w:i/>
              </w:rPr>
              <w:t> </w:t>
            </w:r>
            <w:r>
              <w:t xml:space="preserve"> tuletab meelde majandus- ja rahanduskomisjoni 2024. aasta seisukohta Euroopa hoiusekindlustusskeemi suhtes; nõuab tungivalt, et nõukogu edendaks läbirääkimisi;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142</w:t>
    </w:r>
    <w:r>
      <w:fldChar w:fldCharType="end"/>
    </w:r>
    <w:r>
      <w:t>/</w:t>
    </w:r>
    <w:r>
      <w:fldChar w:fldCharType="begin"/>
    </w:r>
    <w:r>
      <w:instrText xml:space="preserve"> NUMPAGES </w:instrText>
    </w:r>
    <w:r>
      <w:fldChar w:fldCharType="separate"/>
    </w:r>
    <w:r>
      <w:t>143</w:t>
    </w:r>
    <w:r>
      <w:fldChar w:fldCharType="end"/>
    </w:r>
    <w:r>
      <w:tab/>
    </w:r>
    <w:r>
      <w:rPr>
        <w:rStyle w:val="HideTWBExt"/>
      </w:rPr>
      <w:t>&lt;PathFdR&gt;</w:t>
    </w:r>
    <w:r>
      <w:t>AM\1335561ET.docx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AM\1335561ET.docx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143</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AM\1335561ET.docx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143</Pages>
  <Words>22525</Words>
  <Characters>181651</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360534</vt:lpwstr>
  </property>
  <property fmtid="{D5CDD505-2E9C-101B-9397-08002B2CF9AE}" pid="7" name="dmxml.render.traceId">
    <vt:lpwstr>6981aa18ba9f8c4c40409a9b9909df19</vt:lpwstr>
  </property>
  <property fmtid="{D5CDD505-2E9C-101B-9397-08002B2CF9AE}" pid="8" name="FooterPath">
    <vt:lpwstr>AM\1335561ET.docx</vt:lpwstr>
  </property>
  <property fmtid="{D5CDD505-2E9C-101B-9397-08002B2CF9AE}" pid="9" name="PE Number">
    <vt:lpwstr>782.353</vt:lpwstr>
  </property>
  <property fmtid="{D5CDD505-2E9C-101B-9397-08002B2CF9AE}" pid="10" name="UID">
    <vt:lpwstr>eu.europa.europarl-DIN1-2026-0000006414_01.00-et-01.00_text-xml</vt:lpwstr>
  </property>
</Properties>
</file>