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Talous- ja raha-asioiden valiokunta</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Pankkiunioni – vuosikertomus 2025</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12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23. huhtikuuta 2024 annetun talous- ja raha-asioiden valiokunnan mietinnön ehdotuksesta Euroopan parlamentin ja neuvoston asetukseksi asetuksen (EU) N:o 806/2014 muuttamisesta eurooppalaisen talletussuojajärjestelmän perustamiseksi,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12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23. huhtikuuta 2024 annetun talous- ja raha-asioiden valiokunnan mietinnön ehdotuksesta Euroopan parlamentin ja neuvoston asetukseksi asetuksen (EU) N:o 806/2014 muuttamisesta eurooppalaisen talletussuojajärjestelmän perustamiseksi,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14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22. kesäkuuta 2015 julkaistun viiden puheenjohtajan kertomuksen ”Euroopan talous- ja rahaliiton viimeistely”,</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21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EKP:n vuonna 2023 julkaiseman Occasional Paper Series -sarjan julkaisun nro 328 ”The Road to Paris: stress testing the transition towards a net-zero economy”,</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21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EKP:n vuonna 2023 julkaiseman Occasional Paper Series -sarjan julkaisun nro 328 ”The Road to Paris: stress testing the transition towards a net-zero economy”,</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21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EKP:n Occasional Paper -sarjan julkaisun nro 376 ”Capital requirements: a pillar or a burden for bank competitiveness?”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25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Baselin pankkivalvontakomitean 10. heinäkuuta 2025 antaman raportin pankkien yhteyksistä muihin rahoituksen välittäjiin kuin pankkeihin,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30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7. marraskuuta 2024 annetun Euroopan vakuutus- ja lisäeläkeviranomaisen raportin kestävyysriskien vakavaraisuuskohtelusta,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34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joulukuussa 2025 annetun EKP:n kertomuksen vakavaraisuutta koskevan eurooppalaisen sääntely-, valvonta- ja raportointikehyksen yksinkertaistamisesta,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34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 lokakuuta 2025 annetun EPV:n kertomuksen sääntely- ja valvontakehyksen tehokkuudesta,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pankkiunionin tavoitteena on turvata </w:t>
            </w:r>
            <w:r>
              <w:rPr>
                <w:b/>
                <w:i/>
              </w:rPr>
              <w:t>pankkialan</w:t>
            </w:r>
            <w:r>
              <w:t xml:space="preserve"> vakaus, välttää verovaroin rahoitettavat pelastusoperaatiot, vahvistaa häiriönsietokykyä, mahdollistaa hallittu kriisinratkaisu, vähentää markkinoiden pirstoutumista ja parantaa kilpailukykyä, rajatylittävää toimintaa ja rahoituksen saantia</w:t>
            </w:r>
            <w:r>
              <w:rPr>
                <w:b/>
                <w:i/>
              </w:rPr>
              <w:t>, mutta toteaa, että ”liian suuri kaatumaan” -ongelma on edelleen ratkaisematta</w:t>
            </w:r>
            <w:r>
              <w:t>;</w:t>
            </w:r>
          </w:p>
        </w:tc>
        <w:tc>
          <w:tcPr>
            <w:tcW w:w="4876" w:type="dxa"/>
            <w:tcBorders>
              <w:top w:val="nil"/>
              <w:left w:val="nil"/>
              <w:bottom w:val="nil"/>
              <w:right w:val="nil"/>
            </w:tcBorders>
          </w:tcPr>
          <w:p>
            <w:pPr>
              <w:pStyle w:val="Normal6a"/>
            </w:pPr>
            <w:r>
              <w:t>A.</w:t>
            </w:r>
            <w:r>
              <w:tab/>
            </w:r>
            <w:r>
              <w:t xml:space="preserve">ottaa huomioon, että pankkiunionin tavoitteena on turvata </w:t>
            </w:r>
            <w:r>
              <w:rPr>
                <w:b/>
                <w:i/>
              </w:rPr>
              <w:t>rahoitusjärjestelmän</w:t>
            </w:r>
            <w:r>
              <w:t xml:space="preserve"> vakaus </w:t>
            </w:r>
            <w:r>
              <w:rPr>
                <w:b/>
                <w:i/>
              </w:rPr>
              <w:t>ja varmistaa pankkikriisin asianmukainen hallinta</w:t>
            </w:r>
            <w:r>
              <w:t>, välttää verovaroin rahoitettavat pelastusoperaatiot, vahvistaa häiriönsietokykyä, mahdollistaa hallittu kriisinratkaisu, vähentää markkinoiden pirstoutumista ja parantaa kilpailukykyä, rajatylittävää toimintaa ja rahoituksen saantia;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w:t>
            </w:r>
            <w:r>
              <w:rPr>
                <w:b/>
                <w:i/>
              </w:rPr>
              <w:t>, mutta toteaa, että ”liian suuri kaatumaan” -ongelma on edelleen ratkaisematta</w:t>
            </w:r>
            <w:r>
              <w:t>;</w:t>
            </w:r>
          </w:p>
        </w:tc>
        <w:tc>
          <w:tcPr>
            <w:tcW w:w="4876" w:type="dxa"/>
            <w:tcBorders>
              <w:top w:val="nil"/>
              <w:left w:val="nil"/>
              <w:bottom w:val="nil"/>
              <w:right w:val="nil"/>
            </w:tcBorders>
          </w:tcPr>
          <w:p>
            <w:pPr>
              <w:pStyle w:val="Normal6a"/>
            </w:pPr>
            <w:r>
              <w:t>A.</w:t>
            </w:r>
            <w:r>
              <w:tab/>
            </w:r>
            <w:r>
              <w:t>ottaa huomioon, että pankkiunionin tavoitteena on turvata pankkialan vakaus</w:t>
            </w:r>
            <w:r>
              <w:rPr>
                <w:b/>
                <w:i/>
              </w:rPr>
              <w:t>, katkaista valtionpankkien kriisikierre</w:t>
            </w:r>
            <w:r>
              <w:t>, välttää verovaroin rahoitettavat pelastusoperaatiot, vahvistaa häiriönsietokykyä, mahdollistaa hallittu kriisinratkaisu, vähentää markkinoiden pirstoutumista ja parantaa kilpailukykyä, rajatylittävää toimintaa ja rahoituksen saantia;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w:t>
            </w:r>
            <w:r>
              <w:rPr>
                <w:b/>
                <w:i/>
              </w:rPr>
              <w:t>, mutta toteaa, että ”liian suuri kaatumaan” -ongelma on edelleen ratkaisematta</w:t>
            </w:r>
            <w:r>
              <w:t>;</w:t>
            </w:r>
          </w:p>
        </w:tc>
        <w:tc>
          <w:tcPr>
            <w:tcW w:w="4876" w:type="dxa"/>
            <w:tcBorders>
              <w:top w:val="nil"/>
              <w:left w:val="nil"/>
              <w:bottom w:val="nil"/>
              <w:right w:val="nil"/>
            </w:tcBorders>
          </w:tcPr>
          <w:p>
            <w:pPr>
              <w:pStyle w:val="Normal6a"/>
            </w:pPr>
            <w:r>
              <w:t>A.</w:t>
            </w:r>
            <w:r>
              <w:tab/>
            </w:r>
            <w:r>
              <w:t>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 </w:t>
            </w:r>
            <w:r>
              <w:rPr>
                <w:b/>
                <w:i/>
              </w:rPr>
              <w:t>mutta</w:t>
            </w:r>
            <w:r>
              <w:t xml:space="preserve"> toteaa</w:t>
            </w:r>
            <w:r>
              <w:rPr>
                <w:b/>
                <w:i/>
              </w:rPr>
              <w:t>, että ”liian suuri kaatumaan” -ongelma on edelleen ratkaisematta</w:t>
            </w:r>
            <w:r>
              <w:t>;</w:t>
            </w:r>
          </w:p>
        </w:tc>
        <w:tc>
          <w:tcPr>
            <w:tcW w:w="4876" w:type="dxa"/>
            <w:tcBorders>
              <w:top w:val="nil"/>
              <w:left w:val="nil"/>
              <w:bottom w:val="nil"/>
              <w:right w:val="nil"/>
            </w:tcBorders>
          </w:tcPr>
          <w:p>
            <w:pPr>
              <w:pStyle w:val="Normal6a"/>
            </w:pPr>
            <w:r>
              <w:t>A.</w:t>
            </w:r>
            <w:r>
              <w:tab/>
            </w:r>
            <w:r>
              <w:t xml:space="preserve">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 </w:t>
            </w:r>
            <w:r>
              <w:rPr>
                <w:b/>
                <w:i/>
              </w:rPr>
              <w:t>ja</w:t>
            </w:r>
            <w:r>
              <w:t xml:space="preserve"> toteaa </w:t>
            </w:r>
            <w:r>
              <w:rPr>
                <w:b/>
                <w:i/>
              </w:rPr>
              <w:t>samalla, että Euroopan unionin pankkitoiminta on monimuotoista ja erilaiset pankkirakenteet tarjoavat monenlaisia palveluja EU:n kuluttajille ja yrityksille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 mutta toteaa, että ”liian suuri kaatumaan” -</w:t>
            </w:r>
            <w:r>
              <w:rPr>
                <w:b/>
                <w:i/>
              </w:rPr>
              <w:t>ongelma on edelleen ratkaisematta</w:t>
            </w:r>
            <w:r>
              <w:t>;</w:t>
            </w:r>
          </w:p>
        </w:tc>
        <w:tc>
          <w:tcPr>
            <w:tcW w:w="4876" w:type="dxa"/>
            <w:tcBorders>
              <w:top w:val="nil"/>
              <w:left w:val="nil"/>
              <w:bottom w:val="nil"/>
              <w:right w:val="nil"/>
            </w:tcBorders>
          </w:tcPr>
          <w:p>
            <w:pPr>
              <w:pStyle w:val="Normal6a"/>
            </w:pPr>
            <w:r>
              <w:t>A.</w:t>
            </w:r>
            <w:r>
              <w:tab/>
            </w:r>
            <w:r>
              <w:t>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 mutta toteaa, että ”liian suuri kaatumaan” -</w:t>
            </w:r>
            <w:r>
              <w:rPr>
                <w:b/>
                <w:i/>
              </w:rPr>
              <w:t>ongelman vaikutukset vääristävät markkinakannustimia ja lisäävät epäsuoria valtiontakauksia</w:t>
            </w:r>
            <w:r>
              <w:t xml:space="preserve">; </w:t>
            </w:r>
            <w:r>
              <w:rPr>
                <w:b/>
                <w:i/>
              </w:rPr>
              <w:t>kehottaa tiukentamaan markkinakuria sen sijaan, että lisätään sääntelykerroksia;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 mutta toteaa, että ”liian suuri kaatumaan” -ongelma on edelleen ratkaisematta;</w:t>
            </w:r>
          </w:p>
        </w:tc>
        <w:tc>
          <w:tcPr>
            <w:tcW w:w="4876" w:type="dxa"/>
            <w:tcBorders>
              <w:top w:val="nil"/>
              <w:left w:val="nil"/>
              <w:bottom w:val="nil"/>
              <w:right w:val="nil"/>
            </w:tcBorders>
          </w:tcPr>
          <w:p>
            <w:pPr>
              <w:pStyle w:val="Normal6a"/>
            </w:pPr>
            <w:r>
              <w:t>A.</w:t>
            </w:r>
            <w:r>
              <w:tab/>
            </w:r>
            <w:r>
              <w:t xml:space="preserve">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 </w:t>
            </w:r>
            <w:r>
              <w:rPr>
                <w:b/>
                <w:i/>
              </w:rPr>
              <w:t>ja siten vähentää pankkien asiakkaille koituvia kustannuksia</w:t>
            </w:r>
            <w:r>
              <w:t>, mutta toteaa, että ”liian suuri kaatumaan” -ongelma on edelleen ratkaisematta;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pankkiunionin tavoitteena on turvata pankkialan vakaus, välttää verovaroin rahoitettavat pelastusoperaatiot, vahvistaa häiriönsietokykyä, mahdollistaa hallittu kriisinratkaisu, vähentää markkinoiden pirstoutumista ja parantaa kilpailukykyä, rajatylittävää toimintaa ja rahoituksen saantia, mutta toteaa, että ”liian suuri kaatumaan” -ongelma on edelleen ratkaisematta;</w:t>
            </w:r>
          </w:p>
        </w:tc>
        <w:tc>
          <w:tcPr>
            <w:tcW w:w="4876" w:type="dxa"/>
            <w:tcBorders>
              <w:top w:val="nil"/>
              <w:left w:val="nil"/>
              <w:bottom w:val="nil"/>
              <w:right w:val="nil"/>
            </w:tcBorders>
          </w:tcPr>
          <w:p>
            <w:pPr>
              <w:pStyle w:val="Normal6a"/>
            </w:pPr>
            <w:r>
              <w:t>A.</w:t>
            </w:r>
            <w:r>
              <w:tab/>
            </w:r>
            <w:r>
              <w:t>ottaa huomioon, että pankkiunionin tavoitteena on turvata pankkialan vakaus, välttää verovaroin rahoitettavat pelastusoperaatiot, vahvistaa häiriönsietokykyä, mahdollistaa hallittu kriisinratkaisu, vähentää markkinoiden pirstoutumista</w:t>
            </w:r>
            <w:r>
              <w:rPr>
                <w:b/>
                <w:i/>
              </w:rPr>
              <w:t>, tarjota parempi talletussuoja</w:t>
            </w:r>
            <w:r>
              <w:t xml:space="preserve"> ja parantaa kilpailukykyä, rajatylittävää toimintaa ja rahoituksen saantia, mutta toteaa, että ”liian suuri kaatumaan” -ongelma on edelleen ratkaisematta;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pankkiunionin tavoitteena on</w:t>
            </w:r>
            <w:r>
              <w:t xml:space="preserve"> </w:t>
            </w:r>
            <w:r>
              <w:rPr>
                <w:b/>
                <w:i/>
              </w:rPr>
              <w:t>i) tukea pankkien vakautta tulevien finanssikriisien varalta, ii) varmistaa kaatuvien pankkien kriisinratkaisu välttäen verovarojen käyttöä niin, että vaikutus reaalitalouteen jäisi mahdollisimman vähäiseksi, ja iii) vähentää markkinoiden pirstoutumista vahvistamalla rahoitusalaa koskevat yhdenmukaiset säännöt;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vahva ja monipuolinen pankkiala on avainasemassa talouskasvun aikaansaamisessa, pk- ja startup-yritysten rahoittamisessa sekä siirtymisessä vihreään ja digitaaliseen talouteen;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w:t>
            </w:r>
            <w:r>
              <w:rPr>
                <w:b/>
                <w:i/>
              </w:rPr>
              <w:t>yhdenmukaistaa</w:t>
            </w:r>
            <w:r>
              <w:t xml:space="preserve"> valvonnan kriisinhallinnan </w:t>
            </w:r>
            <w:r>
              <w:rPr>
                <w:b/>
                <w:i/>
              </w:rPr>
              <w:t>kanssa mutta jää keskeneräiseksi, ellei eurooppalaista talletussuojajärjestelmää panna kaikilta osin täytäntöön</w:t>
            </w:r>
            <w:r>
              <w:t>;</w:t>
            </w:r>
          </w:p>
        </w:tc>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w:t>
            </w:r>
            <w:r>
              <w:rPr>
                <w:b/>
                <w:i/>
              </w:rPr>
              <w:t>on lisännyt rahoitusvakautta ja parantanut</w:t>
            </w:r>
            <w:r>
              <w:t xml:space="preserve"> valvonnan </w:t>
            </w:r>
            <w:r>
              <w:rPr>
                <w:b/>
                <w:i/>
              </w:rPr>
              <w:t>ja</w:t>
            </w:r>
            <w:r>
              <w:t xml:space="preserve"> kriisinhallinnan </w:t>
            </w:r>
            <w:r>
              <w:rPr>
                <w:b/>
                <w:i/>
              </w:rPr>
              <w:t>yhteensovittamista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pankkiunioni, joka koostuu YVM:stä </w:t>
            </w:r>
            <w:r>
              <w:rPr>
                <w:b/>
                <w:i/>
              </w:rPr>
              <w:t>ja</w:t>
            </w:r>
            <w:r>
              <w:t xml:space="preserve"> yhteisestä kriisinratkaisumekanismista, yhdenmukaistaa valvonnan kriisinhallinnan kanssa </w:t>
            </w:r>
            <w:r>
              <w:rPr>
                <w:b/>
                <w:i/>
              </w:rPr>
              <w:t>mutta jää keskeneräiseksi, ellei eurooppalaista talletussuojajärjestelmää panna kaikilta osin täytäntöön</w:t>
            </w:r>
            <w:r>
              <w:t>;</w:t>
            </w:r>
          </w:p>
        </w:tc>
        <w:tc>
          <w:tcPr>
            <w:tcW w:w="4876" w:type="dxa"/>
            <w:tcBorders>
              <w:top w:val="nil"/>
              <w:left w:val="nil"/>
              <w:bottom w:val="nil"/>
              <w:right w:val="nil"/>
            </w:tcBorders>
          </w:tcPr>
          <w:p>
            <w:pPr>
              <w:pStyle w:val="Normal6a"/>
            </w:pPr>
            <w:r>
              <w:t>B.</w:t>
            </w:r>
            <w:r>
              <w:tab/>
            </w:r>
            <w:r>
              <w:t>ottaa huomioon, että pankkiunioni, joka koostuu YVM:stä</w:t>
            </w:r>
            <w:r>
              <w:rPr>
                <w:b/>
                <w:i/>
              </w:rPr>
              <w:t>,</w:t>
            </w:r>
            <w:r>
              <w:t xml:space="preserve"> yhteisestä kriisinratkaisumekanismista </w:t>
            </w:r>
            <w:r>
              <w:rPr>
                <w:b/>
                <w:i/>
              </w:rPr>
              <w:t>ja talletussuojaa koskevista yhdenmukaistetuista säännöistä</w:t>
            </w:r>
            <w:r>
              <w:t>, yhdenmukaistaa valvonnan kriisinhallinnan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w:t>
            </w:r>
            <w:r>
              <w:rPr>
                <w:b/>
                <w:i/>
              </w:rPr>
              <w:t>mutta jää keskeneräiseksi, ellei eurooppalaista talletussuojajärjestelmää panna kaikilta osin täytäntöön</w:t>
            </w:r>
            <w:r>
              <w:t>;</w:t>
            </w:r>
          </w:p>
        </w:tc>
        <w:tc>
          <w:tcPr>
            <w:tcW w:w="4876" w:type="dxa"/>
            <w:tcBorders>
              <w:top w:val="nil"/>
              <w:left w:val="nil"/>
              <w:bottom w:val="nil"/>
              <w:right w:val="nil"/>
            </w:tcBorders>
          </w:tcPr>
          <w:p>
            <w:pPr>
              <w:pStyle w:val="Normal6a"/>
            </w:pPr>
            <w:r>
              <w:t>B.</w:t>
            </w:r>
            <w:r>
              <w:tab/>
            </w:r>
            <w:r>
              <w:t>ottaa huomioon, että pankkiunioni, joka koostuu YVM:stä ja yhteisestä kriisinratkaisumekanismista, yhdenmukaistaa valvonnan kriisinhallinnan kanssa</w:t>
            </w:r>
            <w:r>
              <w:rPr>
                <w:b/>
                <w:i/>
              </w:rPr>
              <w:t>;</w:t>
            </w:r>
            <w:r>
              <w:t xml:space="preserve"> </w:t>
            </w:r>
            <w:r>
              <w:rPr>
                <w:b/>
                <w:i/>
              </w:rPr>
              <w:t>panee merkille, että kansallisia talletussuojajärjestelmiä on otettu onnistuneesti käyttöön ja ne ovat useissa tapauksissa osoittautuneet toimiviksi</w:t>
            </w:r>
            <w:r>
              <w:t xml:space="preserve">; </w:t>
            </w:r>
            <w:r>
              <w:rPr>
                <w:b/>
                <w:i/>
              </w:rPr>
              <w:t>katsoo, että eurooppalaisen talletussuojajärjestelmän perustamista koskevassa komission uudessa ehdotuksessa olisi otettava paremmin huomioon kansalliset erityispiirteet, jotta voidaan säilyttää joissakin jäsenvaltioissa jo käytössä olevat pienten pankkien hyvin toimivat järjestelmät ja varmistaa samalla, että toimintaedellytykset toteutuvat tasapuolisina koko pankkiunionissa;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w:t>
            </w:r>
            <w:r>
              <w:rPr>
                <w:b/>
                <w:i/>
              </w:rPr>
              <w:t>mutta jää keskeneräiseksi, ellei eurooppalaista talletussuojajärjestelmää panna kaikilta osin täytäntöön</w:t>
            </w:r>
            <w:r>
              <w:t>;</w:t>
            </w:r>
          </w:p>
        </w:tc>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w:t>
            </w:r>
            <w:r>
              <w:rPr>
                <w:b/>
                <w:i/>
              </w:rPr>
              <w:t>ja takaa yhteisiin eurooppalaisiin vähimmäisvaatimuksiin perustuvan korkeatasoisen talletussuojan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w:t>
            </w:r>
            <w:r>
              <w:rPr>
                <w:b/>
                <w:i/>
              </w:rPr>
              <w:t>mutta jää keskeneräiseksi, ellei eurooppalaista talletussuojajärjestelmää panna kaikilta osin täytäntöön</w:t>
            </w:r>
            <w:r>
              <w:t>;</w:t>
            </w:r>
          </w:p>
        </w:tc>
        <w:tc>
          <w:tcPr>
            <w:tcW w:w="4876" w:type="dxa"/>
            <w:tcBorders>
              <w:top w:val="nil"/>
              <w:left w:val="nil"/>
              <w:bottom w:val="nil"/>
              <w:right w:val="nil"/>
            </w:tcBorders>
          </w:tcPr>
          <w:p>
            <w:pPr>
              <w:pStyle w:val="Normal6a"/>
            </w:pPr>
            <w:r>
              <w:t>B.</w:t>
            </w:r>
            <w:r>
              <w:tab/>
            </w:r>
            <w:r>
              <w:t xml:space="preserve">ottaa huomioon, että pankkiunioni, joka </w:t>
            </w:r>
            <w:r>
              <w:rPr>
                <w:b/>
                <w:i/>
              </w:rPr>
              <w:t>nykyisellään</w:t>
            </w:r>
            <w:r>
              <w:t xml:space="preserve"> koostuu YVM:stä ja yhteisestä kriisinratkaisumekanismista, yhdenmukaistaa valvonnan kriisinhallinnan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w:t>
            </w:r>
            <w:r>
              <w:rPr>
                <w:b/>
                <w:i/>
              </w:rPr>
              <w:t>mutta jää keskeneräiseksi, ellei eurooppalaista talletussuojajärjestelmää panna kaikilta osin täytäntöön</w:t>
            </w:r>
            <w:r>
              <w:t>;</w:t>
            </w:r>
          </w:p>
        </w:tc>
        <w:tc>
          <w:tcPr>
            <w:tcW w:w="4876" w:type="dxa"/>
            <w:tcBorders>
              <w:top w:val="nil"/>
              <w:left w:val="nil"/>
              <w:bottom w:val="nil"/>
              <w:right w:val="nil"/>
            </w:tcBorders>
          </w:tcPr>
          <w:p>
            <w:pPr>
              <w:pStyle w:val="Normal6a"/>
            </w:pPr>
            <w:r>
              <w:t>B.</w:t>
            </w:r>
            <w:r>
              <w:tab/>
            </w:r>
            <w:r>
              <w:t>ottaa huomioon, että pankkiunioni, joka koostuu YVM:stä ja yhteisestä kriisinratkaisumekanismista, yhdenmukaistaa valvonnan kriisinhallinnan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mutta </w:t>
            </w:r>
            <w:r>
              <w:rPr>
                <w:b/>
                <w:i/>
              </w:rPr>
              <w:t>jää keskeneräiseksi, ellei eurooppalaista talletussuojajärjestelmää panna kaikilta osin täytäntöön</w:t>
            </w:r>
            <w:r>
              <w:t>;</w:t>
            </w:r>
          </w:p>
        </w:tc>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mutta </w:t>
            </w:r>
            <w:r>
              <w:rPr>
                <w:b/>
                <w:i/>
              </w:rPr>
              <w:t>on rakenteeltaan yhä keskeneräinen ja tehoton;</w:t>
            </w:r>
            <w:r>
              <w:t xml:space="preserve"> </w:t>
            </w:r>
            <w:r>
              <w:rPr>
                <w:b/>
                <w:i/>
              </w:rPr>
              <w:t>korostaa, että riskinjako ilman markkinakuria vääristää kilpailuneutraliteettia ja altistaa vastuullista finanssipolitiikkaa noudattavat jäsenvaltiot aiheettomille ehdollisille vastuusitoumuksille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mutta jää keskeneräiseksi, ellei </w:t>
            </w:r>
            <w:r>
              <w:rPr>
                <w:b/>
                <w:i/>
              </w:rPr>
              <w:t>eurooppalaista talletussuojajärjestelmää panna</w:t>
            </w:r>
            <w:r>
              <w:t xml:space="preserve"> kaikilta osin </w:t>
            </w:r>
            <w:r>
              <w:rPr>
                <w:b/>
                <w:i/>
              </w:rPr>
              <w:t>täytäntöön</w:t>
            </w:r>
            <w:r>
              <w:t>;</w:t>
            </w:r>
          </w:p>
        </w:tc>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mutta jää keskeneräiseksi, ellei </w:t>
            </w:r>
            <w:r>
              <w:rPr>
                <w:b/>
                <w:i/>
              </w:rPr>
              <w:t>eurooppalaisessa talletussuojajärjestelmässä oteta</w:t>
            </w:r>
            <w:r>
              <w:t xml:space="preserve"> kaikilta osin </w:t>
            </w:r>
            <w:r>
              <w:rPr>
                <w:b/>
                <w:i/>
              </w:rPr>
              <w:t>huomioon kansallisia erityispiirteitä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ottaa huomioon, että pankkiunioni, joka koostuu YVM:stä ja yhteisestä kriisinratkaisumekanismista, yhdenmukaistaa valvonnan kriisinhallinnan kanssa mutta jää keskeneräiseksi, ellei eurooppalaista talletussuojajärjestelmää panna kaikilta osin täytäntöön;</w:t>
            </w:r>
          </w:p>
        </w:tc>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yhdenmukaistaa valvonnan kriisinhallinnan kanssa mutta jää keskeneräiseksi, ellei eurooppalaista talletussuojajärjestelmää panna kaikilta osin täytäntöön </w:t>
            </w:r>
            <w:r>
              <w:rPr>
                <w:b/>
                <w:i/>
              </w:rPr>
              <w:t>ja jos yhteiselle kriisinratkaisurahastolle ei ole varautumisjärjestelyä, mikä edellyttäisi tarkistetun EVM-sopimuksen ratifiointia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ottaa huomioon, että pankkiunioni, joka koostuu YVM:stä ja yhteisestä kriisinratkaisumekanismista, yhdenmukaistaa valvonnan kriisinhallinnan kanssa mutta jää keskeneräiseksi, ellei eurooppalaista talletussuojajärjestelmää panna kaikilta osin täytäntöön;</w:t>
            </w:r>
          </w:p>
        </w:tc>
        <w:tc>
          <w:tcPr>
            <w:tcW w:w="4876" w:type="dxa"/>
            <w:tcBorders>
              <w:top w:val="nil"/>
              <w:left w:val="nil"/>
              <w:bottom w:val="nil"/>
              <w:right w:val="nil"/>
            </w:tcBorders>
          </w:tcPr>
          <w:p>
            <w:pPr>
              <w:pStyle w:val="Normal6a"/>
            </w:pPr>
            <w:r>
              <w:t>B.</w:t>
            </w:r>
            <w:r>
              <w:tab/>
            </w:r>
            <w:r>
              <w:t xml:space="preserve">ottaa huomioon, että pankkiunioni, joka koostuu YVM:stä ja yhteisestä kriisinratkaisumekanismista </w:t>
            </w:r>
            <w:r>
              <w:rPr>
                <w:b/>
                <w:i/>
              </w:rPr>
              <w:t>ja perustuu yhteiseen sääntökirjaan</w:t>
            </w:r>
            <w:r>
              <w:t>, yhdenmukaistaa valvonnan kriisinhallinnan kanssa mutta jää keskeneräiseksi, ellei eurooppalaista talletussuojajärjestelmää panna kaikilta osin täytäntöön;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katsoo, että loppuun asti viety pankkiunioni merkitsisi myönteistä kehitystä kuluttajille ja EU:n taloudelle, sillä se tarjoaisi perustan vakaammalle pankkijärjestelmälle, vähentäisi järjestelmäriskiä, lisäisi kilpailua, parantaisi kuluttajien valinnanvaraa, lisäisi mahdollisuuksia rajatylittävään pankkitoimintaan ja vähittäisrahoituspalvelujen saatavuutta, edistäisi taloudellisia investointeja, parantaisi kotitalouksien ja yritysten mahdollisuuksia saada rahoitusta ja vähentäisi pankkiasiakkaille aiheutuvia kustannuksia;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EKP kannustaa saattamaan pankkiunionin valmiiksi, jotta voidaan edistää rajatylittävää yhdentymistä ja tehostaa pääoman kohdentamista keinona poistaa niiden avulla nykyinen kilpailuhaitta, joka johtuu siitä, että EU:n pankkien toiminta on mittakaavaltaan suppeaa, ja suosittaa myös vakavaraisuutta koskevan EU:n sääntely-, valvonta- ja raportointikehyksen yksinkertaistamista;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pankkialan ulkopuoliset rahoituksen välittäjät (”varjopankit”) jäävät pankkiunionin rakenteen ulkopuolelle, minkä vuoksi EU:n pankkiala on altis riskeille, jotka johtuvat pankkialan ulkopuolisten rahoituksen välittäjien ja pankkialan välisten yhteyksien jatkuvasta tiivistymisestä;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katsoo, että vakaa, häiriönsietokykyinen, dynaaminen ja kilpailukykyinen pankkiala on elintärkeä talouskasvulle, pk-yritysten tukemiselle, omistusasumismahdollisuuksien lisäämiselle, innovoinnille ja investoinneille sekä kaikkia koskevien taloudellisten mahdollisuuksien laajentamiselle;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ottaa huomioon, että optimaalisia valuutta-alueita koskevan doktriinin mukaan valmiiksi saatettu pankkiunioni on ratkaisevan tärkeä, sillä sen avulla voidaan välttää epäsymmetristen häiriöiden vaikutukset kaikkialla EU:ssa ja parantaa rahoitusvakautta ja talouden häiriönsietokykyä;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katsoo, että EU:n olisi pantava Basel III -standardit kaikilta osin täytäntöön viipymättä;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katsoo</w:t>
            </w:r>
            <w:r>
              <w:t>, että EU</w:t>
            </w:r>
            <w:r>
              <w:rPr>
                <w:b/>
                <w:i/>
              </w:rPr>
              <w:t>:n olisi pantava</w:t>
            </w:r>
            <w:r>
              <w:t xml:space="preserve"> Basel III -</w:t>
            </w:r>
            <w:r>
              <w:rPr>
                <w:b/>
                <w:i/>
              </w:rPr>
              <w:t>standardit kaikilta osin täytäntöön viipymättä</w:t>
            </w:r>
            <w:r>
              <w:t>;</w:t>
            </w:r>
          </w:p>
        </w:tc>
        <w:tc>
          <w:tcPr>
            <w:tcW w:w="4876" w:type="dxa"/>
            <w:tcBorders>
              <w:top w:val="nil"/>
              <w:left w:val="nil"/>
              <w:bottom w:val="nil"/>
              <w:right w:val="nil"/>
            </w:tcBorders>
          </w:tcPr>
          <w:p>
            <w:pPr>
              <w:pStyle w:val="Normal6a"/>
            </w:pPr>
            <w:r>
              <w:t>C.</w:t>
            </w:r>
            <w:r>
              <w:tab/>
            </w:r>
            <w:r>
              <w:rPr>
                <w:b/>
                <w:i/>
              </w:rPr>
              <w:t>ottaa huomioon</w:t>
            </w:r>
            <w:r>
              <w:t xml:space="preserve">, </w:t>
            </w:r>
            <w:r>
              <w:rPr>
                <w:b/>
                <w:i/>
              </w:rPr>
              <w:t>että rahoitusvakaus on tehokkaan rahapolitiikan ja häiriönsietokykyisen rahoitusjärjestelmän edellytys ja</w:t>
            </w:r>
            <w:r>
              <w:t xml:space="preserve"> että EU </w:t>
            </w:r>
            <w:r>
              <w:rPr>
                <w:b/>
                <w:i/>
              </w:rPr>
              <w:t>on jo sopinut</w:t>
            </w:r>
            <w:r>
              <w:t xml:space="preserve"> Basel III -</w:t>
            </w:r>
            <w:r>
              <w:rPr>
                <w:b/>
                <w:i/>
              </w:rPr>
              <w:t>kehyksen täytäntöönpanosta;</w:t>
            </w:r>
            <w:r>
              <w:t xml:space="preserve"> </w:t>
            </w:r>
            <w:r>
              <w:rPr>
                <w:b/>
                <w:i/>
              </w:rPr>
              <w:t>toteaa, että samalla on ensiarvoisen tärkeää huolehtia oikean tasapainon saavuttamisesta rahoitusvakauden, kansainvälisten puitteiden kunnioittamisen ja kansainvälisten tasapuolisten toimintaedellytysten välillä ja varmistaa näin, että eurooppalaiset pankit voivat kilpailla tasavertaisesti muilla lainkäyttöalueilla toimivien pankkien kanssa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katsoo, että </w:t>
            </w:r>
            <w:r>
              <w:rPr>
                <w:b/>
                <w:i/>
              </w:rPr>
              <w:t>EU:n olisi pantava</w:t>
            </w:r>
            <w:r>
              <w:t xml:space="preserve"> Basel III -</w:t>
            </w:r>
            <w:r>
              <w:rPr>
                <w:b/>
                <w:i/>
              </w:rPr>
              <w:t>standardit kaikilta osin täytäntöön viipymättä</w:t>
            </w:r>
            <w:r>
              <w:t>;</w:t>
            </w:r>
          </w:p>
        </w:tc>
        <w:tc>
          <w:tcPr>
            <w:tcW w:w="4876" w:type="dxa"/>
            <w:tcBorders>
              <w:top w:val="nil"/>
              <w:left w:val="nil"/>
              <w:bottom w:val="nil"/>
              <w:right w:val="nil"/>
            </w:tcBorders>
          </w:tcPr>
          <w:p>
            <w:pPr>
              <w:pStyle w:val="Normal6a"/>
            </w:pPr>
            <w:r>
              <w:t>C.</w:t>
            </w:r>
            <w:r>
              <w:tab/>
            </w:r>
            <w:r>
              <w:t>katsoo, että Basel III -</w:t>
            </w:r>
            <w:r>
              <w:rPr>
                <w:b/>
                <w:i/>
              </w:rPr>
              <w:t>sääntöjä olisi mukautettava Euroopan pankkialan erityispiirteisiin sopiviksi ottaen huomioon suhteellisuuskriteeri ja pienempiä pankkeja koskeva yksinkertaistaminen, mikä on yksinkertaistamista käsittelevän Euroopan keskuspankin korkean tason työryhmän tulosten mukaista ja EKP:n neuvoston tukema tavoite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katsoo, että EU:n olisi pantava Basel III -standardit </w:t>
            </w:r>
            <w:r>
              <w:rPr>
                <w:b/>
                <w:i/>
              </w:rPr>
              <w:t>kaikilta osin täytäntöön viipymättä</w:t>
            </w:r>
            <w:r>
              <w:t>;</w:t>
            </w:r>
          </w:p>
        </w:tc>
        <w:tc>
          <w:tcPr>
            <w:tcW w:w="4876" w:type="dxa"/>
            <w:tcBorders>
              <w:top w:val="nil"/>
              <w:left w:val="nil"/>
              <w:bottom w:val="nil"/>
              <w:right w:val="nil"/>
            </w:tcBorders>
          </w:tcPr>
          <w:p>
            <w:pPr>
              <w:pStyle w:val="Normal6a"/>
            </w:pPr>
            <w:r>
              <w:t>C.</w:t>
            </w:r>
            <w:r>
              <w:tab/>
            </w:r>
            <w:r>
              <w:t xml:space="preserve">katsoo, että EU:n olisi pantava </w:t>
            </w:r>
            <w:r>
              <w:rPr>
                <w:b/>
                <w:i/>
              </w:rPr>
              <w:t>johdonmukaisesti täytäntöön</w:t>
            </w:r>
            <w:r>
              <w:t xml:space="preserve"> Basel III -standardit </w:t>
            </w:r>
            <w:r>
              <w:rPr>
                <w:b/>
                <w:i/>
              </w:rPr>
              <w:t>ja varmistettava samalla, että niitä sovelletaan oikeasuhteisesti, asteittain ja räätälöidysti Euroopan rahoitusjärjestelmän erityispiirteiden mukaisesti heikentämättä EU:n pankkijärjestelmän kilpailukykyä</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katsoo, että EU:n olisi pantava Basel III -standardit </w:t>
            </w:r>
            <w:r>
              <w:rPr>
                <w:b/>
                <w:i/>
              </w:rPr>
              <w:t>kaikilta osin</w:t>
            </w:r>
            <w:r>
              <w:t xml:space="preserve"> täytäntöön viipymättä;</w:t>
            </w:r>
          </w:p>
        </w:tc>
        <w:tc>
          <w:tcPr>
            <w:tcW w:w="4876" w:type="dxa"/>
            <w:tcBorders>
              <w:top w:val="nil"/>
              <w:left w:val="nil"/>
              <w:bottom w:val="nil"/>
              <w:right w:val="nil"/>
            </w:tcBorders>
          </w:tcPr>
          <w:p>
            <w:pPr>
              <w:pStyle w:val="Normal6a"/>
            </w:pPr>
            <w:r>
              <w:t>C.</w:t>
            </w:r>
            <w:r>
              <w:tab/>
            </w:r>
            <w:r>
              <w:t xml:space="preserve">katsoo, että EU:n olisi pantava Basel III -standardit täytäntöön viipymättä </w:t>
            </w:r>
            <w:r>
              <w:rPr>
                <w:b/>
                <w:i/>
              </w:rPr>
              <w:t>siten, että turvataan Euroopan pankkialan kansainvälinen kilpailukyky ja varmistetaan tasapuoliset toimintaedellytykset maailmanlaajuisesti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katsoo, että EU:n olisi pantava Basel III -standardit kaikilta osin täytäntöön </w:t>
            </w:r>
            <w:r>
              <w:rPr>
                <w:b/>
                <w:i/>
              </w:rPr>
              <w:t>viipymättä</w:t>
            </w:r>
            <w:r>
              <w:t>;</w:t>
            </w:r>
          </w:p>
        </w:tc>
        <w:tc>
          <w:tcPr>
            <w:tcW w:w="4876" w:type="dxa"/>
            <w:tcBorders>
              <w:top w:val="nil"/>
              <w:left w:val="nil"/>
              <w:bottom w:val="nil"/>
              <w:right w:val="nil"/>
            </w:tcBorders>
          </w:tcPr>
          <w:p>
            <w:pPr>
              <w:pStyle w:val="Normal6a"/>
            </w:pPr>
            <w:r>
              <w:t>C.</w:t>
            </w:r>
            <w:r>
              <w:tab/>
            </w:r>
            <w:r>
              <w:t xml:space="preserve">katsoo, että EU:n olisi pantava Basel III -standardit kaikilta osin täytäntöön </w:t>
            </w:r>
            <w:r>
              <w:rPr>
                <w:b/>
                <w:i/>
              </w:rPr>
              <w:t>heikentämättä pankkialan kansainvälistä kilpailukykyä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katsoo, että EU:n olisi pantava Basel III -standardit kaikilta osin täytäntöön </w:t>
            </w:r>
            <w:r>
              <w:rPr>
                <w:b/>
                <w:i/>
              </w:rPr>
              <w:t>viipymättä</w:t>
            </w:r>
            <w:r>
              <w:t>;</w:t>
            </w:r>
          </w:p>
        </w:tc>
        <w:tc>
          <w:tcPr>
            <w:tcW w:w="4876" w:type="dxa"/>
            <w:tcBorders>
              <w:top w:val="nil"/>
              <w:left w:val="nil"/>
              <w:bottom w:val="nil"/>
              <w:right w:val="nil"/>
            </w:tcBorders>
          </w:tcPr>
          <w:p>
            <w:pPr>
              <w:pStyle w:val="Normal6a"/>
            </w:pPr>
            <w:r>
              <w:t>C.</w:t>
            </w:r>
            <w:r>
              <w:tab/>
            </w:r>
            <w:r>
              <w:rPr>
                <w:b/>
                <w:i/>
              </w:rPr>
              <w:t>ottaa huomioon, että EU on pannut Basel III -standardit täytäntöön kaikissa pankeissa niiden koosta ja toiminta-alasta riippumatta;</w:t>
            </w:r>
            <w:r>
              <w:t xml:space="preserve"> katsoo, että EU:n olisi pantava </w:t>
            </w:r>
            <w:r>
              <w:rPr>
                <w:b/>
                <w:i/>
              </w:rPr>
              <w:t>viipymättä</w:t>
            </w:r>
            <w:r>
              <w:t xml:space="preserve"> Basel III -standardit kaikilta osin täytäntöön </w:t>
            </w:r>
            <w:r>
              <w:rPr>
                <w:b/>
                <w:i/>
              </w:rPr>
              <w:t>vain kansainvälisesti toimivien eurooppalaisten pankkien osalta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katsoo, että EU:n olisi pantava Basel III -standardit kaikilta osin täytäntöön viipymättä;</w:t>
            </w:r>
          </w:p>
        </w:tc>
        <w:tc>
          <w:tcPr>
            <w:tcW w:w="4876" w:type="dxa"/>
            <w:tcBorders>
              <w:top w:val="nil"/>
              <w:left w:val="nil"/>
              <w:bottom w:val="nil"/>
              <w:right w:val="nil"/>
            </w:tcBorders>
          </w:tcPr>
          <w:p>
            <w:pPr>
              <w:pStyle w:val="Normal6a"/>
            </w:pPr>
            <w:r>
              <w:t>C.</w:t>
            </w:r>
            <w:r>
              <w:tab/>
            </w:r>
            <w:r>
              <w:t>katsoo, että EU:n olisi pantava Basel III -standardit kaikilta osin täytäntöön viipymättä</w:t>
            </w:r>
            <w:r>
              <w:rPr>
                <w:b/>
                <w:i/>
              </w:rPr>
              <w:t>, kun otetaan huomioon maailmanlaajuisesti tasapuolisten toimintaedellytysten merkitys sekä EU:n pankkien ratkaiseva rooli talouden, myös kotitalouksien ja pk-yritysten, rahoittamisessa ja järjestelmän kilpailukyvyn varmistamisessa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katsoo, että EU:n olisi pantava Basel III -standardit kaikilta osin täytäntöön </w:t>
            </w:r>
            <w:r>
              <w:rPr>
                <w:b/>
                <w:i/>
              </w:rPr>
              <w:t>viipymättä</w:t>
            </w:r>
            <w:r>
              <w:t>;</w:t>
            </w:r>
          </w:p>
        </w:tc>
        <w:tc>
          <w:tcPr>
            <w:tcW w:w="4876" w:type="dxa"/>
            <w:tcBorders>
              <w:top w:val="nil"/>
              <w:left w:val="nil"/>
              <w:bottom w:val="nil"/>
              <w:right w:val="nil"/>
            </w:tcBorders>
          </w:tcPr>
          <w:p>
            <w:pPr>
              <w:pStyle w:val="Normal6a"/>
            </w:pPr>
            <w:r>
              <w:t>C.</w:t>
            </w:r>
            <w:r>
              <w:tab/>
            </w:r>
            <w:r>
              <w:t>katsoo, että EU:n olisi pantava Basel III -standardit</w:t>
            </w:r>
            <w:r>
              <w:rPr>
                <w:b/>
                <w:i/>
              </w:rPr>
              <w:t>, markkinariskikehys mukaan lukien,</w:t>
            </w:r>
            <w:r>
              <w:t xml:space="preserve"> kaikilta osin täytäntöön </w:t>
            </w:r>
            <w:r>
              <w:rPr>
                <w:b/>
                <w:i/>
              </w:rPr>
              <w:t>ilman lisäviivästyksiä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katsoo, että EU:n olisi pantava Basel III -standardit kaikilta osin täytäntöön viipymättä;</w:t>
            </w:r>
          </w:p>
        </w:tc>
        <w:tc>
          <w:tcPr>
            <w:tcW w:w="4876" w:type="dxa"/>
            <w:tcBorders>
              <w:top w:val="nil"/>
              <w:left w:val="nil"/>
              <w:bottom w:val="nil"/>
              <w:right w:val="nil"/>
            </w:tcBorders>
          </w:tcPr>
          <w:p>
            <w:pPr>
              <w:pStyle w:val="Normal6a"/>
            </w:pPr>
            <w:r>
              <w:t>C.</w:t>
            </w:r>
            <w:r>
              <w:tab/>
            </w:r>
            <w:r>
              <w:t xml:space="preserve">katsoo, että EU:n olisi pantava Basel III -standardit kaikilta osin täytäntöön viipymättä; </w:t>
            </w:r>
            <w:r>
              <w:rPr>
                <w:b/>
                <w:i/>
              </w:rPr>
              <w:t>arvostelee sitä, että EU on toistuvasti lykännyt kansainvälisten Basel-standardien täytäntöönpanoa, mukaan lukien markkinariskiä koskevien sääntöjen lykkääminen vuoteen 2026, ja poikennut niistä, ja toteaa, että tästä on seurannut sääntelyn katvealueiden hyväksikäyttöä ja kilpailuhaittoja EU:n pankeille maailmanlaajuisilla tukkumarkkinoilla;</w:t>
            </w:r>
            <w:r>
              <w:t xml:space="preserve"> </w:t>
            </w:r>
            <w:r>
              <w:rPr>
                <w:b/>
                <w:i/>
              </w:rPr>
              <w:t>toteaa, että tällainen epätasainen täytäntöönpano vääristää tasapuolisia toimintaedellytyksiä ja lisää järjestelmäriskiä, mikä johtuu riskipääoman kohdentamiseen liittyvästä tehottomuudesta;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toteaa, että Venäjän Ukrainaan kohdistamalla hyökkäyksellä ja sen taloudellisilla ja sosiaalisilla seurauksilla on ollut ja tulee olemaan suora ja välillinen vaikutus EU:n pankkialaan;</w:t>
            </w:r>
            <w:r>
              <w:t xml:space="preserve"> </w:t>
            </w:r>
            <w:r>
              <w:rPr>
                <w:b/>
                <w:i/>
              </w:rPr>
              <w:t>toteaa, että EU:n pankeilla on keskeinen asema sen varmistamisessa, että pakotteet, jotka EU on asettanut Venäjälle sen hyökkäyksen johdosta, pannaan täytäntöön ja niitä noudatetaan;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ottaa huomioon, että rahoitusalan digitalisaatio avaa pankkialalle laajoja mahdollisuuksia ja on saanut aikaan merkittävää teknologista edistystä EU:n pankkialalla, koska se myötä pankkipalvelut ovat tehostuneet ja innovointihalukkuus kasvanut ja tietojen jakaminen lisääntynyt, mutta toteaa, että se aiheuttaa myös haasteita, jotka liittyvät muun muassa kyberriskeihin, tietosuojaan, maineriskeihin, rahanpesun torjuntaan liittyviin riskeihin ja kuluttajansuojaan liittyviin kysymyksiin;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w:t>
            </w:r>
            <w:r>
              <w:tab/>
            </w:r>
            <w:r>
              <w:rPr>
                <w:b/>
                <w:i/>
              </w:rPr>
              <w:t>ottaa huomioon, että yksi pankkiunionin päätavoitteista on, että veronmaksajat eivät joutuisi vastaamaan korjaavista toimenpiteistä aiheutuvista kustannuksista, jos pankki kaatuu;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katsoo, että ilmastonmuutos, ympäristöriskit ja vähähiiliseen talouteen siirtyminen on otettava huomioon arvioitaessa taseisiin liittyviä pankkien riskejä;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katsoo, että ilmastonmuutos, ympäristöriskit ja vähähiiliseen talouteen siirtyminen on otettava huomioon arvioitaessa taseisiin liittyviä pankkien riskejä;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katsoo, että ilmastonmuutos, ympäristöriskit ja vähähiiliseen talouteen siirtyminen on otettava huomioon arvioitaessa taseisiin liittyviä pankkien riskejä;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katsoo, että ilmastonmuutos, ympäristöriskit ja vähähiiliseen talouteen siirtyminen on otettava huomioon arvioitaessa taseisiin liittyviä pankkien riskejä;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katsoo, että </w:t>
            </w:r>
            <w:r>
              <w:rPr>
                <w:b/>
                <w:i/>
              </w:rPr>
              <w:t>ilmastonmuutos, ympäristöriskit ja vähähiiliseen talouteen siirtyminen on otettava huomioon arvioitaessa taseisiin liittyviä pankkien riskejä</w:t>
            </w:r>
            <w:r>
              <w:t>;</w:t>
            </w:r>
          </w:p>
        </w:tc>
        <w:tc>
          <w:tcPr>
            <w:tcW w:w="4876" w:type="dxa"/>
            <w:tcBorders>
              <w:top w:val="nil"/>
              <w:left w:val="nil"/>
              <w:bottom w:val="nil"/>
              <w:right w:val="nil"/>
            </w:tcBorders>
          </w:tcPr>
          <w:p>
            <w:pPr>
              <w:pStyle w:val="Normal6a"/>
            </w:pPr>
            <w:r>
              <w:t>D.</w:t>
            </w:r>
            <w:r>
              <w:tab/>
            </w:r>
            <w:r>
              <w:t xml:space="preserve">katsoo, että </w:t>
            </w:r>
            <w:r>
              <w:rPr>
                <w:b/>
                <w:i/>
              </w:rPr>
              <w:t>on ehdottoman tärkeää, ettei perinteisiä riskimittareita alisteta poliittisin perustein asetetuille ympäristötavoitteille, sillä nämä voivat nostaa pääomavaatimuksia ja rajoittaa luotonantoa siellä, missä se on tuottavinta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katsoo, että ilmastonmuutos, ympäristöriskit ja vähähiiliseen talouteen siirtyminen </w:t>
            </w:r>
            <w:r>
              <w:rPr>
                <w:b/>
                <w:i/>
              </w:rPr>
              <w:t>on otettava</w:t>
            </w:r>
            <w:r>
              <w:t xml:space="preserve"> huomioon arvioitaessa taseisiin liittyviä pankkien riskejä;</w:t>
            </w:r>
          </w:p>
        </w:tc>
        <w:tc>
          <w:tcPr>
            <w:tcW w:w="4876" w:type="dxa"/>
            <w:tcBorders>
              <w:top w:val="nil"/>
              <w:left w:val="nil"/>
              <w:bottom w:val="nil"/>
              <w:right w:val="nil"/>
            </w:tcBorders>
          </w:tcPr>
          <w:p>
            <w:pPr>
              <w:pStyle w:val="Normal6a"/>
            </w:pPr>
            <w:r>
              <w:t>D.</w:t>
            </w:r>
            <w:r>
              <w:tab/>
            </w:r>
            <w:r>
              <w:t xml:space="preserve">katsoo, että ilmastonmuutos, ympäristöriskit ja vähähiiliseen talouteen siirtyminen </w:t>
            </w:r>
            <w:r>
              <w:rPr>
                <w:b/>
                <w:i/>
              </w:rPr>
              <w:t>voidaan ottaa</w:t>
            </w:r>
            <w:r>
              <w:t xml:space="preserve"> huomioon arvioitaessa taseisiin liittyviä pankkien riskejä </w:t>
            </w:r>
            <w:r>
              <w:rPr>
                <w:b/>
                <w:i/>
              </w:rPr>
              <w:t>ainoastaan, jos ne horjuttavat rahoitusvakautta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katsoo, että ilmastonmuutos, ympäristöriskit ja </w:t>
            </w:r>
            <w:r>
              <w:rPr>
                <w:b/>
                <w:i/>
              </w:rPr>
              <w:t>vähähiiliseen</w:t>
            </w:r>
            <w:r>
              <w:t xml:space="preserve"> talouteen siirtyminen on otettava huomioon arvioitaessa taseisiin liittyviä pankkien riskejä;</w:t>
            </w:r>
          </w:p>
        </w:tc>
        <w:tc>
          <w:tcPr>
            <w:tcW w:w="4876" w:type="dxa"/>
            <w:tcBorders>
              <w:top w:val="nil"/>
              <w:left w:val="nil"/>
              <w:bottom w:val="nil"/>
              <w:right w:val="nil"/>
            </w:tcBorders>
          </w:tcPr>
          <w:p>
            <w:pPr>
              <w:pStyle w:val="Normal6a"/>
            </w:pPr>
            <w:r>
              <w:t>D.</w:t>
            </w:r>
            <w:r>
              <w:tab/>
            </w:r>
            <w:r>
              <w:t xml:space="preserve">katsoo, että ilmastonmuutos, ympäristöriskit ja </w:t>
            </w:r>
            <w:r>
              <w:rPr>
                <w:b/>
                <w:i/>
              </w:rPr>
              <w:t>ilmastoneutraaliin</w:t>
            </w:r>
            <w:r>
              <w:t xml:space="preserve"> talouteen siirtyminen on otettava huomioon arvioitaessa taseisiin liittyviä pankkien riskejä;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katsoo, että digitaalinen euro voisi parantaa EU:n maksujen tehokkuutta, häiriönsietokykyä, taloudellista osallisuutta, innovointia, suuren yleisön luottamusta ja euron kansainvälistä asemaa</w:t>
            </w:r>
            <w:r>
              <w:t>;</w:t>
            </w:r>
          </w:p>
        </w:tc>
        <w:tc>
          <w:tcPr>
            <w:tcW w:w="4876" w:type="dxa"/>
            <w:tcBorders>
              <w:top w:val="nil"/>
              <w:left w:val="nil"/>
              <w:bottom w:val="nil"/>
              <w:right w:val="nil"/>
            </w:tcBorders>
          </w:tcPr>
          <w:p>
            <w:pPr>
              <w:pStyle w:val="Normal6a"/>
            </w:pPr>
            <w:r>
              <w:t>E.</w:t>
            </w:r>
            <w:r>
              <w:tab/>
            </w:r>
            <w:r>
              <w:rPr>
                <w:b/>
                <w:i/>
              </w:rPr>
              <w:t>ottaa huomioon, että digitaalista euroa koskeva hanke aiheuttaa haasteita ja voi muodostaa uhkan EU:n pankkien maksuvalmiudelle ja vakaudelle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katsoo, että</w:t>
            </w:r>
            <w:r>
              <w:t xml:space="preserve"> digitaalinen euro voisi parantaa EU:n maksujen tehokkuutta</w:t>
            </w:r>
            <w:r>
              <w:rPr>
                <w:b/>
                <w:i/>
              </w:rPr>
              <w:t>,</w:t>
            </w:r>
            <w:r>
              <w:t xml:space="preserve"> häiriönsietokykyä, </w:t>
            </w:r>
            <w:r>
              <w:rPr>
                <w:b/>
                <w:i/>
              </w:rPr>
              <w:t>taloudellista osallisuutta, innovointia, suuren yleisön luottamusta ja euron kansainvälistä asemaa</w:t>
            </w:r>
            <w:r>
              <w:t>;</w:t>
            </w:r>
          </w:p>
        </w:tc>
        <w:tc>
          <w:tcPr>
            <w:tcW w:w="4876" w:type="dxa"/>
            <w:tcBorders>
              <w:top w:val="nil"/>
              <w:left w:val="nil"/>
              <w:bottom w:val="nil"/>
              <w:right w:val="nil"/>
            </w:tcBorders>
          </w:tcPr>
          <w:p>
            <w:pPr>
              <w:pStyle w:val="Normal6a"/>
            </w:pPr>
            <w:r>
              <w:t>E.</w:t>
            </w:r>
            <w:r>
              <w:tab/>
            </w:r>
            <w:r>
              <w:rPr>
                <w:b/>
                <w:i/>
              </w:rPr>
              <w:t>ottaa huomioon, että verkon ulkopuolisiin maksutapahtumiin ja tukkumaksuihin tarkoitettu</w:t>
            </w:r>
            <w:r>
              <w:t xml:space="preserve"> digitaalinen euro voisi parantaa EU:n maksujen tehokkuutta </w:t>
            </w:r>
            <w:r>
              <w:rPr>
                <w:b/>
                <w:i/>
              </w:rPr>
              <w:t>ja</w:t>
            </w:r>
            <w:r>
              <w:t xml:space="preserve"> häiriönsietokykyä, </w:t>
            </w:r>
            <w:r>
              <w:rPr>
                <w:b/>
                <w:i/>
              </w:rPr>
              <w:t>mutta toteaa samalla, että se voisi myös heikentää olennaisesti liikepankkien talletuspohjia ja horjuttaa rahoitusvakautta kannustamalla siirtymään keskuspankkitalletuksiin erityisesti stressikausina</w:t>
            </w:r>
            <w:r>
              <w:t xml:space="preserve">; </w:t>
            </w:r>
            <w:r>
              <w:rPr>
                <w:b/>
                <w:i/>
              </w:rPr>
              <w:t>katsoo, että tällainen muutos voisi heikentää pankkien kykyä myöntää lainoja kotitalouksille ja pk-yrityksille ja lisätä riippuvuutta keskitetyistä rahapoliittisista rahoitusmekanismeista monipuolisen markkinarahoituksen sijaan;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katsoo, että digitaalinen euro </w:t>
            </w:r>
            <w:r>
              <w:rPr>
                <w:b/>
                <w:i/>
              </w:rPr>
              <w:t>voisi parantaa</w:t>
            </w:r>
            <w:r>
              <w:t xml:space="preserve"> EU:n maksujen tehokkuutta, häiriönsietokykyä, taloudellista osallisuutta, innovointia, suuren yleisön luottamusta ja euron kansainvälistä asemaa;</w:t>
            </w:r>
          </w:p>
        </w:tc>
        <w:tc>
          <w:tcPr>
            <w:tcW w:w="4876" w:type="dxa"/>
            <w:tcBorders>
              <w:top w:val="nil"/>
              <w:left w:val="nil"/>
              <w:bottom w:val="nil"/>
              <w:right w:val="nil"/>
            </w:tcBorders>
          </w:tcPr>
          <w:p>
            <w:pPr>
              <w:pStyle w:val="Normal6a"/>
            </w:pPr>
            <w:r>
              <w:t>E.</w:t>
            </w:r>
            <w:r>
              <w:tab/>
            </w:r>
            <w:r>
              <w:t xml:space="preserve">katsoo, että digitaalinen euro </w:t>
            </w:r>
            <w:r>
              <w:rPr>
                <w:b/>
                <w:i/>
              </w:rPr>
              <w:t>parantaisi</w:t>
            </w:r>
            <w:r>
              <w:t xml:space="preserve"> EU:n maksujen tehokkuutta</w:t>
            </w:r>
            <w:r>
              <w:rPr>
                <w:b/>
                <w:i/>
              </w:rPr>
              <w:t>, kilpailukykyä</w:t>
            </w:r>
            <w:r>
              <w:t>, häiriönsietokykyä, taloudellista osallisuutta, innovointia, suuren yleisön luottamusta ja euron kansainvälistä asemaa;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katsoo, että digitaalinen euro </w:t>
            </w:r>
            <w:r>
              <w:rPr>
                <w:b/>
                <w:i/>
              </w:rPr>
              <w:t>voisi parantaa</w:t>
            </w:r>
            <w:r>
              <w:t xml:space="preserve"> EU:n maksujen tehokkuutta, häiriönsietokykyä, taloudellista osallisuutta, innovointia, suuren yleisön luottamusta ja euron kansainvälistä asemaa;</w:t>
            </w:r>
          </w:p>
        </w:tc>
        <w:tc>
          <w:tcPr>
            <w:tcW w:w="4876" w:type="dxa"/>
            <w:tcBorders>
              <w:top w:val="nil"/>
              <w:left w:val="nil"/>
              <w:bottom w:val="nil"/>
              <w:right w:val="nil"/>
            </w:tcBorders>
          </w:tcPr>
          <w:p>
            <w:pPr>
              <w:pStyle w:val="Normal6a"/>
            </w:pPr>
            <w:r>
              <w:t>E.</w:t>
            </w:r>
            <w:r>
              <w:tab/>
            </w:r>
            <w:r>
              <w:t xml:space="preserve">katsoo, että digitaalinen euro </w:t>
            </w:r>
            <w:r>
              <w:rPr>
                <w:b/>
                <w:i/>
              </w:rPr>
              <w:t>parantaisi</w:t>
            </w:r>
            <w:r>
              <w:t xml:space="preserve"> EU:n maksujen tehokkuutta, häiriönsietokykyä, taloudellista osallisuutta, innovointia, suuren yleisön luottamusta ja euron kansainvälistä asemaa;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katsoo, että </w:t>
            </w:r>
            <w:r>
              <w:rPr>
                <w:b/>
                <w:i/>
              </w:rPr>
              <w:t>digitaalinen euro</w:t>
            </w:r>
            <w:r>
              <w:t xml:space="preserve"> voisi parantaa EU:n maksujen tehokkuutta, häiriönsietokykyä, taloudellista osallisuutta, innovointia, suuren yleisön luottamusta ja euron kansainvälistä asemaa;</w:t>
            </w:r>
          </w:p>
        </w:tc>
        <w:tc>
          <w:tcPr>
            <w:tcW w:w="4876" w:type="dxa"/>
            <w:tcBorders>
              <w:top w:val="nil"/>
              <w:left w:val="nil"/>
              <w:bottom w:val="nil"/>
              <w:right w:val="nil"/>
            </w:tcBorders>
          </w:tcPr>
          <w:p>
            <w:pPr>
              <w:pStyle w:val="Normal6a"/>
            </w:pPr>
            <w:r>
              <w:t>E.</w:t>
            </w:r>
            <w:r>
              <w:tab/>
            </w:r>
            <w:r>
              <w:t xml:space="preserve">katsoo, että </w:t>
            </w:r>
            <w:r>
              <w:rPr>
                <w:b/>
                <w:i/>
              </w:rPr>
              <w:t>yleiseurooppalainen suvereeni vähittäismaksuratkaisu</w:t>
            </w:r>
            <w:r>
              <w:t> voisi parantaa EU:n maksujen tehokkuutta</w:t>
            </w:r>
            <w:r>
              <w:rPr>
                <w:b/>
                <w:i/>
              </w:rPr>
              <w:t>, riippumattomuutta</w:t>
            </w:r>
            <w:r>
              <w:t xml:space="preserve">, häiriönsietokykyä, taloudellista osallisuutta, innovointia, suuren yleisön luottamusta ja euron kansainvälistä asemaa; </w:t>
            </w:r>
            <w:r>
              <w:rPr>
                <w:b/>
                <w:i/>
              </w:rPr>
              <w:t>katsoo, että ratkaisu, johon markkinatoimijat osallistuvat täysipainoisesti, edistäisi jatkuvaa innovointia, luottamusta ja rahoitusvakautta syvemmillä ja likvidimmillä 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katsoo, että digitaalinen euro voisi parantaa EU:n maksujen tehokkuutta, häiriönsietokykyä, taloudellista osallisuutta, innovointia, suuren yleisön luottamusta ja euron kansainvälistä asemaa;</w:t>
            </w:r>
          </w:p>
        </w:tc>
        <w:tc>
          <w:tcPr>
            <w:tcW w:w="4876" w:type="dxa"/>
            <w:tcBorders>
              <w:top w:val="nil"/>
              <w:left w:val="nil"/>
              <w:bottom w:val="nil"/>
              <w:right w:val="nil"/>
            </w:tcBorders>
          </w:tcPr>
          <w:p>
            <w:pPr>
              <w:pStyle w:val="Normal6a"/>
            </w:pPr>
            <w:r>
              <w:t>E.</w:t>
            </w:r>
            <w:r>
              <w:tab/>
            </w:r>
            <w:r>
              <w:t xml:space="preserve">katsoo, että </w:t>
            </w:r>
            <w:r>
              <w:rPr>
                <w:b/>
                <w:i/>
              </w:rPr>
              <w:t>vähittäismaksuihin tarkoitettu</w:t>
            </w:r>
            <w:r>
              <w:t xml:space="preserve"> digitaalinen euro voisi parantaa EU:n maksujen tehokkuutta, häiriönsietokykyä, taloudellista osallisuutta, innovointia, </w:t>
            </w:r>
            <w:r>
              <w:rPr>
                <w:b/>
                <w:i/>
              </w:rPr>
              <w:t>kilpailukykyä,</w:t>
            </w:r>
            <w:r>
              <w:t xml:space="preserve"> suuren yleisön luottamusta</w:t>
            </w:r>
            <w:r>
              <w:rPr>
                <w:b/>
                <w:i/>
              </w:rPr>
              <w:t>, asiakkaiden yksityisyyttä digitaalisten maksujen osalta</w:t>
            </w:r>
            <w:r>
              <w:t xml:space="preserve"> ja euron kansainvälistä asemaa;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katsoo, että unionin rahoitusmarkkinoihin liittyvän infrastruktuurin tehokkuus, häiriönsietokyky ja strateginen riippumattomuus ovat olennaisen tärkeitä pankkiunionin asianmukaisen toiminnan ja EU:n rahoitusjärjestelmän kilpailukyvyn kannalta;</w:t>
            </w:r>
            <w:r>
              <w:t xml:space="preserve"> </w:t>
            </w:r>
            <w:r>
              <w:rPr>
                <w:b/>
                <w:i/>
              </w:rPr>
              <w:t>ottaa huomioon, että yksinomaan säänneltyjen rahoituslaitosten välistä selvitystoimintaa varten suunnitellun tukkumaksuihin käytettävän digitaalisen keskuspankkirahan kehittäminen voi parantaa merkittävästi rajatylittäviä maksuja, arvopaperitoimitusta ja likviditeetin hallintaa muun muassa tehostamalla maksujärjestelmien ja markkinainfrastruktuurin yhteentoimivuutta;</w:t>
            </w:r>
            <w:r>
              <w:t xml:space="preserve"> </w:t>
            </w:r>
            <w:r>
              <w:rPr>
                <w:b/>
                <w:i/>
              </w:rPr>
              <w:t>katsoo, että meneillään olevat eurojärjestelmän aloitteet ovat virstanpylväitä näiden etujen kartoittamisessa valvotusti ja markkinalähtöisesti;</w:t>
            </w:r>
            <w:r>
              <w:t xml:space="preserve"> </w:t>
            </w:r>
            <w:r>
              <w:rPr>
                <w:b/>
                <w:i/>
              </w:rPr>
              <w:t>katsoo, että nopeuttaminen täyden laajuuden toiminnan tasolle voisi osaltaan vahvistaa euron kansainvälistä asemaa, vähentää EU:n rahoitusmarkkinoiden hajanaisuutta ja tukea rahoitusvakautta samalla kun säilytetään kaikilta osin rahan yhtenäisyys ja yksityisen sektorin välittäjien rooli;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EKP etenee nopeasti tukkumaksuihin tarkoitetun digitaalisen euronsa kehittämisessä käynnissä olevien lyhyen aikavälin (Pontes) ja pitkän aikavälin (Appia) DLT-hankkeissa keskuspankkirahassa suoritettavaa tukkutoimitusta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ottaa huomioon, että EU:n pankit ovat tehneet ennätyksellisiä voittoja vuodesta 2022 lähtien rahapolitiikan kiristämisen viiveellä ilmenevän vaikutuksen ansiosta;</w:t>
            </w:r>
            <w:r>
              <w:t xml:space="preserve"> </w:t>
            </w:r>
            <w:r>
              <w:rPr>
                <w:b/>
                <w:i/>
              </w:rPr>
              <w:t>ottaa huomioon, että useat jäsenvaltiot ovat ottaneet käyttöön väliaikaisia pankeilta perittäviä maksuja varmistaakseen oikeudenmukaisen maksuosuuden ja turvatakseen samalla vakauden ja sosiaalisen yhteenkuuluvuuden;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ottaa huomioon, että EU:n pankit ovat tehneet ennätyksellisiä voittoja vuodesta 2022 lähtien rahapolitiikan kiristämisen viiveellä ilmenevän vaikutuksen ansiosta;</w:t>
            </w:r>
            <w:r>
              <w:t xml:space="preserve"> </w:t>
            </w:r>
            <w:r>
              <w:rPr>
                <w:b/>
                <w:i/>
              </w:rPr>
              <w:t>ottaa huomioon, että useat jäsenvaltiot ovat ottaneet käyttöön väliaikaisia pankeilta perittäviä maksuja varmistaakseen oikeudenmukaisen maksuosuuden ja turvatakseen samalla vakauden ja sosiaalisen yhteenkuuluvuuden;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EU:n pankit ovat tehneet ennätyksellisiä voittoja vuodesta 2022 lähtien rahapolitiikan kiristämisen viiveellä ilmenevän vaikutuksen ansiosta; ottaa huomioon, että useat jäsenvaltiot ovat ottaneet käyttöön väliaikaisia pankeilta perittäviä maksuja </w:t>
            </w:r>
            <w:r>
              <w:rPr>
                <w:b/>
                <w:i/>
              </w:rPr>
              <w:t>varmistaakseen oikeudenmukaisen maksuosuuden ja turvatakseen samalla vakauden ja sosiaalisen yhteenkuuluvuuden</w:t>
            </w:r>
            <w:r>
              <w:t>;</w:t>
            </w:r>
          </w:p>
        </w:tc>
        <w:tc>
          <w:tcPr>
            <w:tcW w:w="4876" w:type="dxa"/>
            <w:tcBorders>
              <w:top w:val="nil"/>
              <w:left w:val="nil"/>
              <w:bottom w:val="nil"/>
              <w:right w:val="nil"/>
            </w:tcBorders>
          </w:tcPr>
          <w:p>
            <w:pPr>
              <w:pStyle w:val="Normal6a"/>
            </w:pPr>
            <w:r>
              <w:t>F.</w:t>
            </w:r>
            <w:r>
              <w:tab/>
            </w:r>
            <w:r>
              <w:t>ottaa huomioon, että EU:n pankit ovat tehneet ennätyksellisiä voittoja vuodesta 2022 lähtien rahapolitiikan kiristämisen viiveellä ilmenevän vaikutuksen ansiosta</w:t>
            </w:r>
            <w:r>
              <w:rPr>
                <w:b/>
                <w:i/>
              </w:rPr>
              <w:t>, mikä on auttanut kuromaan umpeen yli 15 vuoden ajan kasvanutta EU:n ja Yhdysvaltojen pankkien välistä oman pääoman tuottoeroa</w:t>
            </w:r>
            <w:r>
              <w:t>; ottaa huomioon, että useat jäsenvaltiot ovat ottaneet käyttöön väliaikaisia pankeilta perittäviä maksuja</w:t>
            </w:r>
            <w:r>
              <w:rPr>
                <w:b/>
                <w:i/>
              </w:rPr>
              <w:t>, vaikka EKP:n kaltaiset laitokset ovat toistuvasti todenneet lausunnoissaan, että rahoituslaitoksilta yleisistä talousarvioon liittyvistä syistä perittävät maksut eivät ole toivottavia ja että niiden soveltaminen voi vääristää markkinakilpailua ja heikentää tasapuolisia toimintaedellytyksiä niin yksittäisten maiden kuin koko pankkiunionin tasolla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EU:n pankit ovat tehneet ennätyksellisiä voittoja vuodesta 2022 lähtien rahapolitiikan kiristämisen viiveellä ilmenevän vaikutuksen ansiosta; ottaa huomioon, että useat jäsenvaltiot ovat ottaneet käyttöön väliaikaisia pankeilta perittäviä maksuja </w:t>
            </w:r>
            <w:r>
              <w:rPr>
                <w:b/>
                <w:i/>
              </w:rPr>
              <w:t>varmistaakseen oikeudenmukaisen maksuosuuden ja turvatakseen samalla vakauden ja sosiaalisen yhteenkuuluvuuden</w:t>
            </w:r>
            <w:r>
              <w:t>;</w:t>
            </w:r>
          </w:p>
        </w:tc>
        <w:tc>
          <w:tcPr>
            <w:tcW w:w="4876" w:type="dxa"/>
            <w:tcBorders>
              <w:top w:val="nil"/>
              <w:left w:val="nil"/>
              <w:bottom w:val="nil"/>
              <w:right w:val="nil"/>
            </w:tcBorders>
          </w:tcPr>
          <w:p>
            <w:pPr>
              <w:pStyle w:val="Normal6a"/>
            </w:pPr>
            <w:r>
              <w:t>F.</w:t>
            </w:r>
            <w:r>
              <w:tab/>
            </w:r>
            <w:r>
              <w:t>ottaa huomioon, että EU:n pankit ovat tehneet ennätyksellisiä voittoja vuodesta 2022 lähtien rahapolitiikan kiristämisen viiveellä ilmenevän vaikutuksen ansiosta; ottaa huomioon, että useat jäsenvaltiot ovat ottaneet käyttöön väliaikaisia pankeilta perittäviä maksuja;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EU:n pankit ovat tehneet ennätyksellisiä voittoja vuodesta 2022 lähtien rahapolitiikan kiristämisen viiveellä ilmenevän vaikutuksen ansiosta; ottaa huomioon, että useat jäsenvaltiot ovat ottaneet käyttöön väliaikaisia pankeilta perittäviä maksuja varmistaakseen oikeudenmukaisen maksuosuuden ja turvatakseen samalla vakauden ja sosiaalisen yhteenkuuluvuuden;</w:t>
            </w:r>
          </w:p>
        </w:tc>
        <w:tc>
          <w:tcPr>
            <w:tcW w:w="4876" w:type="dxa"/>
            <w:tcBorders>
              <w:top w:val="nil"/>
              <w:left w:val="nil"/>
              <w:bottom w:val="nil"/>
              <w:right w:val="nil"/>
            </w:tcBorders>
          </w:tcPr>
          <w:p>
            <w:pPr>
              <w:pStyle w:val="Normal6a"/>
            </w:pPr>
            <w:r>
              <w:t>F.</w:t>
            </w:r>
            <w:r>
              <w:tab/>
            </w:r>
            <w:r>
              <w:t xml:space="preserve">ottaa huomioon, että EU:n pankit ovat tehneet ennätyksellisiä voittoja vuodesta 2022 lähtien rahapolitiikan kiristämisen viiveellä ilmenevän vaikutuksen ansiosta; ottaa huomioon, että useat jäsenvaltiot ovat ottaneet käyttöön väliaikaisia pankeilta perittäviä maksuja varmistaakseen oikeudenmukaisen maksuosuuden ja turvatakseen samalla vakauden ja sosiaalisen yhteenkuuluvuuden; </w:t>
            </w:r>
            <w:r>
              <w:rPr>
                <w:b/>
                <w:i/>
              </w:rPr>
              <w:t>panee merkille, että EU:n pankkien kannattavuus on parantunut vuodesta 2022 rahapolitiikan tiukentuessa, mikä on edistänyt pääoman muodostusta ja rahoitusvakautta;</w:t>
            </w:r>
            <w:r>
              <w:t xml:space="preserve"> </w:t>
            </w:r>
            <w:r>
              <w:rPr>
                <w:b/>
                <w:i/>
              </w:rPr>
              <w:t>katsoo, että pankkien kannattavuus on kytköksissä suhdanteisiin ja korkosyklin kaikkiin vaiheisiin;</w:t>
            </w:r>
            <w:r>
              <w:t xml:space="preserve"> </w:t>
            </w:r>
            <w:r>
              <w:rPr>
                <w:b/>
                <w:i/>
              </w:rPr>
              <w:t>ottaa huomioon, että useat jäsenvaltiot ovat ottaneet käyttöön tilapäisiä pankeilta perittäviä maksuja, ja katsoo, että kyseisiä maksuja olisi aina sovellettava ainoastaan poikkeustapauksissa, minkä lisäksi niiden olisi oltava oikeasuhteisia ja niitä olisi arvioitava tarkasti, jotta vältetään kielteiset vaikutukset pankkien pääoma-asemaan, lainanantokapasiteettiin ja rahoitusvakauteen sekä tasapuolisiin toimintaedellytyksiin pankkiunionissa;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EU:n pankit ovat tehneet ennätyksellisiä voittoja vuodesta 2022 lähtien rahapolitiikan kiristämisen viiveellä ilmenevän vaikutuksen ansiosta; ottaa huomioon, että useat jäsenvaltiot ovat ottaneet käyttöön väliaikaisia pankeilta perittäviä maksuja varmistaakseen oikeudenmukaisen maksuosuuden ja turvatakseen samalla vakauden ja sosiaalisen yhteenkuuluvuuden;</w:t>
            </w:r>
          </w:p>
        </w:tc>
        <w:tc>
          <w:tcPr>
            <w:tcW w:w="4876" w:type="dxa"/>
            <w:tcBorders>
              <w:top w:val="nil"/>
              <w:left w:val="nil"/>
              <w:bottom w:val="nil"/>
              <w:right w:val="nil"/>
            </w:tcBorders>
          </w:tcPr>
          <w:p>
            <w:pPr>
              <w:pStyle w:val="Normal6a"/>
            </w:pPr>
            <w:r>
              <w:t>F.</w:t>
            </w:r>
            <w:r>
              <w:tab/>
            </w:r>
            <w:r>
              <w:t xml:space="preserve">ottaa huomioon, että EU:n pankit ovat tehneet ennätyksellisiä voittoja vuodesta 2022 lähtien rahapolitiikan kiristämisen viiveellä ilmenevän vaikutuksen ansiosta; ottaa huomioon, että useat jäsenvaltiot ovat ottaneet käyttöön väliaikaisia pankeilta perittäviä maksuja varmistaakseen oikeudenmukaisen maksuosuuden ja turvatakseen samalla vakauden ja sosiaalisen yhteenkuuluvuuden; </w:t>
            </w:r>
            <w:r>
              <w:rPr>
                <w:b/>
                <w:i/>
              </w:rPr>
              <w:t>ottaa huomioon, että suuret jakamattomat tuotot ovat suurelta osin kuluneet kasvaneisiin pääomavaatimuksiin ja säännösten noudattamisesta, esimerkiksi kestävyysraportoinnista, aiheutuneisiin suuriin kustannuksiin, mikä rajoittaa pankkien kykyä tukea reaalitaloutta, ja että rahapolitiikan kiristäminen on supistanut nettokorkomarginaaleja, mikä kuvastaa laajempia kannattavuuden makrovakauspaineita;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alakohtaisten verojen määrääminen luottolaitoksille, vaikka ne esitettäisiin väliaikaisina toimenpiteinä, voi aiheuttaa vääristymiä sisämarkkinoilla, vaikuttaa kielteisesti näiden laitosten kykyyn myöntää luottoja kotitalouksille ja yrityksille ja heikentää finanssipoliittisen kehyksen ennustettavuutta;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maaliskuussa 2025 antamassaan säästö- ja investointiunionia koskevassa tiedonannossa komissio sitoutui toteuttamaan "määrätietoisia toimia pankkiunionin kehittämiseksi edelleen" ja tätä varten muun muassa määrittämään, "miten eurooppalaisen talletussuojajärjestelmän suhteen edetään", mutta toteaa, ettei komissio ole toistaiseksi esittänyt pankkiunionin toteuttamiseen liittyviä ehdotuksia;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pankit ovat talouden peruspilari ja pankkiala yksi strategisesti tärkeimmistä aloista;</w:t>
            </w:r>
            <w:r>
              <w:t xml:space="preserve"> </w:t>
            </w:r>
            <w:r>
              <w:rPr>
                <w:b/>
                <w:i/>
              </w:rPr>
              <w:t>katsoo, että vakaus sekä häiriönsieto- ja kilpailukyky ovat olennaisen tärkeitä, sillä niiden avulla varmistetaan, että rahoitusjärjestelmä voi mukautua maailmanlaajuisiin haasteisiin, edistää innovointia ja vastata tehokkaasti yritysten ja kuluttajien tarpeisiin;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euroalueen ylimääräisen likviditeetin määrä oli 4,7 biljoonaa euroa vuonna 2022 ja nyt se on 2,8 biljoonaa euroa;</w:t>
            </w:r>
            <w:r>
              <w:t xml:space="preserve"> </w:t>
            </w:r>
            <w:r>
              <w:rPr>
                <w:b/>
                <w:i/>
              </w:rPr>
              <w:t>ottaa huomioon, että myös euroalueen pankkien maksuvalmiusaste oli korkeimmillaan vuonna 2022 yli 170 prosenttia, kun se vuoden 2025 kolmannella neljänneksellä oli 156 prosenttia;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sähköisen rahan tokeneita käytetään entistä enemmän ja että ne ovat yhä tiiviimmin sidoksissa pankkeihin pankkiunionissa;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katsoo, että pankit ovat talouden kulmakivi ja pankkiala on yksi tärkeimmistä strategisista aloista, minkä vuoksi on olennaisen tärkeää varmistaa, että ne voivat toimia vakautta, häiriönsietokykyä, dynaamisuutta ja kilpailukykyä edistävässä viitekehyksessä;</w:t>
            </w:r>
            <w:r>
              <w:t xml:space="preserve"> </w:t>
            </w:r>
            <w:r>
              <w:rPr>
                <w:b/>
                <w:i/>
              </w:rPr>
              <w:t>katsoo, että nämä periaatteet ovat tärkeitä paitsi kestävän talouskasvun kannalta myös sen varmistamiseksi, että rahoitusjärjestelmä voi mukautua globaaleihin haasteisiin, edistää innovointia ja vastata tehokkaasti yritysten ja kuluttajien tarpeisiin;</w:t>
            </w:r>
            <w:r>
              <w:t xml:space="preserve"> </w:t>
            </w:r>
            <w:r>
              <w:rPr>
                <w:b/>
                <w:i/>
              </w:rPr>
              <w:t>ottaa huomioon, että elinvoimainen talous tarvitsee pankkialan, jossa yhdistyvät vakaus ja joustavuus ja joka edistää investointeja ja kanavoi pääomaa tehokkaasti ja vahvistaa siten kykyä kilpailla jatkuvasti muuttuvilla globaaleilla markkinoilla;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ottaa huomioon, että asetuksessa (EU) 2023/1114 (MiCA-asetus) vahvistetaan omaisuusreferenssi- ja sähkörahatokenien liikkeeseenlaskijoille eriytetyt markkinoille pääsyä koskevat vaatimukset, lunastusvelvoitteet ja valvontakehykset, joissa otetaan huomioon niiden erilaiset riskiprofiilit ja rahalliset vaikutukset;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ottaa huomioon, että vahva pankkiala on avainasemassa talouskasvun aikaansaamisessa sekä pk- ja startup-yritysten rahoittamisessa;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suhtautuu myönteisesti YVM:n</w:t>
            </w:r>
            <w:r>
              <w:t xml:space="preserve"> ja yhteisen </w:t>
            </w:r>
            <w:r>
              <w:rPr>
                <w:b/>
                <w:i/>
              </w:rPr>
              <w:t>kriisinratkaisumekanismin edistymiseen</w:t>
            </w:r>
            <w:r>
              <w:t xml:space="preserve"> viime vuosikymmenen aikana; kehottaa </w:t>
            </w:r>
            <w:r>
              <w:rPr>
                <w:b/>
                <w:i/>
              </w:rPr>
              <w:t>saattamaan pikaisesti ja kaikilta osin valmiiksi pankkiunionin, täysimittainen eurooppalainen talletussuojajärjestelmä mukaan lukien</w:t>
            </w:r>
            <w:r>
              <w:t xml:space="preserve">; korostaa, että </w:t>
            </w:r>
            <w:r>
              <w:rPr>
                <w:b/>
                <w:i/>
              </w:rPr>
              <w:t>pankkiunionilla on tuettava osallistavampaa ja kestävämpää rahoitusjärjestelmää, joka on sosiaalisen yhteenkuuluvuuden ja EU:n vihreän kehityksen ohjelman mukainen</w:t>
            </w:r>
            <w:r>
              <w:t>;</w:t>
            </w:r>
          </w:p>
        </w:tc>
        <w:tc>
          <w:tcPr>
            <w:tcW w:w="4876" w:type="dxa"/>
            <w:tcBorders>
              <w:top w:val="nil"/>
              <w:left w:val="nil"/>
              <w:bottom w:val="nil"/>
              <w:right w:val="nil"/>
            </w:tcBorders>
          </w:tcPr>
          <w:p>
            <w:pPr>
              <w:pStyle w:val="Normal6a"/>
            </w:pPr>
            <w:r>
              <w:t>1.</w:t>
            </w:r>
            <w:r>
              <w:tab/>
            </w:r>
            <w:r>
              <w:rPr>
                <w:b/>
                <w:i/>
              </w:rPr>
              <w:t>panee merkille YVM:ään</w:t>
            </w:r>
            <w:r>
              <w:t xml:space="preserve"> ja yhteisen </w:t>
            </w:r>
            <w:r>
              <w:rPr>
                <w:b/>
                <w:i/>
              </w:rPr>
              <w:t>kriisinratkaisumekanismiin liittyvän kehityksen</w:t>
            </w:r>
            <w:r>
              <w:t xml:space="preserve"> viime vuosikymmenen aikana; kehottaa </w:t>
            </w:r>
            <w:r>
              <w:rPr>
                <w:b/>
                <w:i/>
              </w:rPr>
              <w:t>toteuttamaan uudistuksia, joilla tehostetaan markkinakuria byrokraattisen laajentumisen sijaan</w:t>
            </w:r>
            <w:r>
              <w:t xml:space="preserve">; korostaa, että </w:t>
            </w:r>
            <w:r>
              <w:rPr>
                <w:b/>
                <w:i/>
              </w:rPr>
              <w:t>ehdotuksia riskien keskittämisestä entisestään olisi kompensoitava oikeasuhteisella vastuuvelvollisuudella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w:t>
            </w:r>
            <w:r>
              <w:rPr>
                <w:b/>
                <w:i/>
              </w:rPr>
              <w:t>kehottaa saattamaan pikaisesti ja kaikilta osin valmiiksi pankkiunionin, täysimittainen eurooppalainen talletussuojajärjestelmä mukaan lukien;</w:t>
            </w:r>
            <w:r>
              <w:t xml:space="preserve"> </w:t>
            </w:r>
            <w:r>
              <w:rPr>
                <w:b/>
                <w:i/>
              </w:rPr>
              <w:t>korostaa, että pankkiunionilla on tuettava osallistavampaa ja kestävämpää rahoitusjärjestelmää, joka on sosiaalisen yhteenkuuluvuuden ja EU:n vihreän kehityksen ohjelman mukainen;</w:t>
            </w:r>
          </w:p>
        </w:tc>
        <w:tc>
          <w:tcPr>
            <w:tcW w:w="4876" w:type="dxa"/>
            <w:tcBorders>
              <w:top w:val="nil"/>
              <w:left w:val="nil"/>
              <w:bottom w:val="nil"/>
              <w:right w:val="nil"/>
            </w:tcBorders>
          </w:tcPr>
          <w:p>
            <w:pPr>
              <w:pStyle w:val="Normal6a"/>
            </w:pPr>
            <w:r>
              <w:t>1.</w:t>
            </w:r>
            <w:r>
              <w:tab/>
            </w:r>
            <w:r>
              <w:t>suhtautuu myönteisesti YVM:n ja yhteisen kriisinratkaisumekanismin edistymiseen viime vuosikymmenen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w:t>
            </w:r>
            <w:r>
              <w:rPr>
                <w:b/>
                <w:i/>
              </w:rPr>
              <w:t>saattamaan pikaisesti ja kaikilta osin valmiiksi pankkiunionin, täysimittainen eurooppalainen talletussuojajärjestelmä mukaan lukien;</w:t>
            </w:r>
            <w:r>
              <w:t xml:space="preserve"> </w:t>
            </w:r>
            <w:r>
              <w:rPr>
                <w:b/>
                <w:i/>
              </w:rPr>
              <w:t>korostaa, että pankkiunionilla on tuettava osallistavampaa ja kestävämpää rahoitusjärjestelmää, joka on sosiaalisen yhteenkuuluvuuden ja EU:n vihreän kehityksen ohjelman mukainen</w:t>
            </w:r>
            <w:r>
              <w:t>;</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w:t>
            </w:r>
            <w:r>
              <w:rPr>
                <w:b/>
                <w:i/>
              </w:rPr>
              <w:t>kehittämään pankkiunionia edelleen ja ottamaan huomioon kansallisten pankkialojen erityispiirteet sekä varmistamaan laitosten suojajärjestelmien riippumattomuuden ja tehokkaan toiminnan vaarantamatta kriisinhallinta- ja talletussuojakehyksen uudelleentarkastelussa sovittuja laitosten suojajärjestelmiä koskevia erityissäännöksiä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w:t>
            </w:r>
            <w:r>
              <w:rPr>
                <w:b/>
                <w:i/>
              </w:rPr>
              <w:t>saattamaan pikaisesti ja kaikilta osin valmiiksi pankkiunionin, täysimittainen eurooppalainen talletussuojajärjestelmä mukaan lukien</w:t>
            </w:r>
            <w:r>
              <w:t xml:space="preserve">; </w:t>
            </w:r>
            <w:r>
              <w:rPr>
                <w:b/>
                <w:i/>
              </w:rPr>
              <w:t>korostaa, että pankkiunionilla on tuettava osallistavampaa ja kestävämpää rahoitusjärjestelmää, joka on sosiaalisen yhteenkuuluvuuden ja EU:n vihreän kehityksen ohjelman mukainen;</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w:t>
            </w:r>
            <w:r>
              <w:rPr>
                <w:b/>
                <w:i/>
              </w:rPr>
              <w:t>kehittämään pankkiunionia edelleen asteittain ja ottamaan tässä yhteydessä asianmukaisesti huomioon kansalliset erityispiirteet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w:t>
            </w:r>
            <w:r>
              <w:rPr>
                <w:b/>
                <w:i/>
              </w:rPr>
              <w:t>täysimittainen</w:t>
            </w:r>
            <w:r>
              <w:t xml:space="preserve"> eurooppalainen talletussuojajärjestelmä </w:t>
            </w:r>
            <w:r>
              <w:rPr>
                <w:b/>
                <w:i/>
              </w:rPr>
              <w:t>mukaan lukien;</w:t>
            </w:r>
            <w:r>
              <w:t xml:space="preserve"> </w:t>
            </w:r>
            <w:r>
              <w:rPr>
                <w:b/>
                <w:i/>
              </w:rPr>
              <w:t>korostaa, että pankkiunionilla on tuettava osallistavampaa ja kestävämpää rahoitusjärjestelmää, joka on sosiaalisen yhteenkuuluvuuden ja EU:n vihreän kehityksen ohjelman mukainen</w:t>
            </w:r>
            <w:r>
              <w:t>;</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w:t>
            </w:r>
            <w:r>
              <w:rPr>
                <w:b/>
                <w:i/>
              </w:rPr>
              <w:t>mukaan lukien</w:t>
            </w:r>
            <w:r>
              <w:t xml:space="preserve"> eurooppalainen talletussuojajärjestelmä</w:t>
            </w:r>
            <w:r>
              <w:rPr>
                <w:b/>
                <w:i/>
              </w:rPr>
              <w:t>, jossa otetaan huomioon kansalliset erityispiirteet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w:t>
            </w:r>
            <w:r>
              <w:rPr>
                <w:b/>
                <w:i/>
              </w:rPr>
              <w:t>kehottaa saattamaan pikaisesti ja kaikilta osin valmiiksi pankkiunionin, täysimittainen eurooppalainen talletussuojajärjestelmä mukaan lukien;</w:t>
            </w:r>
            <w:r>
              <w:t xml:space="preserve"> korostaa, että pankkiunionilla on tuettava osallistavampaa ja kestävämpää rahoitusjärjestelmää, joka on </w:t>
            </w:r>
            <w:r>
              <w:rPr>
                <w:b/>
                <w:i/>
              </w:rPr>
              <w:t>sosiaalisen yhteenkuuluvuuden ja EU:n</w:t>
            </w:r>
            <w:r>
              <w:t xml:space="preserve"> vihreän </w:t>
            </w:r>
            <w:r>
              <w:rPr>
                <w:b/>
                <w:i/>
              </w:rPr>
              <w:t>kehityksen ohjelman</w:t>
            </w:r>
            <w:r>
              <w:t xml:space="preserve"> mukainen;</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korostaa, että pankkiunionilla on tuettava osallistavampaa ja kestävämpää rahoitusjärjestelmää, joka on vihreän </w:t>
            </w:r>
            <w:r>
              <w:rPr>
                <w:b/>
                <w:i/>
              </w:rPr>
              <w:t>ja digitaalisen siirtymän</w:t>
            </w:r>
            <w:r>
              <w:t xml:space="preserve"> mukainen;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täysimittainen eurooppalainen talletussuojajärjestelmä mukaan lukien; </w:t>
            </w:r>
            <w:r>
              <w:rPr>
                <w:b/>
                <w:i/>
              </w:rPr>
              <w:t>korostaa, että pankkiunionilla on tuettava osallistavampaa ja kestävämpää rahoitusjärjestelmää, joka on sosiaalisen yhteenkuuluvuuden ja EU:n vihreän kehityksen ohjelman mukainen;</w:t>
            </w:r>
          </w:p>
        </w:tc>
        <w:tc>
          <w:tcPr>
            <w:tcW w:w="4876" w:type="dxa"/>
            <w:tcBorders>
              <w:top w:val="nil"/>
              <w:left w:val="nil"/>
              <w:bottom w:val="nil"/>
              <w:right w:val="nil"/>
            </w:tcBorders>
          </w:tcPr>
          <w:p>
            <w:pPr>
              <w:pStyle w:val="Normal6a"/>
            </w:pPr>
            <w:r>
              <w:t>1.</w:t>
            </w:r>
            <w:r>
              <w:tab/>
            </w:r>
            <w:r>
              <w:t>suhtautuu myönteisesti YVM:n ja yhteisen kriisinratkaisumekanismin edistymiseen viime vuosikymmenen aikana; kehottaa saattamaan pikaisesti ja kaikilta osin valmiiksi pankkiunionin, täysimittainen eurooppalainen talletussuojajärjestelmä mukaan lukien;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täysimittainen eurooppalainen talletussuojajärjestelmä mukaan lukien; </w:t>
            </w:r>
            <w:r>
              <w:rPr>
                <w:b/>
                <w:i/>
              </w:rPr>
              <w:t>korostaa, että pankkiunionilla on tuettava osallistavampaa ja kestävämpää rahoitusjärjestelmää, joka on sosiaalisen yhteenkuuluvuuden ja EU:n vihreän kehityksen ohjelman mukainen;</w:t>
            </w:r>
          </w:p>
        </w:tc>
        <w:tc>
          <w:tcPr>
            <w:tcW w:w="4876" w:type="dxa"/>
            <w:tcBorders>
              <w:top w:val="nil"/>
              <w:left w:val="nil"/>
              <w:bottom w:val="nil"/>
              <w:right w:val="nil"/>
            </w:tcBorders>
          </w:tcPr>
          <w:p>
            <w:pPr>
              <w:pStyle w:val="Normal6a"/>
            </w:pPr>
            <w:r>
              <w:t>1.</w:t>
            </w:r>
            <w:r>
              <w:tab/>
            </w:r>
            <w:r>
              <w:t>suhtautuu myönteisesti YVM:n ja yhteisen kriisinratkaisumekanismin edistymiseen viime vuosikymmenen aikana; kehottaa saattamaan pikaisesti ja kaikilta osin valmiiksi pankkiunionin, täysimittainen eurooppalainen talletussuojajärjestelmä mukaan lukien;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w:t>
            </w:r>
            <w:r>
              <w:rPr>
                <w:b/>
                <w:i/>
              </w:rPr>
              <w:t>kehottaa</w:t>
            </w:r>
            <w:r>
              <w:t xml:space="preserve"> saattamaan </w:t>
            </w:r>
            <w:r>
              <w:rPr>
                <w:b/>
                <w:i/>
              </w:rPr>
              <w:t>pikaisesti ja kaikilta osin</w:t>
            </w:r>
            <w:r>
              <w:t xml:space="preserve"> valmiiksi pankkiunionin</w:t>
            </w:r>
            <w:r>
              <w:rPr>
                <w:b/>
                <w:i/>
              </w:rPr>
              <w:t>, täysimittainen eurooppalainen talletussuojajärjestelmä mukaan lukien</w:t>
            </w:r>
            <w:r>
              <w:t xml:space="preserve">; korostaa, että pankkiunionilla on tuettava </w:t>
            </w:r>
            <w:r>
              <w:rPr>
                <w:b/>
                <w:i/>
              </w:rPr>
              <w:t>osallistavampaa ja kestävämpää</w:t>
            </w:r>
            <w:r>
              <w:t xml:space="preserve"> rahoitusjärjestelmää, joka on sosiaalisen yhteenkuuluvuuden ja EU:n vihreän kehityksen ohjelman mukainen;</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w:t>
            </w:r>
            <w:r>
              <w:rPr>
                <w:b/>
                <w:i/>
              </w:rPr>
              <w:t>kannustaa</w:t>
            </w:r>
            <w:r>
              <w:t xml:space="preserve"> saattamaan valmiiksi pankkiunionin; korostaa, että pankkiunionilla on tuettava </w:t>
            </w:r>
            <w:r>
              <w:rPr>
                <w:b/>
                <w:i/>
              </w:rPr>
              <w:t>osallistavaa ja kestävää</w:t>
            </w:r>
            <w:r>
              <w:t xml:space="preserve"> rahoitusjärjestelmää, joka on sosiaalisen yhteenkuuluvuuden ja EU:n vihreän kehityksen ohjelman mukainen;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suhtautuu myönteisesti YVM:n ja yhteisen kriisinratkaisumekanismin edistymiseen viime vuosikymmenen aikana; kehottaa saattamaan pikaisesti ja kaikilta osin valmiiksi pankkiunionin</w:t>
            </w:r>
            <w:r>
              <w:rPr>
                <w:b/>
                <w:i/>
              </w:rPr>
              <w:t>, täysimittainen eurooppalainen talletussuojajärjestelmä mukaan lukien</w:t>
            </w:r>
            <w:r>
              <w:t>; korostaa, että pankkiunionilla on tuettava osallistavampaa ja kestävämpää rahoitusjärjestelmää, joka on sosiaalisen yhteenkuuluvuuden ja EU:n vihreän kehityksen ohjelman mukainen;</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w:t>
            </w:r>
            <w:r>
              <w:rPr>
                <w:b/>
                <w:i/>
              </w:rPr>
              <w:t>ja jatkamaan myös eurooppalaista talletussuojajärjestelmää koskevaa työtä sekä toteuttamaan toimenpiteitä, joilla syvennetään markkinoiden yhdentymistä ja helpotetaan pääoman ja likviditeetin tehokasta liikkuvuutta pankkiryhmien sisällä</w:t>
            </w:r>
            <w:r>
              <w:t>; korostaa, että pankkiunionilla on tuettava osallistavampaa ja kestävämpää rahoitusjärjestelmää, joka on sosiaalisen yhteenkuuluvuuden ja EU:n vihreän kehityksen ohjelman mukainen;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w:t>
            </w:r>
            <w:r>
              <w:rPr>
                <w:b/>
                <w:i/>
              </w:rPr>
              <w:t>täysimittainen</w:t>
            </w:r>
            <w:r>
              <w:t xml:space="preserve"> eurooppalainen talletussuojajärjestelmä </w:t>
            </w:r>
            <w:r>
              <w:rPr>
                <w:b/>
                <w:i/>
              </w:rPr>
              <w:t>mukaan lukien</w:t>
            </w:r>
            <w:r>
              <w:t>; korostaa, että pankkiunionilla on tuettava osallistavampaa ja kestävämpää rahoitusjärjestelmää, joka on sosiaalisen yhteenkuuluvuuden ja EU:n vihreän kehityksen ohjelman mukainen;</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w:t>
            </w:r>
            <w:r>
              <w:rPr>
                <w:b/>
                <w:i/>
              </w:rPr>
              <w:t>mukaan lukien</w:t>
            </w:r>
            <w:r>
              <w:t xml:space="preserve"> eurooppalainen talletussuojajärjestelmä</w:t>
            </w:r>
            <w:r>
              <w:rPr>
                <w:b/>
                <w:i/>
              </w:rPr>
              <w:t>, jossa otetaan huomioon kansalliset erityispiirteet</w:t>
            </w:r>
            <w:r>
              <w:t>; korostaa, että pankkiunionilla on tuettava osallistavampaa ja kestävämpää rahoitusjärjestelmää, joka on sosiaalisen yhteenkuuluvuuden ja EU:n vihreän kehityksen ohjelman mukainen;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suhtautuu myönteisesti YVM:n ja yhteisen kriisinratkaisumekanismin edistymiseen viime vuosikymmenen aikana; kehottaa saattamaan pikaisesti ja kaikilta osin valmiiksi pankkiunionin, täysimittainen eurooppalainen talletussuojajärjestelmä mukaan lukien; korostaa, että pankkiunionilla on tuettava osallistavampaa ja kestävämpää rahoitusjärjestelmää</w:t>
            </w:r>
            <w:r>
              <w:rPr>
                <w:b/>
                <w:i/>
              </w:rPr>
              <w:t>, joka on sosiaalisen yhteenkuuluvuuden ja EU:n vihreän kehityksen ohjelman mukainen</w:t>
            </w:r>
            <w:r>
              <w:t>;</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täysimittainen </w:t>
            </w:r>
            <w:r>
              <w:rPr>
                <w:b/>
                <w:i/>
              </w:rPr>
              <w:t>ja yhteisvastuullinen</w:t>
            </w:r>
            <w:r>
              <w:t xml:space="preserve"> eurooppalainen talletussuojajärjestelmä mukaan lukien; korostaa, että pankkiunionilla on tuettava </w:t>
            </w:r>
            <w:r>
              <w:rPr>
                <w:b/>
                <w:i/>
              </w:rPr>
              <w:t>kilpailukykyisempää,</w:t>
            </w:r>
            <w:r>
              <w:t xml:space="preserve"> osallistavampaa ja kestävämpää rahoitusjärjestelmää;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täysimittainen eurooppalainen talletussuojajärjestelmä mukaan lukien; korostaa, että pankkiunionilla on tuettava osallistavampaa ja kestävämpää rahoitusjärjestelmää, joka on </w:t>
            </w:r>
            <w:r>
              <w:rPr>
                <w:b/>
                <w:i/>
              </w:rPr>
              <w:t>sosiaalisen yhteenkuuluvuuden ja EU:n vihreän kehityksen ohjelman</w:t>
            </w:r>
            <w:r>
              <w:t xml:space="preserve"> mukainen;</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täysimittainen eurooppalainen talletussuojajärjestelmä mukaan lukien; korostaa, että pankkiunionilla on tuettava osallistavampaa ja kestävämpää rahoitusjärjestelmää, joka on </w:t>
            </w:r>
            <w:r>
              <w:rPr>
                <w:b/>
                <w:i/>
              </w:rPr>
              <w:t>sosiaaliseen yhteenkuuluvuuteen ja kilpailukykyyn liittyvien tavoitteiden</w:t>
            </w:r>
            <w:r>
              <w:t xml:space="preserve"> mukainen;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suhtautuu myönteisesti YVM:n ja yhteisen kriisinratkaisumekanismin edistymiseen viime vuosikymmenen aikana; kehottaa saattamaan pikaisesti ja kaikilta osin valmiiksi pankkiunionin, täysimittainen eurooppalainen talletussuojajärjestelmä mukaan lukien; korostaa, että pankkiunionilla on tuettava osallistavampaa ja kestävämpää rahoitusjärjestelmää, joka on sosiaalisen yhteenkuuluvuuden ja EU:n vihreän kehityksen ohjelman mukainen;</w:t>
            </w:r>
          </w:p>
        </w:tc>
        <w:tc>
          <w:tcPr>
            <w:tcW w:w="4876" w:type="dxa"/>
            <w:tcBorders>
              <w:top w:val="nil"/>
              <w:left w:val="nil"/>
              <w:bottom w:val="nil"/>
              <w:right w:val="nil"/>
            </w:tcBorders>
          </w:tcPr>
          <w:p>
            <w:pPr>
              <w:pStyle w:val="Normal6a"/>
            </w:pPr>
            <w:r>
              <w:t>1.</w:t>
            </w:r>
            <w:r>
              <w:tab/>
            </w:r>
            <w:r>
              <w:t xml:space="preserve">suhtautuu myönteisesti YVM:n ja yhteisen kriisinratkaisumekanismin edistymiseen viime vuosikymmenen aikana; kehottaa saattamaan pikaisesti ja kaikilta osin valmiiksi pankkiunionin, </w:t>
            </w:r>
            <w:r>
              <w:rPr>
                <w:b/>
                <w:i/>
              </w:rPr>
              <w:t>vahingot kattava</w:t>
            </w:r>
            <w:r>
              <w:t xml:space="preserve"> täysimittainen eurooppalainen talletussuojajärjestelmä mukaan lukien; korostaa, että pankkiunionilla on tuettava osallistavampaa ja kestävämpää rahoitusjärjestelmää, joka on sosiaalisen yhteenkuuluvuuden ja EU:n vihreän kehityksen ohjelman mukainen;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toteaa, että yhdentyneempi pankkiunioni auttaisi parantamaan EU:n pankkialan häiriönsietokykyä ja toisi etuja asiakkaille;</w:t>
            </w:r>
            <w:r>
              <w:t xml:space="preserve"> </w:t>
            </w:r>
            <w:r>
              <w:rPr>
                <w:b/>
                <w:i/>
              </w:rPr>
              <w:t>huomauttaa tässä yhteydessä, että on tarpeen käsitellä koti-/isäntävaltiokysymykseen liittyviä haasteita ja ongelmia, erityisesti isäntävaltioille annettavia uskottavia takuita, jotka on otettu huomioon EU:n lainsäädännössä;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kehottaa komissiota asettamaan etusijalle pankkiunionin sekä säästö- ja investointiunionin valmiiksi saattamisen;</w:t>
            </w:r>
            <w:r>
              <w:t xml:space="preserve"> </w:t>
            </w:r>
            <w:r>
              <w:rPr>
                <w:b/>
                <w:i/>
              </w:rPr>
              <w:t>korostaa niiden merkitystä yksityishenkilöiden, pk-yritysten ja reaalitalouden kannalta keinona edistää kestävää vaurautta, laadukkaita työpaikkoja ja rahoitusvakautta;</w:t>
            </w:r>
            <w:r>
              <w:t xml:space="preserve"> </w:t>
            </w:r>
            <w:r>
              <w:rPr>
                <w:b/>
                <w:i/>
              </w:rPr>
              <w:t>korostaa, että tarvitaan vahva solidaarisuuteen perustuva kehys, jolla estetään talletuspaot;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kehottaa komissiota asettamaan etusijalle pankkiunionin sekä</w:t>
            </w:r>
            <w:r>
              <w:t xml:space="preserve"> säästö- ja investointiunionin </w:t>
            </w:r>
            <w:r>
              <w:rPr>
                <w:b/>
                <w:i/>
              </w:rPr>
              <w:t>valmiiksi saattamisen;</w:t>
            </w:r>
            <w:r>
              <w:t xml:space="preserve"> </w:t>
            </w:r>
            <w:r>
              <w:rPr>
                <w:b/>
                <w:i/>
              </w:rPr>
              <w:t>korostaa niiden merkitystä yksityishenkilöiden, pk-yritysten ja reaalitalouden kannalta keinona edistää kestävää vaurautta, laadukkaita työpaikkoja ja rahoitusvakautta;</w:t>
            </w:r>
            <w:r>
              <w:t xml:space="preserve"> </w:t>
            </w:r>
            <w:r>
              <w:rPr>
                <w:b/>
                <w:i/>
              </w:rPr>
              <w:t>korostaa, että tarvitaan vahva solidaarisuuteen perustuva kehys, jolla estetään talletuspaot</w:t>
            </w:r>
            <w:r>
              <w:t>;</w:t>
            </w:r>
          </w:p>
        </w:tc>
        <w:tc>
          <w:tcPr>
            <w:tcW w:w="4876" w:type="dxa"/>
            <w:tcBorders>
              <w:top w:val="nil"/>
              <w:left w:val="nil"/>
              <w:bottom w:val="nil"/>
              <w:right w:val="nil"/>
            </w:tcBorders>
          </w:tcPr>
          <w:p>
            <w:pPr>
              <w:pStyle w:val="Normal6a"/>
            </w:pPr>
            <w:r>
              <w:t>2.</w:t>
            </w:r>
            <w:r>
              <w:tab/>
            </w:r>
            <w:r>
              <w:rPr>
                <w:b/>
                <w:i/>
              </w:rPr>
              <w:t>panee merkille säästö- ja investointiunionia koskevat komission ehdotukset;</w:t>
            </w:r>
            <w:r>
              <w:t xml:space="preserve"> </w:t>
            </w:r>
            <w:r>
              <w:rPr>
                <w:b/>
                <w:i/>
              </w:rPr>
              <w:t>toteaa, että</w:t>
            </w:r>
            <w:r>
              <w:t xml:space="preserve"> säästö- ja investointiunionin </w:t>
            </w:r>
            <w:r>
              <w:rPr>
                <w:b/>
                <w:i/>
              </w:rPr>
              <w:t>nykyinen rakenne saattaa ohjata säästöjä suuririskisille pääomamarkkinoille, joilla ei ole asianmukaista sijoittajansuojaa tai selkeitä markkinakannustimia;</w:t>
            </w:r>
            <w:r>
              <w:t xml:space="preserve"> </w:t>
            </w:r>
            <w:r>
              <w:rPr>
                <w:b/>
                <w:i/>
              </w:rPr>
              <w:t>toteaa, että tällainen keskitetty suunnittelu voi vääristää säästöjen kohdentamista ja altistaa yksityissijoittajat volatiliteetille, jos järeät turvamekanismit puuttuvat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w:t>
            </w:r>
            <w:r>
              <w:rPr>
                <w:b/>
                <w:i/>
              </w:rPr>
              <w:t>valmiiksi saattamisen</w:t>
            </w:r>
            <w:r>
              <w:t xml:space="preserve">; korostaa niiden merkitystä yksityishenkilöiden, pk-yritysten ja reaalitalouden kannalta keinona edistää kestävää vaurautta, laadukkaita työpaikkoja ja rahoitusvakautta; </w:t>
            </w:r>
            <w:r>
              <w:rPr>
                <w:b/>
                <w:i/>
              </w:rPr>
              <w:t>korostaa, että tarvitaan vahva solidaarisuuteen perustuva kehys, jolla estetään talletuspaot;</w:t>
            </w:r>
          </w:p>
        </w:tc>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w:t>
            </w:r>
            <w:r>
              <w:rPr>
                <w:b/>
                <w:i/>
              </w:rPr>
              <w:t>kehittämisen nykyistä pidemmälle</w:t>
            </w:r>
            <w:r>
              <w:t>; korostaa niiden merkitystä yksityishenkilöiden, pk-yritysten ja reaalitalouden kannalta keinona edistää kestävää vaurautta, laadukkaita työpaikkoja ja rahoitusvakautta;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valmiiksi saattamisen; korostaa niiden merkitystä yksityishenkilöiden, pk-yritysten ja </w:t>
            </w:r>
            <w:r>
              <w:rPr>
                <w:b/>
                <w:i/>
              </w:rPr>
              <w:t>reaalitalouden</w:t>
            </w:r>
            <w:r>
              <w:t xml:space="preserve"> kannalta keinona edistää </w:t>
            </w:r>
            <w:r>
              <w:rPr>
                <w:b/>
                <w:i/>
              </w:rPr>
              <w:t>kestävää</w:t>
            </w:r>
            <w:r>
              <w:t xml:space="preserve"> vaurautta, laadukkaita työpaikkoja ja rahoitusvakautta; korostaa, että tarvitaan vahva </w:t>
            </w:r>
            <w:r>
              <w:rPr>
                <w:b/>
                <w:i/>
              </w:rPr>
              <w:t>solidaarisuuteen perustuva</w:t>
            </w:r>
            <w:r>
              <w:t xml:space="preserve"> kehys, jolla estetään talletuspaot;</w:t>
            </w:r>
          </w:p>
        </w:tc>
        <w:tc>
          <w:tcPr>
            <w:tcW w:w="4876" w:type="dxa"/>
            <w:tcBorders>
              <w:top w:val="nil"/>
              <w:left w:val="nil"/>
              <w:bottom w:val="nil"/>
              <w:right w:val="nil"/>
            </w:tcBorders>
          </w:tcPr>
          <w:p>
            <w:pPr>
              <w:pStyle w:val="Normal6a"/>
            </w:pPr>
            <w:r>
              <w:t>2.</w:t>
            </w:r>
            <w:r>
              <w:tab/>
            </w:r>
            <w:r>
              <w:t>kehottaa komissiota asettamaan etusijalle pankkiunionin sekä säästö- ja investointiunionin valmiiksi saattamisen</w:t>
            </w:r>
            <w:r>
              <w:rPr>
                <w:b/>
                <w:i/>
              </w:rPr>
              <w:t>, sillä niillä on olennainen merkitys säästöjen kanavoimisessa investointeihin</w:t>
            </w:r>
            <w:r>
              <w:t xml:space="preserve">; korostaa niiden merkitystä yksityishenkilöiden, pk-yritysten ja </w:t>
            </w:r>
            <w:r>
              <w:rPr>
                <w:b/>
                <w:i/>
              </w:rPr>
              <w:t>talouden</w:t>
            </w:r>
            <w:r>
              <w:t xml:space="preserve"> kannalta keinona edistää vaurautta, laadukkaita työpaikkoja ja rahoitusvakautta; korostaa, että tarvitaan vahva kehys, </w:t>
            </w:r>
            <w:r>
              <w:rPr>
                <w:b/>
                <w:i/>
              </w:rPr>
              <w:t>joka perustuu selkeisiin sääntöihin ja tehokkaisiin tallettajien luottamusta vahvistaviin mekanismeihin ja</w:t>
            </w:r>
            <w:r>
              <w:t xml:space="preserve"> jolla estetään talletuspaot;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valmiiksi saattamisen; korostaa niiden merkitystä yksityishenkilöiden, pk-yritysten ja reaalitalouden kannalta keinona edistää kestävää vaurautta, laadukkaita työpaikkoja ja rahoitusvakautta; korostaa, että tarvitaan vahva </w:t>
            </w:r>
            <w:r>
              <w:rPr>
                <w:b/>
                <w:i/>
              </w:rPr>
              <w:t>solidaarisuuteen perustuva</w:t>
            </w:r>
            <w:r>
              <w:t xml:space="preserve"> kehys</w:t>
            </w:r>
            <w:r>
              <w:rPr>
                <w:b/>
                <w:i/>
              </w:rPr>
              <w:t>, jolla estetään talletuspaot</w:t>
            </w:r>
            <w:r>
              <w:t>;</w:t>
            </w:r>
          </w:p>
        </w:tc>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valmiiksi saattamisen; korostaa niiden merkitystä yksityishenkilöiden, pk-yritysten ja reaalitalouden kannalta keinona edistää kestävää vaurautta, laadukkaita työpaikkoja ja rahoitusvakautta; korostaa, että </w:t>
            </w:r>
            <w:r>
              <w:rPr>
                <w:b/>
                <w:i/>
              </w:rPr>
              <w:t>yhdentyneemmällä pankkiunionilla voitaisiin tukea eurooppalaisten pankkien kasvua ja kilpailukykyä;</w:t>
            </w:r>
            <w:r>
              <w:t xml:space="preserve"> </w:t>
            </w:r>
            <w:r>
              <w:rPr>
                <w:b/>
                <w:i/>
              </w:rPr>
              <w:t>korostaa, että</w:t>
            </w:r>
            <w:r>
              <w:t xml:space="preserve"> tarvitaan vahva kehys </w:t>
            </w:r>
            <w:r>
              <w:rPr>
                <w:b/>
                <w:i/>
              </w:rPr>
              <w:t>talletuspakojen estämiseksi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valmiiksi saattamisen; korostaa niiden merkitystä yksityishenkilöiden, pk-yritysten ja reaalitalouden kannalta keinona edistää kestävää vaurautta, laadukkaita työpaikkoja ja rahoitusvakautta; korostaa, että tarvitaan vahva </w:t>
            </w:r>
            <w:r>
              <w:rPr>
                <w:b/>
                <w:i/>
              </w:rPr>
              <w:t>solidaarisuuteen perustuva</w:t>
            </w:r>
            <w:r>
              <w:t xml:space="preserve"> kehys, </w:t>
            </w:r>
            <w:r>
              <w:rPr>
                <w:b/>
                <w:i/>
              </w:rPr>
              <w:t>jolla estetään</w:t>
            </w:r>
            <w:r>
              <w:t xml:space="preserve"> talletuspaot;</w:t>
            </w:r>
          </w:p>
        </w:tc>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valmiiksi saattamisen; korostaa niiden merkitystä yksityishenkilöiden, pk-yritysten ja reaalitalouden kannalta keinona edistää kestävää vaurautta, laadukkaita työpaikkoja ja rahoitusvakautta; korostaa, että tarvitaan vahva </w:t>
            </w:r>
            <w:r>
              <w:rPr>
                <w:b/>
                <w:i/>
              </w:rPr>
              <w:t>ja jämerä</w:t>
            </w:r>
            <w:r>
              <w:t xml:space="preserve"> kehys, </w:t>
            </w:r>
            <w:r>
              <w:rPr>
                <w:b/>
                <w:i/>
              </w:rPr>
              <w:t>joka perustuu selkeisiin sääntöihin ja velvoitteisiin ja estää</w:t>
            </w:r>
            <w:r>
              <w:t xml:space="preserve"> talletuspaot</w:t>
            </w:r>
            <w:r>
              <w:rPr>
                <w:b/>
                <w:i/>
              </w:rPr>
              <w:t>, lisää rahoitusvakautta ja kilpailukykyä sekä vahvistaa EU:n pankkialaa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kehottaa komissiota asettamaan etusijalle pankkiunionin </w:t>
            </w:r>
            <w:r>
              <w:rPr>
                <w:b/>
                <w:i/>
              </w:rPr>
              <w:t>sekä</w:t>
            </w:r>
            <w:r>
              <w:t xml:space="preserve"> säästö- ja investointiunionin valmiiksi </w:t>
            </w:r>
            <w:r>
              <w:rPr>
                <w:b/>
                <w:i/>
              </w:rPr>
              <w:t>saattamisen</w:t>
            </w:r>
            <w:r>
              <w:t>; korostaa niiden merkitystä yksityishenkilöiden, pk-yritysten ja reaalitalouden kannalta keinona edistää kestävää vaurautta, laadukkaita työpaikkoja ja rahoitusvakautta; korostaa, että tarvitaan vahva solidaarisuuteen perustuva kehys, jolla estetään talletuspaot;</w:t>
            </w:r>
          </w:p>
        </w:tc>
        <w:tc>
          <w:tcPr>
            <w:tcW w:w="4876" w:type="dxa"/>
            <w:tcBorders>
              <w:top w:val="nil"/>
              <w:left w:val="nil"/>
              <w:bottom w:val="nil"/>
              <w:right w:val="nil"/>
            </w:tcBorders>
          </w:tcPr>
          <w:p>
            <w:pPr>
              <w:pStyle w:val="Normal6a"/>
            </w:pPr>
            <w:r>
              <w:t>2.</w:t>
            </w:r>
            <w:r>
              <w:tab/>
            </w:r>
            <w:r>
              <w:t xml:space="preserve">kehottaa komissiota asettamaan etusijalle pankkiunionin </w:t>
            </w:r>
            <w:r>
              <w:rPr>
                <w:b/>
                <w:i/>
              </w:rPr>
              <w:t>osana</w:t>
            </w:r>
            <w:r>
              <w:t xml:space="preserve"> säästö- ja investointiunionin valmiiksi </w:t>
            </w:r>
            <w:r>
              <w:rPr>
                <w:b/>
                <w:i/>
              </w:rPr>
              <w:t>saattamista</w:t>
            </w:r>
            <w:r>
              <w:t>; korostaa niiden merkitystä yksityishenkilöiden, pk-yritysten ja reaalitalouden kannalta keinona edistää kestävää vaurautta, laadukkaita työpaikkoja ja rahoitusvakautta; korostaa, että tarvitaan vahva solidaarisuuteen perustuva kehys, jolla estetään talletuspaot;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kehottaa komissiota asettamaan etusijalle pankkiunionin sekä säästö- ja investointiunionin valmiiksi saattamisen; korostaa niiden merkitystä yksityishenkilöiden, pk-yritysten ja reaalitalouden kannalta keinona edistää kestävää vaurautta, laadukkaita työpaikkoja ja rahoitusvakautta; korostaa, että tarvitaan vahva solidaarisuuteen perustuva kehys, jolla estetään talletuspaot;</w:t>
            </w:r>
          </w:p>
        </w:tc>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valmiiksi saattamisen; korostaa niiden merkitystä yksityishenkilöiden, pk-yritysten ja reaalitalouden kannalta keinona edistää </w:t>
            </w:r>
            <w:r>
              <w:rPr>
                <w:b/>
                <w:i/>
              </w:rPr>
              <w:t>häiriönsieto- ja kilpailukykyä,</w:t>
            </w:r>
            <w:r>
              <w:t xml:space="preserve"> kestävää vaurautta, laadukkaita työpaikkoja ja rahoitusvakautta; korostaa, että tarvitaan vahva solidaarisuuteen perustuva kehys, jolla estetään talletuspaot;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kehottaa komissiota asettamaan etusijalle pankkiunionin sekä säästö- ja investointiunionin valmiiksi saattamisen; korostaa niiden merkitystä yksityishenkilöiden, pk-yritysten ja reaalitalouden kannalta keinona edistää kestävää vaurautta, laadukkaita työpaikkoja ja rahoitusvakautta; korostaa, että tarvitaan vahva solidaarisuuteen perustuva kehys, jolla estetään talletuspaot;</w:t>
            </w:r>
          </w:p>
        </w:tc>
        <w:tc>
          <w:tcPr>
            <w:tcW w:w="4876" w:type="dxa"/>
            <w:tcBorders>
              <w:top w:val="nil"/>
              <w:left w:val="nil"/>
              <w:bottom w:val="nil"/>
              <w:right w:val="nil"/>
            </w:tcBorders>
          </w:tcPr>
          <w:p>
            <w:pPr>
              <w:pStyle w:val="Normal6a"/>
            </w:pPr>
            <w:r>
              <w:t>2.</w:t>
            </w:r>
            <w:r>
              <w:tab/>
            </w:r>
            <w:r>
              <w:t xml:space="preserve">kehottaa komissiota asettamaan etusijalle pankkiunionin sekä säästö- ja investointiunionin valmiiksi saattamisen; korostaa niiden merkitystä yksityishenkilöiden, pk-yritysten ja reaalitalouden kannalta keinona edistää kestävää vaurautta, laadukkaita työpaikkoja ja rahoitusvakautta; korostaa, että tarvitaan vahva solidaarisuuteen perustuva kehys, jolla estetään talletuspaot; </w:t>
            </w:r>
            <w:r>
              <w:rPr>
                <w:b/>
                <w:i/>
              </w:rPr>
              <w:t>painottaa, että pääomamarkkinaunionin valmiiksi saattaminen auttaa pankkiunionin kehittämisen ohella myös luomaan paremmat edellytykset eurooppalaisen talouden sekä kotitalouksien ja yritysten rahoittamiseen, sillä ne ovat edelleen pitkälti riippuvaisia pankkilainoista, jotta voidaan edistää investointeja ja työpaikkojen luomista sekä parantaa eurooppalaisen talouden häiriönsietokykyä;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korostaa, että kotitalouksille ja pk-yrityksille tarjottavat lainakorot vaihtelevat suuresti eri jäsenvaltioissa;</w:t>
            </w:r>
            <w:r>
              <w:t xml:space="preserve"> </w:t>
            </w:r>
            <w:r>
              <w:rPr>
                <w:b/>
                <w:i/>
              </w:rPr>
              <w:t>kehottaa painokkaasti komissiota ja pankkivalvontaviranomaisia harkitsemaan toimenpiteitä, joilla varmistetaan, että kaikki yksityishenkilöt ja yritykset voivat saada kipeästi kaivattua pääomaa oikeudenmukaisin ja kilpailukykyisin koroin;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korostaa, että pankkialan yhtenä tehtävänä on rahoittaa hiilineutraaliin talouteen siirtymistä;</w:t>
            </w:r>
            <w:r>
              <w:t xml:space="preserve"> </w:t>
            </w:r>
            <w:r>
              <w:rPr>
                <w:b/>
                <w:i/>
              </w:rPr>
              <w:t>kehottaa vahvistamaan valvontaohjeistusta rahoituslaitosten mukauttamiseksi EU:n ilmastotavoitteisiin;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korostaa, että pankkialan yhtenä tehtävänä on rahoittaa hiilineutraaliin talouteen siirtymistä;</w:t>
            </w:r>
            <w:r>
              <w:t xml:space="preserve"> </w:t>
            </w:r>
            <w:r>
              <w:rPr>
                <w:b/>
                <w:i/>
              </w:rPr>
              <w:t>kehottaa vahvistamaan valvontaohjeistusta rahoituslaitosten mukauttamiseksi EU:n ilmastotavoitteisiin;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korostaa, että pankkialan yhtenä tehtävänä on rahoittaa hiilineutraaliin talouteen siirtymistä;</w:t>
            </w:r>
            <w:r>
              <w:t xml:space="preserve"> </w:t>
            </w:r>
            <w:r>
              <w:rPr>
                <w:b/>
                <w:i/>
              </w:rPr>
              <w:t>kehottaa vahvistamaan valvontaohjeistusta rahoituslaitosten mukauttamiseksi EU:n ilmastotavoitteisiin;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korostaa, että pankkialan yhtenä tehtävänä on rahoittaa hiilineutraaliin talouteen siirtymistä;</w:t>
            </w:r>
            <w:r>
              <w:t xml:space="preserve"> </w:t>
            </w:r>
            <w:r>
              <w:rPr>
                <w:b/>
                <w:i/>
              </w:rPr>
              <w:t>kehottaa vahvistamaan valvontaohjeistusta rahoituslaitosten mukauttamiseksi EU:n ilmastotavoitteisiin;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korostaa, että pankkialan yhtenä tehtävänä on rahoittaa </w:t>
            </w:r>
            <w:r>
              <w:rPr>
                <w:b/>
                <w:i/>
              </w:rPr>
              <w:t>hiilineutraaliin talouteen siirtymistä</w:t>
            </w:r>
            <w:r>
              <w:t xml:space="preserve">; </w:t>
            </w:r>
            <w:r>
              <w:rPr>
                <w:b/>
                <w:i/>
              </w:rPr>
              <w:t>kehottaa vahvistamaan valvontaohjeistusta rahoituslaitosten mukauttamiseksi EU:n ilmastotavoitteisiin;</w:t>
            </w:r>
          </w:p>
        </w:tc>
        <w:tc>
          <w:tcPr>
            <w:tcW w:w="4876" w:type="dxa"/>
            <w:tcBorders>
              <w:top w:val="nil"/>
              <w:left w:val="nil"/>
              <w:bottom w:val="nil"/>
              <w:right w:val="nil"/>
            </w:tcBorders>
          </w:tcPr>
          <w:p>
            <w:pPr>
              <w:pStyle w:val="Normal6a"/>
            </w:pPr>
            <w:r>
              <w:t>3.</w:t>
            </w:r>
            <w:r>
              <w:tab/>
            </w:r>
            <w:r>
              <w:t xml:space="preserve">korostaa, että pankkialan yhtenä tehtävänä on rahoittaa </w:t>
            </w:r>
            <w:r>
              <w:rPr>
                <w:b/>
                <w:i/>
              </w:rPr>
              <w:t>digitaalista siirtymää</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korostaa, että </w:t>
            </w:r>
            <w:r>
              <w:rPr>
                <w:b/>
                <w:i/>
              </w:rPr>
              <w:t>pankkialan yhtenä tehtävänä on rahoittaa hiilineutraaliin talouteen siirtymistä;</w:t>
            </w:r>
            <w:r>
              <w:t xml:space="preserve"> </w:t>
            </w:r>
            <w:r>
              <w:rPr>
                <w:b/>
                <w:i/>
              </w:rPr>
              <w:t>kehottaa vahvistamaan valvontaohjeistusta rahoituslaitosten mukauttamiseksi EU:n ilmastotavoitteisiin</w:t>
            </w:r>
            <w:r>
              <w:t>;</w:t>
            </w:r>
          </w:p>
        </w:tc>
        <w:tc>
          <w:tcPr>
            <w:tcW w:w="4876" w:type="dxa"/>
            <w:tcBorders>
              <w:top w:val="nil"/>
              <w:left w:val="nil"/>
              <w:bottom w:val="nil"/>
              <w:right w:val="nil"/>
            </w:tcBorders>
          </w:tcPr>
          <w:p>
            <w:pPr>
              <w:pStyle w:val="Normal6a"/>
            </w:pPr>
            <w:r>
              <w:t>3.</w:t>
            </w:r>
            <w:r>
              <w:tab/>
            </w:r>
            <w:r>
              <w:t xml:space="preserve">korostaa, että </w:t>
            </w:r>
            <w:r>
              <w:rPr>
                <w:b/>
                <w:i/>
              </w:rPr>
              <w:t>vihreää rahoitusta koskevalla lainsäädännöllä ei saisi sivuuttaa luottokelpoisuutta, perinteisiä riskinarviointeja eikä hinnanmuodostusmekanismeja, jotka toimivat järkevien lainanantopäätösten tukena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korostaa, että pankkialan yhtenä tehtävänä on rahoittaa </w:t>
            </w:r>
            <w:r>
              <w:rPr>
                <w:b/>
                <w:i/>
              </w:rPr>
              <w:t>hiilineutraaliin talouteen siirtymistä;</w:t>
            </w:r>
            <w:r>
              <w:t xml:space="preserve"> </w:t>
            </w:r>
            <w:r>
              <w:rPr>
                <w:b/>
                <w:i/>
              </w:rPr>
              <w:t>kehottaa vahvistamaan valvontaohjeistusta rahoituslaitosten mukauttamiseksi EU:n ilmastotavoitteisiin</w:t>
            </w:r>
            <w:r>
              <w:t>;</w:t>
            </w:r>
          </w:p>
        </w:tc>
        <w:tc>
          <w:tcPr>
            <w:tcW w:w="4876" w:type="dxa"/>
            <w:tcBorders>
              <w:top w:val="nil"/>
              <w:left w:val="nil"/>
              <w:bottom w:val="nil"/>
              <w:right w:val="nil"/>
            </w:tcBorders>
          </w:tcPr>
          <w:p>
            <w:pPr>
              <w:pStyle w:val="Normal6a"/>
            </w:pPr>
            <w:r>
              <w:t>3.</w:t>
            </w:r>
            <w:r>
              <w:tab/>
            </w:r>
            <w:r>
              <w:t xml:space="preserve">korostaa, että pankkialan yhtenä tehtävänä on rahoittaa </w:t>
            </w:r>
            <w:r>
              <w:rPr>
                <w:b/>
                <w:i/>
              </w:rPr>
              <w:t>vihreää ja digitaalista siirtymää;</w:t>
            </w:r>
            <w:r>
              <w:t xml:space="preserve"> </w:t>
            </w:r>
            <w:r>
              <w:rPr>
                <w:b/>
                <w:i/>
              </w:rPr>
              <w:t>korostaa, että EU:n kestävän rahoituksen kehystä on yksinkertaistettava, jotta voidaan varmistaa johdonmukaisuus, vähentää päällekkäisyyksiä ja yhdenmukaistaa pankki-, julkistamis- ja riskinhallintasääntöjä koskevia velvoitteita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korostaa, että pankkialan yhtenä tehtävänä on rahoittaa </w:t>
            </w:r>
            <w:r>
              <w:rPr>
                <w:b/>
                <w:i/>
              </w:rPr>
              <w:t>hiilineutraaliin talouteen siirtymistä;</w:t>
            </w:r>
            <w:r>
              <w:t xml:space="preserve"> </w:t>
            </w:r>
            <w:r>
              <w:rPr>
                <w:b/>
                <w:i/>
              </w:rPr>
              <w:t>kehottaa vahvistamaan valvontaohjeistusta rahoituslaitosten mukauttamiseksi EU:n ilmastotavoitteisiin</w:t>
            </w:r>
            <w:r>
              <w:t>;</w:t>
            </w:r>
          </w:p>
        </w:tc>
        <w:tc>
          <w:tcPr>
            <w:tcW w:w="4876" w:type="dxa"/>
            <w:tcBorders>
              <w:top w:val="nil"/>
              <w:left w:val="nil"/>
              <w:bottom w:val="nil"/>
              <w:right w:val="nil"/>
            </w:tcBorders>
          </w:tcPr>
          <w:p>
            <w:pPr>
              <w:pStyle w:val="Normal6a"/>
            </w:pPr>
            <w:r>
              <w:t>3.</w:t>
            </w:r>
            <w:r>
              <w:tab/>
            </w:r>
            <w:r>
              <w:t xml:space="preserve">korostaa, että pankkialan yhtenä tehtävänä on rahoittaa </w:t>
            </w:r>
            <w:r>
              <w:rPr>
                <w:b/>
                <w:i/>
              </w:rPr>
              <w:t>vihreää ja digitaalista siirtymää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korostaa</w:t>
            </w:r>
            <w:r>
              <w:t xml:space="preserve">, että pankkialan yhtenä tehtävänä on </w:t>
            </w:r>
            <w:r>
              <w:rPr>
                <w:b/>
                <w:i/>
              </w:rPr>
              <w:t>rahoittaa hiilineutraaliin</w:t>
            </w:r>
            <w:r>
              <w:t xml:space="preserve"> talouteen </w:t>
            </w:r>
            <w:r>
              <w:rPr>
                <w:b/>
                <w:i/>
              </w:rPr>
              <w:t>siirtymistä</w:t>
            </w:r>
            <w:r>
              <w:t xml:space="preserve">; kehottaa vahvistamaan valvontaohjeistusta rahoituslaitosten mukauttamiseksi EU:n </w:t>
            </w:r>
            <w:r>
              <w:rPr>
                <w:b/>
                <w:i/>
              </w:rPr>
              <w:t>ilmastotavoitteisiin</w:t>
            </w:r>
            <w:r>
              <w:t>;</w:t>
            </w:r>
          </w:p>
        </w:tc>
        <w:tc>
          <w:tcPr>
            <w:tcW w:w="4876" w:type="dxa"/>
            <w:tcBorders>
              <w:top w:val="nil"/>
              <w:left w:val="nil"/>
              <w:bottom w:val="nil"/>
              <w:right w:val="nil"/>
            </w:tcBorders>
          </w:tcPr>
          <w:p>
            <w:pPr>
              <w:pStyle w:val="Normal6a"/>
            </w:pPr>
            <w:r>
              <w:t>3.</w:t>
            </w:r>
            <w:r>
              <w:tab/>
            </w:r>
            <w:r>
              <w:rPr>
                <w:b/>
                <w:i/>
              </w:rPr>
              <w:t>toteaa</w:t>
            </w:r>
            <w:r>
              <w:t xml:space="preserve">, että pankkialan yhtenä tehtävänä on </w:t>
            </w:r>
            <w:r>
              <w:rPr>
                <w:b/>
                <w:i/>
              </w:rPr>
              <w:t>reaalitalouteen liittyvien tarpeiden tukeminen, mukaan lukien investoinnit, jotka liittyvät kilpailukykyisempään</w:t>
            </w:r>
            <w:r>
              <w:t xml:space="preserve"> talouteen </w:t>
            </w:r>
            <w:r>
              <w:rPr>
                <w:b/>
                <w:i/>
              </w:rPr>
              <w:t>siirtymiseen</w:t>
            </w:r>
            <w:r>
              <w:t xml:space="preserve">; kehottaa vahvistamaan valvontaohjeistusta rahoituslaitosten mukauttamiseksi EU:n </w:t>
            </w:r>
            <w:r>
              <w:rPr>
                <w:b/>
                <w:i/>
              </w:rPr>
              <w:t>taloudellista kilpailukykyä koskevaan ohjelmaan</w:t>
            </w:r>
            <w:r>
              <w:t xml:space="preserve">; </w:t>
            </w:r>
            <w:r>
              <w:rPr>
                <w:b/>
                <w:i/>
              </w:rPr>
              <w:t>korostaa, että kestävyyskysymyksiin liittyvien valvontatoimien olisi edelleen perustuttava tiukasti riskiperusteiseen lähestymistapaan ja vakavaraisuusvaltuutukseen ja niissä olisi keskityttävä olennaisten ilmastoon liittyvien rahoitusriskien tunnistamiseen, arviointiin ja hallintaan heikentämättä markkinaneutraaliutta, rahoitusvakautta tai moitteettoman riskinhallinnan ensisijaisia tavoitteita;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että pankkialan yhtenä tehtävänä on rahoittaa hiilineutraaliin talouteen siirtymistä; kehottaa vahvistamaan valvontaohjeistusta rahoituslaitosten mukauttamiseksi EU:n ilmastotavoitteisiin;</w:t>
            </w:r>
          </w:p>
        </w:tc>
        <w:tc>
          <w:tcPr>
            <w:tcW w:w="4876" w:type="dxa"/>
            <w:tcBorders>
              <w:top w:val="nil"/>
              <w:left w:val="nil"/>
              <w:bottom w:val="nil"/>
              <w:right w:val="nil"/>
            </w:tcBorders>
          </w:tcPr>
          <w:p>
            <w:pPr>
              <w:pStyle w:val="Normal6a"/>
            </w:pPr>
            <w:r>
              <w:t>3.</w:t>
            </w:r>
            <w:r>
              <w:tab/>
            </w:r>
            <w:r>
              <w:t xml:space="preserve">korostaa, että pankkialan yhtenä tehtävänä on rahoittaa hiilineutraaliin talouteen siirtymistä; kehottaa </w:t>
            </w:r>
            <w:r>
              <w:rPr>
                <w:b/>
                <w:i/>
              </w:rPr>
              <w:t>komissiota esittämään ehdotuksen kestävyysriskien sisällyttämisestä kattavasti vakavaraisuuskehykseen muun muassa asettamalla korkeammat pääomavaatimukset fossiilisiin polttoaineisiin liittyville riskeille Euroopan vakuutus- ja lisäeläkeviranomaisen suosituksen mukaisesti;</w:t>
            </w:r>
            <w:r>
              <w:t xml:space="preserve"> </w:t>
            </w:r>
            <w:r>
              <w:rPr>
                <w:b/>
                <w:i/>
              </w:rPr>
              <w:t>kehottaa</w:t>
            </w:r>
            <w:r>
              <w:t xml:space="preserve"> vahvistamaan valvontaohjeistusta rahoituslaitosten mukauttamiseksi EU:n ilmastotavoitteisiin</w:t>
            </w:r>
            <w:r>
              <w:rPr>
                <w:b/>
                <w:i/>
              </w:rPr>
              <w:t>, myös käyttämällä pilarin 2 mukaisia vaatimuksia</w:t>
            </w:r>
            <w:r>
              <w:t xml:space="preserve">; </w:t>
            </w:r>
            <w:r>
              <w:rPr>
                <w:b/>
                <w:i/>
              </w:rPr>
              <w:t>korostaa, että uskottava luokitusjärjestelmäkehys on välttämätön näiden tavoitteiden saavuttamiseksi;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katsoo, että yhdentyneen pankkiunionin edellytyksenä on oltava moitteettomasti toimivat vähittäisrahoituspalvelujen sisämarkkinat;</w:t>
            </w:r>
            <w:r>
              <w:t xml:space="preserve"> </w:t>
            </w:r>
            <w:r>
              <w:rPr>
                <w:b/>
                <w:i/>
              </w:rPr>
              <w:t>kehottaa komissiota arvioimaan esteitä, joita kuluttajille aiheutuu, kun he käyttävät asuntolainojen kaltaisia vähittäispankkitoiminnan tuotteita rajat ylittävältä pohjalta, ja ehdottamaan ratkaisuja, joilla varmistetaan, että kuluttajat voivat hyödyntää vähittäisrahoituspalveluja rajojen yli;</w:t>
            </w:r>
            <w:r>
              <w:t xml:space="preserve"> </w:t>
            </w:r>
            <w:r>
              <w:rPr>
                <w:b/>
                <w:i/>
              </w:rPr>
              <w:t>toteaa lisäksi, että asuntolainojen korot vaihtelevat unionissa suuresti;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korostaa pankkialan keskeistä tehtävää EU:n tärkeimpänä lainanantajana pyrittäessä kuromaan umpeen kasvavaa kilpailukykyeroa muihin alueisiin nähden;</w:t>
            </w:r>
            <w:r>
              <w:t xml:space="preserve"> </w:t>
            </w:r>
            <w:r>
              <w:rPr>
                <w:b/>
                <w:i/>
              </w:rPr>
              <w:t>muistuttaa pankkialan merkityksestä eurooppalaisten pk-yritysten rahoittamisessa samalla kun pääomamarkkinoita kehitetään edelleen;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pitää valitettavana, että rajatylittävillä vähittäispankkipalveluiden toteutumisen tiellä on yhä esteitä;</w:t>
            </w:r>
            <w:r>
              <w:t xml:space="preserve"> </w:t>
            </w:r>
            <w:r>
              <w:rPr>
                <w:b/>
                <w:i/>
              </w:rPr>
              <w:t>korostaa, että yhdentyneellä pankkiunionilla voidaan lisätä kilpailua ja kuluttajien valinnanvaraa vähittäispankkitoiminnan alalla muun muassa parantamalla mahdollisuuksia tarjota rajatylittäviä vähittäispankkipalveluja;</w:t>
            </w:r>
            <w:r>
              <w:t xml:space="preserve"> </w:t>
            </w:r>
            <w:r>
              <w:rPr>
                <w:b/>
                <w:i/>
              </w:rPr>
              <w:t>painottaa Euroopalle monipuolisesta ja kilpailukykyisestä pankkialasta koituvia etuja;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suhtautuu </w:t>
            </w:r>
            <w:r>
              <w:rPr>
                <w:b/>
                <w:i/>
              </w:rPr>
              <w:t>myönteisesti digitaalista euroa koskevassa kysymyksessä saavutettuun edistykseen ja siihen liittyviin mahdollisuuksiin täydentää käteisrahaa samalla kun vahvistetaan EU:n taloudellista suvereniteettia ja itsenäisyyttä</w:t>
            </w:r>
            <w:r>
              <w:t>;</w:t>
            </w:r>
          </w:p>
        </w:tc>
        <w:tc>
          <w:tcPr>
            <w:tcW w:w="4876" w:type="dxa"/>
            <w:tcBorders>
              <w:top w:val="nil"/>
              <w:left w:val="nil"/>
              <w:bottom w:val="nil"/>
              <w:right w:val="nil"/>
            </w:tcBorders>
          </w:tcPr>
          <w:p>
            <w:pPr>
              <w:pStyle w:val="Normal6a"/>
            </w:pPr>
            <w:r>
              <w:t>4.</w:t>
            </w:r>
            <w:r>
              <w:tab/>
            </w:r>
            <w:r>
              <w:t xml:space="preserve">suhtautuu </w:t>
            </w:r>
            <w:r>
              <w:rPr>
                <w:b/>
                <w:i/>
              </w:rPr>
              <w:t>erittäin epäilevästi digitaalisen euron vaikutukseen pankkitalletuskantoihin ja rahoituksen välittämiseen;</w:t>
            </w:r>
            <w:r>
              <w:t xml:space="preserve"> </w:t>
            </w:r>
            <w:r>
              <w:rPr>
                <w:b/>
                <w:i/>
              </w:rPr>
              <w:t>kehottaa asettamaan tiukat saldorajoitukset ja suojatoimet, jotta voidaan estää yksityisten pankkitalletusten siirtäminen ja säilyttää pankkien luotonvälityskapasiteetti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suhtautuu myönteisesti</w:t>
            </w:r>
            <w:r>
              <w:t xml:space="preserve"> digitaalista euroa koskevassa kysymyksessä </w:t>
            </w:r>
            <w:r>
              <w:rPr>
                <w:b/>
                <w:i/>
              </w:rPr>
              <w:t>saavutettuun edistykseen ja siihen liittyviin mahdollisuuksiin täydentää käteisrahaa samalla kun vahvistetaan EU:n taloudellista suvereniteettia ja itsenäisyyttä</w:t>
            </w:r>
            <w:r>
              <w:t>;</w:t>
            </w:r>
          </w:p>
        </w:tc>
        <w:tc>
          <w:tcPr>
            <w:tcW w:w="4876" w:type="dxa"/>
            <w:tcBorders>
              <w:top w:val="nil"/>
              <w:left w:val="nil"/>
              <w:bottom w:val="nil"/>
              <w:right w:val="nil"/>
            </w:tcBorders>
          </w:tcPr>
          <w:p>
            <w:pPr>
              <w:pStyle w:val="Normal6a"/>
            </w:pPr>
            <w:r>
              <w:t>4.</w:t>
            </w:r>
            <w:r>
              <w:tab/>
            </w:r>
            <w:r>
              <w:rPr>
                <w:b/>
                <w:i/>
              </w:rPr>
              <w:t>panee merkille</w:t>
            </w:r>
            <w:r>
              <w:t xml:space="preserve"> digitaalista euroa koskevassa kysymyksessä </w:t>
            </w:r>
            <w:r>
              <w:rPr>
                <w:b/>
                <w:i/>
              </w:rPr>
              <w:t>saavutetun edistyksen ja on tietoinen mahdollisista uhkista, joita tästä hankkeesta voi aiheutua EU:n pankkialan maksuvalmiudelle ja vakaudelle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suhtautuu myönteisesti</w:t>
            </w:r>
            <w:r>
              <w:t xml:space="preserve"> digitaalista euroa koskevassa kysymyksessä </w:t>
            </w:r>
            <w:r>
              <w:rPr>
                <w:b/>
                <w:i/>
              </w:rPr>
              <w:t>saavutettuun edistykseen</w:t>
            </w:r>
            <w:r>
              <w:t xml:space="preserve"> ja siihen </w:t>
            </w:r>
            <w:r>
              <w:rPr>
                <w:b/>
                <w:i/>
              </w:rPr>
              <w:t>liittyviin mahdollisuuksiin</w:t>
            </w:r>
            <w:r>
              <w:t xml:space="preserve"> täydentää käteisrahaa samalla kun vahvistetaan EU:n taloudellista suvereniteettia ja itsenäisyyttä;</w:t>
            </w:r>
          </w:p>
        </w:tc>
        <w:tc>
          <w:tcPr>
            <w:tcW w:w="4876" w:type="dxa"/>
            <w:tcBorders>
              <w:top w:val="nil"/>
              <w:left w:val="nil"/>
              <w:bottom w:val="nil"/>
              <w:right w:val="nil"/>
            </w:tcBorders>
          </w:tcPr>
          <w:p>
            <w:pPr>
              <w:pStyle w:val="Normal6a"/>
            </w:pPr>
            <w:r>
              <w:t>4.</w:t>
            </w:r>
            <w:r>
              <w:tab/>
            </w:r>
            <w:r>
              <w:rPr>
                <w:b/>
                <w:i/>
              </w:rPr>
              <w:t>panee merkille</w:t>
            </w:r>
            <w:r>
              <w:t xml:space="preserve"> digitaalista euroa koskevassa kysymyksessä </w:t>
            </w:r>
            <w:r>
              <w:rPr>
                <w:b/>
                <w:i/>
              </w:rPr>
              <w:t>saavutetun edistyksen</w:t>
            </w:r>
            <w:r>
              <w:t xml:space="preserve"> ja siihen </w:t>
            </w:r>
            <w:r>
              <w:rPr>
                <w:b/>
                <w:i/>
              </w:rPr>
              <w:t>liittyvät mahdollisuudet</w:t>
            </w:r>
            <w:r>
              <w:t xml:space="preserve"> täydentää käteisrahaa samalla kun vahvistetaan EU:n taloudellista suvereniteettia ja itsenäisyyttä;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suhtautuu myönteisesti </w:t>
            </w:r>
            <w:r>
              <w:rPr>
                <w:b/>
                <w:i/>
              </w:rPr>
              <w:t>digitaalista euroa koskevassa kysymyksessä</w:t>
            </w:r>
            <w:r>
              <w:t xml:space="preserve"> saavutettuun edistykseen </w:t>
            </w:r>
            <w:r>
              <w:rPr>
                <w:b/>
                <w:i/>
              </w:rPr>
              <w:t>ja siihen liittyviin mahdollisuuksiin täydentää</w:t>
            </w:r>
            <w:r>
              <w:t xml:space="preserve"> käteisrahaa samalla kun vahvistetaan EU:n taloudellista suvereniteettia ja itsenäisyyttä;</w:t>
            </w:r>
          </w:p>
        </w:tc>
        <w:tc>
          <w:tcPr>
            <w:tcW w:w="4876" w:type="dxa"/>
            <w:tcBorders>
              <w:top w:val="nil"/>
              <w:left w:val="nil"/>
              <w:bottom w:val="nil"/>
              <w:right w:val="nil"/>
            </w:tcBorders>
          </w:tcPr>
          <w:p>
            <w:pPr>
              <w:pStyle w:val="Normal6a"/>
            </w:pPr>
            <w:r>
              <w:t>4.</w:t>
            </w:r>
            <w:r>
              <w:tab/>
            </w:r>
            <w:r>
              <w:t xml:space="preserve">suhtautuu myönteisesti </w:t>
            </w:r>
            <w:r>
              <w:rPr>
                <w:b/>
                <w:i/>
              </w:rPr>
              <w:t>digitaalisen euron tukkumarkkinoilla</w:t>
            </w:r>
            <w:r>
              <w:t xml:space="preserve"> saavutettuun edistykseen</w:t>
            </w:r>
            <w:r>
              <w:rPr>
                <w:b/>
                <w:i/>
              </w:rPr>
              <w:t>, koska siitä on hyötyä tehokkuudelle, rajatylittävälle toimitukselle ja rahoitusmarkkinoiden yhdentymiselle;</w:t>
            </w:r>
            <w:r>
              <w:t xml:space="preserve"> </w:t>
            </w:r>
            <w:r>
              <w:rPr>
                <w:b/>
                <w:i/>
              </w:rPr>
              <w:t>korostaa, että mahdollisen vähittäismaksuihin tarkoitetun digitaalisen euron olisi toimittava yksinomaan</w:t>
            </w:r>
            <w:r>
              <w:t xml:space="preserve"> käteisrahaa </w:t>
            </w:r>
            <w:r>
              <w:rPr>
                <w:b/>
                <w:i/>
              </w:rPr>
              <w:t>täydentävänä maksuvälineenä, sen käyttöönotossa olisi kunnioitettava nykyistä markkinarakennetta ja vältettävä syrjäyttämästä yksityisiä maksuratkaisuja, jotka jo tuottavat innovaatioita ja lisäävät tehokkuutta kaikkialla unionissa,</w:t>
            </w:r>
            <w:r>
              <w:t xml:space="preserve"> samalla kun vahvistetaan EU:n taloudellista suvereniteettia ja itsenäisyyttä;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suhtautuu myönteisesti </w:t>
            </w:r>
            <w:r>
              <w:rPr>
                <w:b/>
                <w:i/>
              </w:rPr>
              <w:t>digitaalista euroa koskevassa</w:t>
            </w:r>
            <w:r>
              <w:t xml:space="preserve"> kysymyksessä saavutettuun edistykseen </w:t>
            </w:r>
            <w:r>
              <w:rPr>
                <w:b/>
                <w:i/>
              </w:rPr>
              <w:t>ja siihen</w:t>
            </w:r>
            <w:r>
              <w:t xml:space="preserve"> liittyviin mahdollisuuksiin täydentää käteisrahaa samalla kun vahvistetaan EU:n taloudellista suvereniteettia ja itsenäisyyttä;</w:t>
            </w:r>
          </w:p>
        </w:tc>
        <w:tc>
          <w:tcPr>
            <w:tcW w:w="4876" w:type="dxa"/>
            <w:tcBorders>
              <w:top w:val="nil"/>
              <w:left w:val="nil"/>
              <w:bottom w:val="nil"/>
              <w:right w:val="nil"/>
            </w:tcBorders>
          </w:tcPr>
          <w:p>
            <w:pPr>
              <w:pStyle w:val="Normal6a"/>
            </w:pPr>
            <w:r>
              <w:t>4.</w:t>
            </w:r>
            <w:r>
              <w:tab/>
            </w:r>
            <w:r>
              <w:t xml:space="preserve">suhtautuu myönteisesti </w:t>
            </w:r>
            <w:r>
              <w:rPr>
                <w:b/>
                <w:i/>
              </w:rPr>
              <w:t>sekä tukku- että vähittäismaksuihin tarkoitetun digitaalisen euron</w:t>
            </w:r>
            <w:r>
              <w:t xml:space="preserve"> kysymyksessä saavutettuun edistykseen</w:t>
            </w:r>
            <w:r>
              <w:rPr>
                <w:b/>
                <w:i/>
              </w:rPr>
              <w:t>;</w:t>
            </w:r>
            <w:r>
              <w:t xml:space="preserve"> </w:t>
            </w:r>
            <w:r>
              <w:rPr>
                <w:b/>
                <w:i/>
              </w:rPr>
              <w:t>suhtautuu myönteisesti vähittäismaksuihin tarkoitettuun digitaaliseen euroon</w:t>
            </w:r>
            <w:r>
              <w:t xml:space="preserve"> liittyviin mahdollisuuksiin täydentää käteisrahaa samalla kun vahvistetaan EU:n taloudellista suvereniteettia ja itsenäisyyttä; </w:t>
            </w:r>
            <w:r>
              <w:rPr>
                <w:b/>
                <w:i/>
              </w:rPr>
              <w:t>pitää tervetulleena sitä, että vähittäismaksuihin tarkoitettua digitaalista euroa koskeva neuvoston yleisnäkemys saatiin valmiiksi joulukuussa 2025, ja kehottaa parlamenttia viimeistelemään kunnianhimoisen kantansa mahdollisimman pian;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suhtautuu myönteisesti digitaalista euroa koskevassa kysymyksessä saavutettuun edistykseen ja siihen liittyviin mahdollisuuksiin täydentää käteisrahaa samalla kun vahvistetaan EU:n taloudellista suvereniteettia ja itsenäisyyttä;</w:t>
            </w:r>
          </w:p>
        </w:tc>
        <w:tc>
          <w:tcPr>
            <w:tcW w:w="4876" w:type="dxa"/>
            <w:tcBorders>
              <w:top w:val="nil"/>
              <w:left w:val="nil"/>
              <w:bottom w:val="nil"/>
              <w:right w:val="nil"/>
            </w:tcBorders>
          </w:tcPr>
          <w:p>
            <w:pPr>
              <w:pStyle w:val="Normal6a"/>
            </w:pPr>
            <w:r>
              <w:t>4.</w:t>
            </w:r>
            <w:r>
              <w:tab/>
            </w:r>
            <w:r>
              <w:t xml:space="preserve">suhtautuu myönteisesti digitaalista euroa koskevassa kysymyksessä saavutettuun edistykseen ja siihen liittyviin mahdollisuuksiin täydentää käteisrahaa samalla kun vahvistetaan EU:n taloudellista suvereniteettia ja itsenäisyyttä </w:t>
            </w:r>
            <w:r>
              <w:rPr>
                <w:b/>
                <w:i/>
              </w:rPr>
              <w:t>ja edistetään taloudellista osallisuutta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panee tyytyväisenä merkille, että pankkiala on mukautumassa digitalisaation haasteisiin ja mahdollisuuksiin, sillä sen ansiosta pankit voivat palvella asiakkaitaan paremmin;</w:t>
            </w:r>
            <w:r>
              <w:t xml:space="preserve"> </w:t>
            </w:r>
            <w:r>
              <w:rPr>
                <w:b/>
                <w:i/>
              </w:rPr>
              <w:t>kannustaa pankkeja hyödyntämään enemmän talouden digitalisoinnin mukanaan tuomia mahdollisuuksia ja säilyttämään samalla korkeatasoisen kuluttajan- ja sijoittajansuojan investoimalla tietotekniikkajärjestelmiin ja tutkimukseen ja kehittämiseen, panemalla digitaalista häiriönsietokykyä koskevan säädöksen vaatimukset täytäntöön kaikilta osin ja kehittämällä sääntelykehyksen, joka on siten tarkoituksenmukainen, että sillä voidaan vastata digitalisaation suuntauksiin, ja joka perustuu teknologianeutraaliuteen;</w:t>
            </w:r>
            <w:r>
              <w:t xml:space="preserve"> </w:t>
            </w:r>
            <w:r>
              <w:rPr>
                <w:b/>
                <w:i/>
              </w:rPr>
              <w:t>panee tyytyväisenä merkille digitaalisen rahoituksen paketin osalta saavutetun edistyksen;</w:t>
            </w:r>
            <w:r>
              <w:t xml:space="preserve"> </w:t>
            </w:r>
            <w:r>
              <w:rPr>
                <w:b/>
                <w:i/>
              </w:rPr>
              <w:t>katsoo, että kuluttajansuojaa on vahvistettava digitaalisessa yhteydessä ja että taloudellinen osallisuus olisi asetettava etusijalle erityisesti parantamalla digitaalista lukutaitoa ja finanssiosaamista;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pitää valitettavana tiukassa istuvaa sukupuolten epätasapainoa rahoituslaitoksissa, erityisesti niiden johdossa;</w:t>
            </w:r>
            <w:r>
              <w:t xml:space="preserve"> </w:t>
            </w:r>
            <w:r>
              <w:rPr>
                <w:b/>
                <w:i/>
              </w:rPr>
              <w:t>korostaa, että monimuotoinen johtajuus ja naisjohtoisten yritysten paremmat rahoituksensaantimahdollisuudet</w:t>
            </w:r>
            <w:r>
              <w:rPr>
                <w:b/>
                <w:i/>
                <w:vertAlign w:val="superscript"/>
              </w:rPr>
              <w:t>13</w:t>
            </w:r>
            <w:r>
              <w:rPr>
                <w:b/>
                <w:i/>
              </w:rPr>
              <w:t>parantavat hallintoa, innovointia ja taloudellista suorituskykyä;</w:t>
            </w:r>
            <w:r>
              <w:t xml:space="preserve"> </w:t>
            </w:r>
            <w:r>
              <w:rPr>
                <w:b/>
                <w:i/>
              </w:rPr>
              <w:t>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Euroopan tasa-arvoinstituutti, Gender in entrepreneurship, 2017, s.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pitää valitettavana tiukassa istuvaa sukupuolten epätasapainoa rahoituslaitoksissa, erityisesti niiden johdossa;</w:t>
            </w:r>
            <w:r>
              <w:t xml:space="preserve"> </w:t>
            </w:r>
            <w:r>
              <w:rPr>
                <w:b/>
                <w:i/>
              </w:rPr>
              <w:t>korostaa, että monimuotoinen johtajuus ja naisjohtoisten yritysten paremmat rahoituksensaantimahdollisuudet</w:t>
            </w:r>
            <w:r>
              <w:rPr>
                <w:b/>
                <w:i/>
                <w:vertAlign w:val="superscript"/>
              </w:rPr>
              <w:t>13</w:t>
            </w:r>
            <w:r>
              <w:rPr>
                <w:b/>
                <w:i/>
              </w:rPr>
              <w:t>parantavat hallintoa, innovointia ja taloudellista suorituskykyä;</w:t>
            </w:r>
            <w:r>
              <w:t xml:space="preserve"> </w:t>
            </w:r>
            <w:r>
              <w:rPr>
                <w:b/>
                <w:i/>
              </w:rPr>
              <w:t>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Euroopan tasa-arvoinstituutti, Gender in entrepreneurship, 2017, s.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pitää valitettavana tiukassa istuvaa sukupuolten epätasapainoa rahoituslaitoksissa, erityisesti niiden johdossa;</w:t>
            </w:r>
            <w:r>
              <w:t xml:space="preserve"> </w:t>
            </w:r>
            <w:r>
              <w:rPr>
                <w:b/>
                <w:i/>
              </w:rPr>
              <w:t>korostaa, että monimuotoinen johtajuus ja naisjohtoisten yritysten paremmat rahoituksensaantimahdollisuudet</w:t>
            </w:r>
            <w:r>
              <w:rPr>
                <w:b/>
                <w:i/>
                <w:vertAlign w:val="superscript"/>
              </w:rPr>
              <w:t>13</w:t>
            </w:r>
            <w:r>
              <w:rPr>
                <w:b/>
                <w:i/>
              </w:rPr>
              <w:t>parantavat hallintoa, innovointia ja taloudellista suorituskykyä;</w:t>
            </w:r>
            <w:r>
              <w:t xml:space="preserve"> </w:t>
            </w:r>
            <w:r>
              <w:rPr>
                <w:b/>
                <w:i/>
              </w:rPr>
              <w:t>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Euroopan tasa-arvoinstituutti, Gender in entrepreneurship, 2017, s.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pitää valitettavana tiukassa istuvaa sukupuolten epätasapainoa rahoituslaitoksissa, erityisesti niiden johdossa;</w:t>
            </w:r>
            <w:r>
              <w:t xml:space="preserve"> </w:t>
            </w:r>
            <w:r>
              <w:rPr>
                <w:b/>
                <w:i/>
              </w:rPr>
              <w:t>korostaa, että monimuotoinen johtajuus ja naisjohtoisten yritysten paremmat rahoituksensaantimahdollisuudet</w:t>
            </w:r>
            <w:r>
              <w:rPr>
                <w:b/>
                <w:i/>
                <w:vertAlign w:val="superscript"/>
              </w:rPr>
              <w:t>13</w:t>
            </w:r>
            <w:r>
              <w:rPr>
                <w:b/>
                <w:i/>
              </w:rPr>
              <w:t>parantavat hallintoa, innovointia ja taloudellista suorituskykyä;</w:t>
            </w:r>
            <w:r>
              <w:t xml:space="preserve"> </w:t>
            </w:r>
            <w:r>
              <w:rPr>
                <w:b/>
                <w:i/>
              </w:rPr>
              <w:t>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Euroopan tasa-arvoinstituutti, Gender in entrepreneurship, 2017, s.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pitää valitettavana tiukassa istuvaa sukupuolten epätasapainoa rahoituslaitoksissa, erityisesti niiden johdossa;</w:t>
            </w:r>
            <w:r>
              <w:t xml:space="preserve"> </w:t>
            </w:r>
            <w:r>
              <w:rPr>
                <w:b/>
                <w:i/>
              </w:rPr>
              <w:t>korostaa, että monimuotoinen johtajuus ja naisjohtoisten yritysten paremmat rahoituksensaantimahdollisuudet</w:t>
            </w:r>
            <w:r>
              <w:rPr>
                <w:b/>
                <w:i/>
                <w:vertAlign w:val="superscript"/>
              </w:rPr>
              <w:t>13</w:t>
            </w:r>
            <w:r>
              <w:rPr>
                <w:b/>
                <w:i/>
              </w:rPr>
              <w:t>parantavat hallintoa, innovointia ja taloudellista suorituskykyä;</w:t>
            </w:r>
            <w:r>
              <w:t xml:space="preserve"> </w:t>
            </w:r>
            <w:r>
              <w:rPr>
                <w:b/>
                <w:i/>
              </w:rPr>
              <w:t>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Euroopan tasa-arvoinstituutti, Gender in entrepreneurship, 2017, s.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pitää valitettavana tiukassa istuvaa sukupuolten epätasapainoa rahoituslaitoksissa, erityisesti niiden johdossa;</w:t>
            </w:r>
            <w:r>
              <w:t xml:space="preserve"> korostaa, että monimuotoinen johtajuus </w:t>
            </w:r>
            <w:r>
              <w:rPr>
                <w:b/>
                <w:i/>
              </w:rPr>
              <w:t>ja naisjohtoisten yritysten paremmat rahoituksensaantimahdollisuudet</w:t>
            </w:r>
            <w:r>
              <w:rPr>
                <w:b/>
                <w:i/>
                <w:vertAlign w:val="superscript"/>
              </w:rPr>
              <w:t>13</w:t>
            </w:r>
            <w:r>
              <w:rPr>
                <w:b/>
                <w:i/>
              </w:rPr>
              <w:t>parantavat</w:t>
            </w:r>
            <w:r>
              <w:t xml:space="preserve"> hallintoa, innovointia ja taloudellista suorituskykyä; 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c>
          <w:tcPr>
            <w:tcW w:w="4876" w:type="dxa"/>
            <w:tcBorders>
              <w:top w:val="nil"/>
              <w:left w:val="nil"/>
              <w:bottom w:val="nil"/>
              <w:right w:val="nil"/>
            </w:tcBorders>
          </w:tcPr>
          <w:p>
            <w:pPr>
              <w:pStyle w:val="Normal6a"/>
            </w:pPr>
            <w:r>
              <w:t>5.</w:t>
            </w:r>
            <w:r>
              <w:tab/>
            </w:r>
            <w:r>
              <w:t xml:space="preserve">korostaa, että monimuotoinen johtajuus </w:t>
            </w:r>
            <w:r>
              <w:rPr>
                <w:b/>
                <w:i/>
              </w:rPr>
              <w:t>parantaa</w:t>
            </w:r>
            <w:r>
              <w:t xml:space="preserve"> hallintoa, innovointia ja taloudellista suorituskykyä; 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Euroopan tasa-arvoinstituutti, Gender in entrepreneurship, 2017, s.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pitää valitettavana tiukassa istuvaa sukupuolten epätasapainoa</w:t>
            </w:r>
            <w:r>
              <w:t xml:space="preserve"> rahoituslaitoksissa, erityisesti niiden johdossa; korostaa, että monimuotoinen johtajuus ja naisjohtoisten yritysten paremmat rahoituksensaantimahdollisuudet</w:t>
            </w:r>
            <w:r>
              <w:rPr>
                <w:vertAlign w:val="superscript"/>
              </w:rPr>
              <w:t>13</w:t>
            </w:r>
            <w:r>
              <w:t>parantavat hallintoa, innovointia ja taloudellista suorituskykyä; 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c>
          <w:tcPr>
            <w:tcW w:w="4876" w:type="dxa"/>
            <w:tcBorders>
              <w:top w:val="nil"/>
              <w:left w:val="nil"/>
              <w:bottom w:val="nil"/>
              <w:right w:val="nil"/>
            </w:tcBorders>
          </w:tcPr>
          <w:p>
            <w:pPr>
              <w:pStyle w:val="Normal6a"/>
            </w:pPr>
            <w:r>
              <w:t>5.</w:t>
            </w:r>
            <w:r>
              <w:tab/>
            </w:r>
            <w:r>
              <w:rPr>
                <w:b/>
                <w:i/>
              </w:rPr>
              <w:t>panee merkille, että</w:t>
            </w:r>
            <w:r>
              <w:t xml:space="preserve"> rahoituslaitoksissa, erityisesti niiden johdossa</w:t>
            </w:r>
            <w:r>
              <w:rPr>
                <w:b/>
                <w:i/>
              </w:rPr>
              <w:t>, sukupuolten tasapuolisen edustuksen saavuttamisessa on saatu aikaan vain vähän edistystä</w:t>
            </w:r>
            <w:r>
              <w:t>; korostaa, että monimuotoinen johtajuus ja naisjohtoisten yritysten paremmat rahoituksensaantimahdollisuudet</w:t>
            </w:r>
            <w:r>
              <w:rPr>
                <w:vertAlign w:val="superscript"/>
              </w:rPr>
              <w:t>13</w:t>
            </w:r>
            <w:r>
              <w:t xml:space="preserve"> parantavat hallintoa, innovointia ja taloudellista suorituskykyä; 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tasa-arvoinstituutti, Gender in entrepreneurship, 2017, s. 5–6.</w:t>
            </w:r>
          </w:p>
        </w:tc>
        <w:tc>
          <w:tcPr>
            <w:tcW w:w="4876" w:type="dxa"/>
            <w:tcBorders>
              <w:top w:val="nil"/>
              <w:left w:val="nil"/>
              <w:bottom w:val="nil"/>
              <w:right w:val="nil"/>
            </w:tcBorders>
          </w:tcPr>
          <w:p>
            <w:pPr>
              <w:pStyle w:val="Normal6a"/>
            </w:pPr>
            <w:r>
              <w:rPr>
                <w:vertAlign w:val="superscript"/>
              </w:rPr>
              <w:t>13</w:t>
            </w:r>
            <w:r>
              <w:t xml:space="preserve"> </w:t>
            </w:r>
            <w:r>
              <w:t>Euroopan tasa-arvoinstituutti, Gender in entrepreneurship, 2017, s.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pitää valitettavana tiukassa istuvaa sukupuolten epätasapainoa rahoituslaitoksissa, erityisesti niiden johdossa; korostaa, että monimuotoinen johtajuus ja naisjohtoisten yritysten paremmat rahoituksensaantimahdollisuudet</w:t>
            </w:r>
            <w:r>
              <w:rPr>
                <w:vertAlign w:val="superscript"/>
              </w:rPr>
              <w:t>13</w:t>
            </w:r>
            <w:r>
              <w:t xml:space="preserve">parantavat hallintoa, innovointia ja taloudellista suorituskykyä; kehottaa rahoituslaitoksia, sidosryhmiä, komissiota ja jäsenvaltioita hyväksymään tuloksellisia monimuotoisuusstrategioita, seuraamaan sukupuolten välisiä eroja ja </w:t>
            </w:r>
            <w:r>
              <w:rPr>
                <w:b/>
                <w:i/>
              </w:rPr>
              <w:t>sisällyttämään</w:t>
            </w:r>
            <w:r>
              <w:t xml:space="preserve"> sukupuolten tasa-arvon </w:t>
            </w:r>
            <w:r>
              <w:rPr>
                <w:b/>
                <w:i/>
              </w:rPr>
              <w:t>valvonta- ja investointikehyksiin, jotta voidaan varmistaa pääoman osallistava saatavuus kaikkialla EU:ssa</w:t>
            </w:r>
            <w:r>
              <w:t>;</w:t>
            </w:r>
          </w:p>
        </w:tc>
        <w:tc>
          <w:tcPr>
            <w:tcW w:w="4876" w:type="dxa"/>
            <w:tcBorders>
              <w:top w:val="nil"/>
              <w:left w:val="nil"/>
              <w:bottom w:val="nil"/>
              <w:right w:val="nil"/>
            </w:tcBorders>
          </w:tcPr>
          <w:p>
            <w:pPr>
              <w:pStyle w:val="Normal6a"/>
            </w:pPr>
            <w:r>
              <w:t>5.</w:t>
            </w:r>
            <w:r>
              <w:tab/>
            </w:r>
            <w:r>
              <w:t>pitää valitettavana tiukassa istuvaa sukupuolten epätasapainoa rahoituslaitoksissa, erityisesti niiden johdossa; korostaa, että monimuotoinen johtajuus ja naisjohtoisten yritysten paremmat rahoituksensaantimahdollisuudet</w:t>
            </w:r>
            <w:r>
              <w:rPr>
                <w:vertAlign w:val="superscript"/>
              </w:rPr>
              <w:t>13</w:t>
            </w:r>
            <w:r>
              <w:t xml:space="preserve"> parantavat hallintoa, innovointia ja taloudellista suorituskykyä; kehottaa rahoituslaitoksia, sidosryhmiä, komissiota ja jäsenvaltioita hyväksymään tuloksellisia monimuotoisuusstrategioita, seuraamaan sukupuolten välisiä eroja ja </w:t>
            </w:r>
            <w:r>
              <w:rPr>
                <w:b/>
                <w:i/>
              </w:rPr>
              <w:t>ottamaan</w:t>
            </w:r>
            <w:r>
              <w:t xml:space="preserve"> sukupuolten tasa-arvon </w:t>
            </w:r>
            <w:r>
              <w:rPr>
                <w:b/>
                <w:i/>
              </w:rPr>
              <w:t>huomioon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tasa-arvoinstituutti, Gender in entrepreneurship, 2017, s. 5–6.</w:t>
            </w:r>
          </w:p>
        </w:tc>
        <w:tc>
          <w:tcPr>
            <w:tcW w:w="4876" w:type="dxa"/>
            <w:tcBorders>
              <w:top w:val="nil"/>
              <w:left w:val="nil"/>
              <w:bottom w:val="nil"/>
              <w:right w:val="nil"/>
            </w:tcBorders>
          </w:tcPr>
          <w:p>
            <w:pPr>
              <w:pStyle w:val="Normal6a"/>
            </w:pPr>
            <w:r>
              <w:rPr>
                <w:vertAlign w:val="superscript"/>
              </w:rPr>
              <w:t>13</w:t>
            </w:r>
            <w:r>
              <w:t xml:space="preserve"> </w:t>
            </w:r>
            <w:r>
              <w:t>Euroopan tasa-arvoinstituutti, Gender in entrepreneurship, 2017, s.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pitää valitettavana tiukassa istuvaa sukupuolten epätasapainoa rahoituslaitoksissa, erityisesti niiden johdossa; korostaa, että monimuotoinen johtajuus ja naisjohtoisten yritysten paremmat rahoituksensaantimahdollisuudet</w:t>
            </w:r>
            <w:r>
              <w:rPr>
                <w:vertAlign w:val="superscript"/>
              </w:rPr>
              <w:t>13</w:t>
            </w:r>
            <w:r>
              <w:t>parantavat hallintoa, innovointia ja taloudellista suorituskykyä; 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w:t>
            </w:r>
          </w:p>
        </w:tc>
        <w:tc>
          <w:tcPr>
            <w:tcW w:w="4876" w:type="dxa"/>
            <w:tcBorders>
              <w:top w:val="nil"/>
              <w:left w:val="nil"/>
              <w:bottom w:val="nil"/>
              <w:right w:val="nil"/>
            </w:tcBorders>
          </w:tcPr>
          <w:p>
            <w:pPr>
              <w:pStyle w:val="Normal6a"/>
            </w:pPr>
            <w:r>
              <w:t>5.</w:t>
            </w:r>
            <w:r>
              <w:tab/>
            </w:r>
            <w:r>
              <w:t>pitää valitettavana tiukassa istuvaa sukupuolten epätasapainoa rahoituslaitoksissa, erityisesti niiden johdossa; korostaa, että monimuotoinen johtajuus ja naisjohtoisten yritysten paremmat rahoituksensaantimahdollisuudet</w:t>
            </w:r>
            <w:r>
              <w:rPr>
                <w:vertAlign w:val="superscript"/>
              </w:rPr>
              <w:t>13</w:t>
            </w:r>
            <w:r>
              <w:t xml:space="preserve"> parantavat hallintoa, innovointia ja taloudellista suorituskykyä; kehottaa rahoituslaitoksia, sidosryhmiä, komissiota ja jäsenvaltioita hyväksymään tuloksellisia monimuotoisuusstrategioita, seuraamaan sukupuolten välisiä eroja ja sisällyttämään sukupuolten tasa-arvon valvonta- ja investointikehyksiin, jotta voidaan varmistaa pääoman osallistava saatavuus kaikkialla EU:ssa; </w:t>
            </w:r>
            <w:r>
              <w:rPr>
                <w:b/>
                <w:i/>
              </w:rPr>
              <w:t>pitää erittäin valitettavana, että EPV:n puheenjohtajaehdokkaiden lopullisessa luettelossa sukupuolet eivät ole tasapuolisesti edustettuina;</w:t>
            </w:r>
            <w:r>
              <w:t xml:space="preserve"> </w:t>
            </w:r>
            <w:r>
              <w:rPr>
                <w:b/>
                <w:i/>
              </w:rPr>
              <w:t>muistuttaa, että parlamentti on sitoutunut olemaan ottamatta huomioon ehdokasluetteloita, joissa ei ole noudatettu tasapuolisen sukupuolijakauman periaatetta;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tasa-arvoinstituutti, Gender in entrepreneurship, 2017, s. 5–6.</w:t>
            </w:r>
          </w:p>
        </w:tc>
        <w:tc>
          <w:tcPr>
            <w:tcW w:w="4876" w:type="dxa"/>
            <w:tcBorders>
              <w:top w:val="nil"/>
              <w:left w:val="nil"/>
              <w:bottom w:val="nil"/>
              <w:right w:val="nil"/>
            </w:tcBorders>
          </w:tcPr>
          <w:p>
            <w:pPr>
              <w:pStyle w:val="Normal6a"/>
            </w:pPr>
            <w:r>
              <w:rPr>
                <w:vertAlign w:val="superscript"/>
              </w:rPr>
              <w:t>13</w:t>
            </w:r>
            <w:r>
              <w:t xml:space="preserve"> </w:t>
            </w:r>
            <w:r>
              <w:t>Euroopan tasa-arvoinstituutti, Gender in entrepreneurship, 2017, s.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muistuttaa, että rahoituslaitosten johtajat olisi valittava ansioiden, kokemuksen ja ammatillisen soveltuvuuden perusteella ja olisi varmistettava, että nimitykset ja johdon päätökset pohjautuvat objektiivisiin ja riskiperusteisiin kriteereihin, eikä huomioon pidä ottaa hyvään hallinnointi- ja ohjausjärjestelmään taikka rahoitusvakauteen liittymättömiä lisäkriteerejä;</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pitää valitettavana, että EU:n pankkien mahdollisuutta rahoittaa laajoja investointeja rajoittavat korkeat kustannukset, pienempi mittakaava ja heikompi kannattavuus, joka ei riitä varmistamaan niiden kilpailukykyä;</w:t>
            </w:r>
            <w:r>
              <w:t xml:space="preserve"> </w:t>
            </w:r>
            <w:r>
              <w:rPr>
                <w:b/>
                <w:i/>
              </w:rPr>
              <w:t>toteaa kuitenkin, että EU:n pankkijärjestelmän erityisluonne ja pienten pankkien suuri määrä edellyttävät sen ominaispiirteisiin räätälöityjä erityisratkaisuja;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panee merkille, että EKP:n koronnostojen myötä EU:n pankkien kannattavuus ja häiriönsietokyky ovat parantuneet merkittävästi</w:t>
            </w:r>
            <w:r>
              <w:rPr>
                <w:b/>
                <w:i/>
                <w:vertAlign w:val="superscript"/>
              </w:rPr>
              <w:t>14</w:t>
            </w:r>
            <w:r>
              <w:rPr>
                <w:b/>
                <w:i/>
              </w:rPr>
              <w:t>;</w:t>
            </w:r>
            <w:r>
              <w:t xml:space="preserve"> </w:t>
            </w:r>
            <w:r>
              <w:rPr>
                <w:b/>
                <w:i/>
              </w:rPr>
              <w:t>korostaa, että tämä voi tukea välttämättömiä investointeja ja että valtiontukea saaviin laitoksiin on sovellettava tiukkoja rajoituksia osinkojen, takaisinostojen ja muuttuvien palkkioiden osalta;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IMF, heinäkuu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panee merkille, että EKP:n koronnostojen myötä EU:n</w:t>
            </w:r>
            <w:r>
              <w:t xml:space="preserve"> pankkien </w:t>
            </w:r>
            <w:r>
              <w:rPr>
                <w:b/>
                <w:i/>
              </w:rPr>
              <w:t>kannattavuus ja häiriönsietokyky ovat parantuneet merkittävästi</w:t>
            </w:r>
            <w:r>
              <w:rPr>
                <w:b/>
                <w:i/>
                <w:vertAlign w:val="superscript"/>
              </w:rPr>
              <w:t>14</w:t>
            </w:r>
            <w:r>
              <w:rPr>
                <w:b/>
                <w:i/>
              </w:rPr>
              <w:t>;</w:t>
            </w:r>
            <w:r>
              <w:t xml:space="preserve"> </w:t>
            </w:r>
            <w:r>
              <w:rPr>
                <w:b/>
                <w:i/>
              </w:rPr>
              <w:t>korostaa, että tämä voi</w:t>
            </w:r>
            <w:r>
              <w:t xml:space="preserve"> tukea </w:t>
            </w:r>
            <w:r>
              <w:rPr>
                <w:b/>
                <w:i/>
              </w:rPr>
              <w:t>välttämättömiä investointeja ja että valtiontukea saaviin laitoksiin on sovellettava tiukkoja rajoituksia osinkojen, takaisinostojen ja muuttuvien palkkioiden osalta</w:t>
            </w:r>
            <w:r>
              <w:t>;</w:t>
            </w:r>
          </w:p>
        </w:tc>
        <w:tc>
          <w:tcPr>
            <w:tcW w:w="4876" w:type="dxa"/>
            <w:tcBorders>
              <w:top w:val="nil"/>
              <w:left w:val="nil"/>
              <w:bottom w:val="nil"/>
              <w:right w:val="nil"/>
            </w:tcBorders>
          </w:tcPr>
          <w:p>
            <w:pPr>
              <w:pStyle w:val="Normal6a"/>
            </w:pPr>
            <w:r>
              <w:t>6.</w:t>
            </w:r>
            <w:r>
              <w:tab/>
            </w:r>
            <w:r>
              <w:rPr>
                <w:b/>
                <w:i/>
              </w:rPr>
              <w:t>toteaa, että pitkittynyt rajoittava rahapolitiikka on supistanut nettokorkomarginaaleja ja kasvattanut rahoituskustannuksia, mikä on heikentänyt</w:t>
            </w:r>
            <w:r>
              <w:t xml:space="preserve"> pankkien </w:t>
            </w:r>
            <w:r>
              <w:rPr>
                <w:b/>
                <w:i/>
              </w:rPr>
              <w:t>kykyä</w:t>
            </w:r>
            <w:r>
              <w:t xml:space="preserve"> tukea </w:t>
            </w:r>
            <w:r>
              <w:rPr>
                <w:b/>
                <w:i/>
              </w:rPr>
              <w:t>lainakannan kestävää kasvua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IMF, heinäkuu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panee merkille, että EKP:n koronnostojen myötä</w:t>
            </w:r>
            <w:r>
              <w:t xml:space="preserve"> EU:n pankkien kannattavuus ja häiriönsietokyky ovat parantuneet merkittävästi</w:t>
            </w:r>
            <w:r>
              <w:rPr>
                <w:vertAlign w:val="superscript"/>
              </w:rPr>
              <w:t>14</w:t>
            </w:r>
            <w:r>
              <w:t xml:space="preserve">; </w:t>
            </w:r>
            <w:r>
              <w:rPr>
                <w:b/>
                <w:i/>
              </w:rPr>
              <w:t>korostaa, että tämä voi tukea välttämättömiä investointeja ja että valtiontukea saaviin laitoksiin on sovellettava tiukkoja rajoituksia osinkojen, takaisinostojen ja muuttuvien palkkioiden osalta</w:t>
            </w:r>
            <w:r>
              <w:t>;</w:t>
            </w:r>
          </w:p>
        </w:tc>
        <w:tc>
          <w:tcPr>
            <w:tcW w:w="4876" w:type="dxa"/>
            <w:tcBorders>
              <w:top w:val="nil"/>
              <w:left w:val="nil"/>
              <w:bottom w:val="nil"/>
              <w:right w:val="nil"/>
            </w:tcBorders>
          </w:tcPr>
          <w:p>
            <w:pPr>
              <w:pStyle w:val="Normal6a"/>
            </w:pPr>
            <w:r>
              <w:t>6.</w:t>
            </w:r>
            <w:r>
              <w:tab/>
            </w:r>
            <w:r>
              <w:rPr>
                <w:b/>
                <w:i/>
              </w:rPr>
              <w:t>pitää myönteisenä sitä, että</w:t>
            </w:r>
            <w:r>
              <w:t xml:space="preserve"> EU:n pankkien kannattavuus ja häiriönsietokyky ovat parantuneet merkittävästi</w:t>
            </w:r>
            <w:r>
              <w:rPr>
                <w:vertAlign w:val="superscript"/>
              </w:rPr>
              <w:t>14</w:t>
            </w:r>
            <w:r>
              <w:t xml:space="preserve">; </w:t>
            </w:r>
            <w:r>
              <w:rPr>
                <w:b/>
                <w:i/>
              </w:rPr>
              <w:t>panee kuitenkin merkille, että kannattavuusero muihin lainkäyttöalueisiin, erityisesti Yhdysvaltoihin, verrattuna ei ole poistunut;</w:t>
            </w:r>
            <w:r>
              <w:t xml:space="preserve"> </w:t>
            </w:r>
            <w:r>
              <w:rPr>
                <w:b/>
                <w:i/>
              </w:rPr>
              <w:t>katsoo, että kannattavuusero muihin oikeudenkäyttöalueisiin verrattuna johtuu sekä rakenteellisista että sääntelyyn liittyvistä syistä</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panee merkille, että </w:t>
            </w:r>
            <w:r>
              <w:rPr>
                <w:b/>
                <w:i/>
              </w:rPr>
              <w:t>EKP:n koronnostojen myötä EU:n pankkien</w:t>
            </w:r>
            <w:r>
              <w:t xml:space="preserve"> kannattavuus ja häiriönsietokyky </w:t>
            </w:r>
            <w:r>
              <w:rPr>
                <w:b/>
                <w:i/>
              </w:rPr>
              <w:t>ovat parantuneet merkittävästi</w:t>
            </w:r>
            <w:r>
              <w:rPr>
                <w:b/>
                <w:i/>
                <w:vertAlign w:val="superscript"/>
              </w:rPr>
              <w:t>14</w:t>
            </w:r>
            <w:r>
              <w:t xml:space="preserve">; korostaa, että tämä voi tukea </w:t>
            </w:r>
            <w:r>
              <w:rPr>
                <w:b/>
                <w:i/>
              </w:rPr>
              <w:t>välttämättömiä investointeja ja että valtiontukea saaviin laitoksiin on sovellettava tiukkoja rajoituksia osinkojen, takaisinostojen ja muuttuvien palkkioiden osalta</w:t>
            </w:r>
            <w:r>
              <w:t>;</w:t>
            </w:r>
          </w:p>
        </w:tc>
        <w:tc>
          <w:tcPr>
            <w:tcW w:w="4876" w:type="dxa"/>
            <w:tcBorders>
              <w:top w:val="nil"/>
              <w:left w:val="nil"/>
              <w:bottom w:val="nil"/>
              <w:right w:val="nil"/>
            </w:tcBorders>
          </w:tcPr>
          <w:p>
            <w:pPr>
              <w:pStyle w:val="Normal6a"/>
            </w:pPr>
            <w:r>
              <w:t>6.</w:t>
            </w:r>
            <w:r>
              <w:tab/>
            </w:r>
            <w:r>
              <w:t xml:space="preserve">panee merkille, että kannattavuus ja häiriönsietokyky </w:t>
            </w:r>
            <w:r>
              <w:rPr>
                <w:b/>
                <w:i/>
              </w:rPr>
              <w:t>pysyivät korkealla tasolla vuonna 2025</w:t>
            </w:r>
            <w:r>
              <w:t xml:space="preserve">; korostaa, että tämä </w:t>
            </w:r>
            <w:r>
              <w:rPr>
                <w:b/>
                <w:i/>
              </w:rPr>
              <w:t>kannattavuus</w:t>
            </w:r>
            <w:r>
              <w:t xml:space="preserve"> voi tukea </w:t>
            </w:r>
            <w:r>
              <w:rPr>
                <w:b/>
                <w:i/>
              </w:rPr>
              <w:t>kotitalouksien ja yritysten, erityisesti pk- ja startup-yritysten, sekä nuorten ammattilaisten rahoituksen saantia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IMF, heinäkuu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xml:space="preserve">; korostaa, että tämä voi tukea välttämättömiä investointeja ja että </w:t>
            </w:r>
            <w:r>
              <w:rPr>
                <w:b/>
                <w:i/>
              </w:rPr>
              <w:t>valtiontukea saaviin laitoksiin on sovellettava tiukkoja rajoituksia osinkojen, takaisinostojen ja muuttuvien palkkioiden osalta</w:t>
            </w:r>
            <w:r>
              <w:t>;</w:t>
            </w:r>
          </w:p>
        </w:tc>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korostaa, että tämä voi tukea välttämättömiä investointeja</w:t>
            </w:r>
            <w:r>
              <w:rPr>
                <w:b/>
                <w:i/>
              </w:rPr>
              <w:t>;</w:t>
            </w:r>
            <w:r>
              <w:t xml:space="preserve"> </w:t>
            </w:r>
            <w:r>
              <w:rPr>
                <w:b/>
                <w:i/>
              </w:rPr>
              <w:t>muistuttaa, että kannattavuuden kasvu on pääasiassa syklistä</w:t>
            </w:r>
            <w:r>
              <w:t xml:space="preserve"> ja että </w:t>
            </w:r>
            <w:r>
              <w:rPr>
                <w:b/>
                <w:i/>
              </w:rPr>
              <w:t>pankkien kilpailukyky on edelleen riippuvainen pankkiunionia, säästö- ja investointiunionia ja sisämarkkinoita koskevien rakenneuudistusten edistymisestä</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xml:space="preserve">; korostaa, että tämä voi tukea välttämättömiä investointeja </w:t>
            </w:r>
            <w:r>
              <w:rPr>
                <w:b/>
                <w:i/>
              </w:rPr>
              <w:t>ja että valtiontukea saaviin laitoksiin on sovellettava tiukkoja rajoituksia osinkojen, takaisinostojen ja muuttuvien palkkioiden osalta</w:t>
            </w:r>
            <w:r>
              <w:t>;</w:t>
            </w:r>
          </w:p>
        </w:tc>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korostaa, että tämä voi tukea välttämättömiä investointeja;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w:t>
            </w:r>
            <w:r>
              <w:rPr>
                <w:b/>
                <w:i/>
              </w:rPr>
              <w:t>"</w:t>
            </w:r>
            <w:r>
              <w:t>Bank Profits and Bank Taxes in the EU</w:t>
            </w:r>
            <w:r>
              <w:rPr>
                <w:b/>
                <w:i/>
              </w:rPr>
              <w:t>"</w:t>
            </w:r>
            <w:r>
              <w:t>, IMF, heinäkuu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xml:space="preserve">; korostaa, että tämä voi tukea välttämättömiä investointeja </w:t>
            </w:r>
            <w:r>
              <w:rPr>
                <w:b/>
                <w:i/>
              </w:rPr>
              <w:t>ja että valtiontukea saaviin laitoksiin on sovellettava tiukkoja rajoituksia osinkojen, takaisinostojen ja muuttuvien palkkioiden osalta</w:t>
            </w:r>
            <w:r>
              <w:t>;</w:t>
            </w:r>
          </w:p>
        </w:tc>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korostaa, että tämä voi tukea välttämättömiä investointeja;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xml:space="preserve">; korostaa, että tämä voi tukea välttämättömiä investointeja </w:t>
            </w:r>
            <w:r>
              <w:rPr>
                <w:b/>
                <w:i/>
              </w:rPr>
              <w:t>ja että valtiontukea saaviin laitoksiin on sovellettava tiukkoja rajoituksia osinkojen, takaisinostojen ja muuttuvien palkkioiden osalta</w:t>
            </w:r>
            <w:r>
              <w:t>;</w:t>
            </w:r>
          </w:p>
        </w:tc>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korostaa, että tämä voi tukea välttämättömiä investointeja;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panee merkille</w:t>
            </w:r>
            <w:r>
              <w:t>, että EKP:n koronnostojen myötä EU:n pankkien kannattavuus ja häiriönsietokyky ovat parantuneet merkittävästi</w:t>
            </w:r>
            <w:r>
              <w:rPr>
                <w:vertAlign w:val="superscript"/>
              </w:rPr>
              <w:t>14</w:t>
            </w:r>
            <w:r>
              <w:t>; korostaa, että tämä voi tukea välttämättömiä investointeja ja että valtiontukea saaviin laitoksiin on sovellettava tiukkoja rajoituksia osinkojen, takaisinostojen ja muuttuvien palkkioiden osalta;</w:t>
            </w:r>
          </w:p>
        </w:tc>
        <w:tc>
          <w:tcPr>
            <w:tcW w:w="4876" w:type="dxa"/>
            <w:tcBorders>
              <w:top w:val="nil"/>
              <w:left w:val="nil"/>
              <w:bottom w:val="nil"/>
              <w:right w:val="nil"/>
            </w:tcBorders>
          </w:tcPr>
          <w:p>
            <w:pPr>
              <w:pStyle w:val="Normal6a"/>
            </w:pPr>
            <w:r>
              <w:t>6.</w:t>
            </w:r>
            <w:r>
              <w:tab/>
            </w:r>
            <w:r>
              <w:rPr>
                <w:b/>
                <w:i/>
              </w:rPr>
              <w:t>toteaa</w:t>
            </w:r>
            <w:r>
              <w:t>, että EKP:n koronnostojen myötä EU:n pankkien kannattavuus ja häiriönsietokyky ovat parantuneet merkittävästi</w:t>
            </w:r>
            <w:r>
              <w:rPr>
                <w:vertAlign w:val="superscript"/>
              </w:rPr>
              <w:t>14</w:t>
            </w:r>
            <w:r>
              <w:t xml:space="preserve">; korostaa, että tämä voi tukea välttämättömiä investointeja ja että valtiontukea saaviin laitoksiin on sovellettava tiukkoja rajoituksia osinkojen, takaisinostojen ja muuttuvien palkkioiden osalta; </w:t>
            </w:r>
            <w:r>
              <w:rPr>
                <w:b/>
                <w:i/>
              </w:rPr>
              <w:t>tähdentää, että kestävä kannattavuus tukee pääoman karttumista, häiriöiden vaimentamiskykyä ja reaalitalouden rahoittamista;</w:t>
            </w:r>
            <w:r>
              <w:t xml:space="preserve"> </w:t>
            </w:r>
            <w:r>
              <w:rPr>
                <w:b/>
                <w:i/>
              </w:rPr>
              <w:t>muistuttaa, että kuten EKP:n viimeaikaisissa lausunnoissa kansallisista pankkimaksuista korostetaan, pankkituloihin perustuvat verot saattavat vähentää jakamattomia voittoja ja rajoittaa luottolaitosten kykyä kerryttää tai täydentää pääomapuskureita;</w:t>
            </w:r>
            <w:r>
              <w:t xml:space="preserve"> </w:t>
            </w:r>
            <w:r>
              <w:rPr>
                <w:b/>
                <w:i/>
              </w:rPr>
              <w:t>korostaa, että kaikkia pankkeihin vaikuttavia verotoimenpiteitä olisi jatkossakin sovellettava vain poikkeustapauksissa, minkä lisäksi niiden olisi oltava oikeasuhteisia ja väliaikaisia;</w:t>
            </w:r>
            <w:r>
              <w:t xml:space="preserve"> </w:t>
            </w:r>
            <w:r>
              <w:rPr>
                <w:b/>
                <w:i/>
              </w:rPr>
              <w:t>katsoo lisäksi, että se ei saisi heikentää rahoitusvakautta ja pankkien kykyä rahoittaa reaalitaloutta;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Ratnovski, </w:t>
            </w:r>
            <w:r>
              <w:rPr>
                <w:b/>
                <w:i/>
              </w:rPr>
              <w:t>"</w:t>
            </w:r>
            <w:r>
              <w:t>Bank Profits and Bank Taxes in the EU</w:t>
            </w:r>
            <w:r>
              <w:rPr>
                <w:b/>
                <w:i/>
              </w:rPr>
              <w:t>"</w:t>
            </w:r>
            <w:r>
              <w:t>, IMF, heinäkuu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korostaa, että tämä voi tukea välttämättömiä investointeja ja että valtiontukea saaviin laitoksiin on sovellettava tiukkoja rajoituksia osinkojen, takaisinostojen ja muuttuvien palkkioiden osalta;</w:t>
            </w:r>
          </w:p>
        </w:tc>
        <w:tc>
          <w:tcPr>
            <w:tcW w:w="4876" w:type="dxa"/>
            <w:tcBorders>
              <w:top w:val="nil"/>
              <w:left w:val="nil"/>
              <w:bottom w:val="nil"/>
              <w:right w:val="nil"/>
            </w:tcBorders>
          </w:tcPr>
          <w:p>
            <w:pPr>
              <w:pStyle w:val="Normal6a"/>
            </w:pPr>
            <w:r>
              <w:t>6.</w:t>
            </w:r>
            <w:r>
              <w:tab/>
            </w:r>
            <w:r>
              <w:t>panee merkille, että EKP:n koronnostojen myötä EU:n pankkien kannattavuus ja häiriönsietokyky ovat parantuneet merkittävästi</w:t>
            </w:r>
            <w:r>
              <w:rPr>
                <w:vertAlign w:val="superscript"/>
              </w:rPr>
              <w:t>14</w:t>
            </w:r>
            <w:r>
              <w:t xml:space="preserve">; korostaa, että tämä voi tukea välttämättömiä investointeja </w:t>
            </w:r>
            <w:r>
              <w:rPr>
                <w:b/>
                <w:i/>
              </w:rPr>
              <w:t>sekä eurooppalaisen talouden rahoittamista </w:t>
            </w:r>
            <w:r>
              <w:t>ja että valtiontukea saaviin laitoksiin on sovellettava tiukkoja rajoituksia osinkojen, takaisinostojen ja muuttuvien palkkioiden osalta;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IMF, heinäkuu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huomauttaa, että EU:n pankeilla on huomattavia pitkäaikaiseen valtionvelkaan, erityisesti kotimaiseen valtionvelkaan, liittyviä vastuita;</w:t>
            </w:r>
            <w:r>
              <w:t xml:space="preserve"> </w:t>
            </w:r>
            <w:r>
              <w:rPr>
                <w:b/>
                <w:i/>
              </w:rPr>
              <w:t>muistuttaa, että on tärkeää monipuolistaa näitä vastuita, jotta Euroopan pankkiala kestäisi paremmin epäsymmetrisiä finanssipoliittisia häiriöitä;</w:t>
            </w:r>
            <w:r>
              <w:t xml:space="preserve"> </w:t>
            </w:r>
            <w:r>
              <w:rPr>
                <w:b/>
                <w:i/>
              </w:rPr>
              <w:t>korostaa, että on tärkeää panna täytäntöön EU:n finanssipoliittiset säännöt, joilla pyritään takaamaan jäsenvaltioiden velkakestävyys ja monipuolistaminen ja siten vähentämään järjestelmäriskiä euroalueella;</w:t>
            </w:r>
            <w:r>
              <w:t xml:space="preserve"> </w:t>
            </w:r>
            <w:r>
              <w:rPr>
                <w:b/>
                <w:i/>
              </w:rPr>
              <w:t>muistuttaa, että vertailuarvona käytettävän yhteisen turvallisen sijoitusvälineen puuttuminen heikentää pääomamarkkinoiden ja pankkialan tehokkuutta;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kehottaa komissiota laatimaan suuntaviivat pankkien kohdennetulle solidaarisuusmaksulle, jossa otetaan huomioon viimeaikaiset voitot ja jolla varmistetaan oikeudenmukainen rahoitusosuus julkiseen talouteen ja tuetaan samalla häiriönsietokykyä ja rahoitusvakautta;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korostaa, että pankkiunionin asianmukainen toiminta ja uskottavuus riippuvat myös unionin kuluttajansuojalainsäädännön täydestä noudattamisesta ja tehokkaasta täytäntöönpanosta pankkialalla;</w:t>
            </w:r>
            <w:r>
              <w:t xml:space="preserve"> </w:t>
            </w:r>
            <w:r>
              <w:rPr>
                <w:b/>
                <w:i/>
              </w:rPr>
              <w:t>korostaa, että luottolaitosten on pidättäydyttävä kohtuuttomista sopimusehdoista ja kaupallisista käytännöistä erityisesti asunto- ja vähittäislainojen yhteydessä;</w:t>
            </w:r>
            <w:r>
              <w:t xml:space="preserve"> </w:t>
            </w:r>
            <w:r>
              <w:rPr>
                <w:b/>
                <w:i/>
              </w:rPr>
              <w:t>korostaa, että kuluttajilla, myös lainanottajilla, on oltava oikeus tehokkaaseen suojeluun, oikeusvarmuuteen ja tehokkaiden oikeussuojakeinojen saatavuuteen;</w:t>
            </w:r>
            <w:r>
              <w:t xml:space="preserve"> </w:t>
            </w:r>
            <w:r>
              <w:rPr>
                <w:b/>
                <w:i/>
              </w:rPr>
              <w:t>kehottaa tässä yhteydessä jäsenvaltioita ja toimivaltaisia viranomaisia varmistamaan vankat valvonta- ja täytäntöönpanotoimenpiteet rikkomistapauksissa;</w:t>
            </w:r>
            <w:r>
              <w:t xml:space="preserve"> </w:t>
            </w:r>
            <w:r>
              <w:rPr>
                <w:b/>
                <w:i/>
              </w:rPr>
              <w:t>korostaa lisäksi, että on tärkeää varmistaa alle 250 neliömetrin kokoisten pääasiallisten asuntojen asianmukainen suojelu erityisesti tapauksissa, joissa lainanottajat ovat jo maksaneet takaisin huomattavan osan, esimerkiksi 50 prosenttia alkuperäisestä lainasta;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korostaa, että kaikkien pankkialaan vaikuttavien kansallisten toimenpiteiden, myös solidaarisuusmaksujen, olisi oltava poikkeuksellisia ja oikeasuhteisia eivätkä ne saisi heikentää pankkien kykyä rahoittaa reaalitaloutta, tukea investointeja ja ylläpitää rahoitusvakautta;</w:t>
            </w:r>
            <w:r>
              <w:t xml:space="preserve"> </w:t>
            </w:r>
            <w:r>
              <w:rPr>
                <w:b/>
                <w:i/>
              </w:rPr>
              <w:t>kehottaa komissiota seuraamaan toimenpiteiden vaikutusta kilpailukykyyn ja rajatylittävään yhdentymiseen sisämarkkinoilla;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suhtautuu myönteisesti AMLAn tehtävään rahanpesun ja terrorismin rahoituksen torjunnan vahvistamisessa EU:ssa;</w:t>
            </w:r>
            <w:r>
              <w:t xml:space="preserve"> </w:t>
            </w:r>
            <w:r>
              <w:rPr>
                <w:b/>
                <w:i/>
              </w:rPr>
              <w:t>kannustaa yhdenmukaiseen täytäntöönpanoon, tehostettuun yhteistyöhön, tietojen jakamiseen ja koordinoituun täytäntöönpanon valvontaan kaikkialla EU:ssa;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suhtautuu </w:t>
            </w:r>
            <w:r>
              <w:rPr>
                <w:b/>
                <w:i/>
              </w:rPr>
              <w:t>myönteisesti</w:t>
            </w:r>
            <w:r>
              <w:t xml:space="preserve"> AMLAn tehtävään rahanpesun ja terrorismin rahoituksen torjunnan vahvistamisessa EU:ssa; kannustaa yhdenmukaiseen täytäntöönpanoon, tehostettuun yhteistyöhön, tietojen jakamiseen ja koordinoituun täytäntöönpanon valvontaan kaikkialla EU:ssa;</w:t>
            </w:r>
          </w:p>
        </w:tc>
        <w:tc>
          <w:tcPr>
            <w:tcW w:w="4876" w:type="dxa"/>
            <w:tcBorders>
              <w:top w:val="nil"/>
              <w:left w:val="nil"/>
              <w:bottom w:val="nil"/>
              <w:right w:val="nil"/>
            </w:tcBorders>
          </w:tcPr>
          <w:p>
            <w:pPr>
              <w:pStyle w:val="Normal6a"/>
            </w:pPr>
            <w:r>
              <w:t>8.</w:t>
            </w:r>
            <w:r>
              <w:tab/>
            </w:r>
            <w:r>
              <w:t xml:space="preserve">suhtautuu </w:t>
            </w:r>
            <w:r>
              <w:rPr>
                <w:b/>
                <w:i/>
              </w:rPr>
              <w:t>odottavasti</w:t>
            </w:r>
            <w:r>
              <w:t> AMLAn tehtävään rahanpesun ja terrorismin rahoituksen torjunnan vahvistamisessa EU:ssa; kannustaa yhdenmukaiseen täytäntöönpanoon, tehostettuun yhteistyöhön, tietojen jakamiseen ja koordinoituun täytäntöönpanon valvontaan kaikkialla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suhtautuu myönteisesti AMLAn tehtävään rahanpesun ja terrorismin rahoituksen torjunnan vahvistamisessa EU:ssa; kannustaa yhdenmukaiseen täytäntöönpanoon, tehostettuun yhteistyöhön, tietojen jakamiseen ja koordinoituun täytäntöönpanon valvontaan kaikkialla EU:ssa;</w:t>
            </w:r>
          </w:p>
        </w:tc>
        <w:tc>
          <w:tcPr>
            <w:tcW w:w="4876" w:type="dxa"/>
            <w:tcBorders>
              <w:top w:val="nil"/>
              <w:left w:val="nil"/>
              <w:bottom w:val="nil"/>
              <w:right w:val="nil"/>
            </w:tcBorders>
          </w:tcPr>
          <w:p>
            <w:pPr>
              <w:pStyle w:val="Normal6a"/>
            </w:pPr>
            <w:r>
              <w:t>8.</w:t>
            </w:r>
            <w:r>
              <w:tab/>
            </w:r>
            <w:r>
              <w:t xml:space="preserve">suhtautuu myönteisesti AMLAn tehtävään rahanpesun ja terrorismin rahoituksen torjunnan vahvistamisessa EU:ssa; kannustaa yhdenmukaiseen täytäntöönpanoon, tehostettuun yhteistyöhön, tietojen jakamiseen ja koordinoituun täytäntöönpanon valvontaan kaikkialla EU:ssa; </w:t>
            </w:r>
            <w:r>
              <w:rPr>
                <w:b/>
                <w:i/>
              </w:rPr>
              <w:t>korostaa, että AMLAn on noudatettava valvonta- ja sääntelytyössään suhteellisuusperiaatetta;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suhtautuu myönteisesti AMLAn tehtävään rahanpesun ja terrorismin rahoituksen torjunnan vahvistamisessa EU:ssa; kannustaa yhdenmukaiseen täytäntöönpanoon, tehostettuun yhteistyöhön, tietojen jakamiseen ja koordinoituun täytäntöönpanon valvontaan kaikkialla EU:ssa;</w:t>
            </w:r>
          </w:p>
        </w:tc>
        <w:tc>
          <w:tcPr>
            <w:tcW w:w="4876" w:type="dxa"/>
            <w:tcBorders>
              <w:top w:val="nil"/>
              <w:left w:val="nil"/>
              <w:bottom w:val="nil"/>
              <w:right w:val="nil"/>
            </w:tcBorders>
          </w:tcPr>
          <w:p>
            <w:pPr>
              <w:pStyle w:val="Normal6a"/>
            </w:pPr>
            <w:r>
              <w:t>8.</w:t>
            </w:r>
            <w:r>
              <w:tab/>
            </w:r>
            <w:r>
              <w:t xml:space="preserve">suhtautuu myönteisesti AMLAn tehtävään rahanpesun ja terrorismin rahoituksen torjunnan vahvistamisessa EU:ssa; kannustaa yhdenmukaiseen täytäntöönpanoon, tehostettuun yhteistyöhön, tietojen jakamiseen ja koordinoituun täytäntöönpanon valvontaan kaikkialla EU:ssa; </w:t>
            </w:r>
            <w:r>
              <w:rPr>
                <w:b/>
                <w:i/>
              </w:rPr>
              <w:t>muistuttaa, että koordinoidun, yksinkertaistetun ja oikeasuhteisen lähestymistavan olisi säilyttävä keskeisenä ohjaavana periaatteena AMLAn toisella tasolla tekemässä työssä;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suhtautuu myönteisesti AMLAn tehtävään rahanpesun ja terrorismin rahoituksen torjunnan vahvistamisessa EU:ssa; kannustaa yhdenmukaiseen täytäntöönpanoon, tehostettuun yhteistyöhön, tietojen jakamiseen ja koordinoituun täytäntöönpanon valvontaan kaikkialla EU:ssa;</w:t>
            </w:r>
          </w:p>
        </w:tc>
        <w:tc>
          <w:tcPr>
            <w:tcW w:w="4876" w:type="dxa"/>
            <w:tcBorders>
              <w:top w:val="nil"/>
              <w:left w:val="nil"/>
              <w:bottom w:val="nil"/>
              <w:right w:val="nil"/>
            </w:tcBorders>
          </w:tcPr>
          <w:p>
            <w:pPr>
              <w:pStyle w:val="Normal6a"/>
            </w:pPr>
            <w:r>
              <w:t>8.</w:t>
            </w:r>
            <w:r>
              <w:tab/>
            </w:r>
            <w:r>
              <w:t xml:space="preserve">suhtautuu myönteisesti AMLAn tehtävään rahanpesun ja terrorismin rahoituksen torjunnan vahvistamisessa EU:ssa; kannustaa yhdenmukaiseen täytäntöönpanoon, tehostettuun yhteistyöhön, tietojen jakamiseen ja koordinoituun täytäntöönpanon valvontaan kaikkialla EU:ssa </w:t>
            </w:r>
            <w:r>
              <w:rPr>
                <w:b/>
                <w:i/>
              </w:rPr>
              <w:t>ja kehottaa välttämään tarpeetonta sääntelyn päällekkäisyyttä ja liiallista hallinnollista rasitetta rahoituslaitoksille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suhtautuu myönteisesti AMLAn tehtävään rahanpesun ja terrorismin rahoituksen torjunnan vahvistamisessa EU:ssa; kannustaa yhdenmukaiseen täytäntöönpanoon, tehostettuun yhteistyöhön, tietojen jakamiseen ja koordinoituun täytäntöönpanon valvontaan kaikkialla EU:ssa;</w:t>
            </w:r>
          </w:p>
        </w:tc>
        <w:tc>
          <w:tcPr>
            <w:tcW w:w="4876" w:type="dxa"/>
            <w:tcBorders>
              <w:top w:val="nil"/>
              <w:left w:val="nil"/>
              <w:bottom w:val="nil"/>
              <w:right w:val="nil"/>
            </w:tcBorders>
          </w:tcPr>
          <w:p>
            <w:pPr>
              <w:pStyle w:val="Normal6a"/>
            </w:pPr>
            <w:r>
              <w:t>8.</w:t>
            </w:r>
            <w:r>
              <w:tab/>
            </w:r>
            <w:r>
              <w:t xml:space="preserve">suhtautuu myönteisesti AMLAn tehtävään rahanpesun ja terrorismin rahoituksen torjunnan vahvistamisessa EU:ssa; kannustaa yhdenmukaiseen täytäntöönpanoon, tehostettuun yhteistyöhön, tietojen jakamiseen ja koordinoituun täytäntöönpanon valvontaan kaikkialla EU:ssa; </w:t>
            </w:r>
            <w:r>
              <w:rPr>
                <w:b/>
                <w:i/>
              </w:rPr>
              <w:t>korostaa, että AMLAn sekä Euroopan valvontaviranomaisten ja vakavaraisuuden valvonnasta vastaavien viranomaisten on tehtävä tehokasta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painottaa tarvetta yksinkertaistaa pankkeja koskevaa EU:n sääntely-, valvonta- ja raportointikehystä, jotta voidaan poistaa monimutkaisuus, joka vaikuttaa tarpeettomasti eurooppalaisten pankkien kilpailukykyyn ja niiden kykyyn tarjota tehokkaasti palveluja reaalitaloudelle;</w:t>
            </w:r>
            <w:r>
              <w:t xml:space="preserve"> </w:t>
            </w:r>
            <w:r>
              <w:rPr>
                <w:b/>
                <w:i/>
              </w:rPr>
              <w:t>korostaa, että yksinkertaistamistoimet eivät saisi vaikuttaa pankkien häiriönsietokykyyn, rahoitusvakauteen tai kriisinratkaisukehyksen tuloksellisuuteen;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korostaa, että </w:t>
            </w:r>
            <w:r>
              <w:rPr>
                <w:b/>
                <w:i/>
              </w:rPr>
              <w:t>vankka, yhdenmukainen ja oikea-aikainen taloudellinen raportointi on olennaisen tärkeää valvonnan ja vakauden kannalta;</w:t>
            </w:r>
            <w:r>
              <w:t xml:space="preserve"> </w:t>
            </w:r>
            <w:r>
              <w:rPr>
                <w:b/>
                <w:i/>
              </w:rPr>
              <w:t>painottaa, että</w:t>
            </w:r>
            <w:r>
              <w:t xml:space="preserve"> yksinkertaistaminen ei saa heikentää vakavaraisuus-, kuluttajansuoja- tai vakausnormeja; kehottaa </w:t>
            </w:r>
            <w:r>
              <w:rPr>
                <w:b/>
                <w:i/>
              </w:rPr>
              <w:t>noudattamaan tasapainoista ja yhdennetympää lähestymistapaa, johon sisältyy yhteinen tietohakemisto ja pyyntörekisteri, jotta voidaan vähentää tarpeetonta monimutkaisuutta ja säilyttää samalla pankkiunionin kehyksen vakaus</w:t>
            </w:r>
            <w:r>
              <w:t>;</w:t>
            </w:r>
          </w:p>
        </w:tc>
        <w:tc>
          <w:tcPr>
            <w:tcW w:w="4876" w:type="dxa"/>
            <w:tcBorders>
              <w:top w:val="nil"/>
              <w:left w:val="nil"/>
              <w:bottom w:val="nil"/>
              <w:right w:val="nil"/>
            </w:tcBorders>
          </w:tcPr>
          <w:p>
            <w:pPr>
              <w:pStyle w:val="Normal6a"/>
            </w:pPr>
            <w:r>
              <w:t>9.</w:t>
            </w:r>
            <w:r>
              <w:tab/>
            </w:r>
            <w:r>
              <w:t xml:space="preserve">korostaa, että </w:t>
            </w:r>
            <w:r>
              <w:rPr>
                <w:b/>
                <w:i/>
              </w:rPr>
              <w:t>sääntelyn</w:t>
            </w:r>
            <w:r>
              <w:t xml:space="preserve"> yksinkertaistaminen ei saa heikentää vakavaraisuus-, kuluttajansuoja- tai vakausnormeja </w:t>
            </w:r>
            <w:r>
              <w:rPr>
                <w:b/>
                <w:i/>
              </w:rPr>
              <w:t>vaan normeista on tehtävä tehokkaampia ja oikeasuhtaisempia perimmäiseen tarkoitukseensa nähden</w:t>
            </w:r>
            <w:r>
              <w:t xml:space="preserve">; kehottaa </w:t>
            </w:r>
            <w:r>
              <w:rPr>
                <w:b/>
                <w:i/>
              </w:rPr>
              <w:t>käyttämään valvontatehtäviin enemmän digitaalisia ratkaisuja, erityisesti tekoälyä;</w:t>
            </w:r>
            <w:r>
              <w:t xml:space="preserve"> </w:t>
            </w:r>
            <w:r>
              <w:rPr>
                <w:b/>
                <w:i/>
              </w:rPr>
              <w:t>kannustaa valvojia ja sääntelyviranomaisia vähentämään säännellyille yhteisöille sääntöjen noudattamisesta ja raportoinnista aiheutuvia kustannuksia lisäämällä tietojen jakamista eri viranomaisten välillä ja kartoittamalla tekoälyn mahdollisuutta siirtyä ns. työntömallista, jossa valvotut laitokset toimittavat itse tiedot valvojalle, ns. vetomalliin, jossa valvojalle annetaan pääsy valvottujen laitosten tietojärjestelmiin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korostaa, että vankka, yhdenmukainen ja oikea-aikainen taloudellinen raportointi on olennaisen tärkeää valvonnan ja vakauden kannalta; painottaa</w:t>
            </w:r>
            <w:r>
              <w:rPr>
                <w:b/>
                <w:i/>
              </w:rPr>
              <w:t>, että yksinkertaistaminen ei saa heikentää</w:t>
            </w:r>
            <w:r>
              <w:t xml:space="preserve"> vakavaraisuus-, kuluttajansuoja- tai </w:t>
            </w:r>
            <w:r>
              <w:rPr>
                <w:b/>
                <w:i/>
              </w:rPr>
              <w:t>vakausnormeja</w:t>
            </w:r>
            <w:r>
              <w:t xml:space="preserve">; kehottaa noudattamaan tasapainoista ja yhdennetympää lähestymistapaa, </w:t>
            </w:r>
            <w:r>
              <w:rPr>
                <w:b/>
                <w:i/>
              </w:rPr>
              <w:t>johon sisältyy yhteinen tietohakemisto ja pyyntörekisteri</w:t>
            </w:r>
            <w:r>
              <w:t xml:space="preserve">, jotta voidaan vähentää </w:t>
            </w:r>
            <w:r>
              <w:rPr>
                <w:b/>
                <w:i/>
              </w:rPr>
              <w:t>tarpeetonta monimutkaisuutta ja säilyttää samalla pankkiunionin kehyksen vakaus</w:t>
            </w:r>
            <w:r>
              <w:t>;</w:t>
            </w:r>
          </w:p>
        </w:tc>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painottaa </w:t>
            </w:r>
            <w:r>
              <w:rPr>
                <w:b/>
                <w:i/>
              </w:rPr>
              <w:t>oikeusvarmuuden, ennakoitavuuden ja vakauden merkitystä pankkialalle;</w:t>
            </w:r>
            <w:r>
              <w:t xml:space="preserve"> </w:t>
            </w:r>
            <w:r>
              <w:rPr>
                <w:b/>
                <w:i/>
              </w:rPr>
              <w:t>korostaa tässä yhteydessä, että tarvitaan lisätoimenpiteitä, joilla edistetään digitalisaatiota ja yksinkertaistamista säilyttäen samalla</w:t>
            </w:r>
            <w:r>
              <w:t xml:space="preserve"> vakavaraisuus-, kuluttajansuoja- tai </w:t>
            </w:r>
            <w:r>
              <w:rPr>
                <w:b/>
                <w:i/>
              </w:rPr>
              <w:t>vakausnormit</w:t>
            </w:r>
            <w:r>
              <w:t xml:space="preserve">; kehottaa noudattamaan tasapainoista ja yhdennetympää lähestymistapaa, </w:t>
            </w:r>
            <w:r>
              <w:rPr>
                <w:b/>
                <w:i/>
              </w:rPr>
              <w:t>esimerkiksi toimintamallia, joka perustuu keskitettyihin datakeskuksiin, jotka pohjautuvat standardoituihin määritelmiin ja jotka jaetaan viranomaisten kesken</w:t>
            </w:r>
            <w:r>
              <w:t xml:space="preserve">, jotta voidaan vähentää </w:t>
            </w:r>
            <w:r>
              <w:rPr>
                <w:b/>
                <w:i/>
              </w:rPr>
              <w:t>päällekkäisyyksiä, parantaa tietojen laatua ja keventää pankeille aiheutuvana hallinnollista taakkaa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w:t>
            </w:r>
            <w:r>
              <w:rPr>
                <w:b/>
                <w:i/>
              </w:rPr>
              <w:t>painottaa, että yksinkertaistaminen ei saa heikentää vakavaraisuus-, kuluttajansuoja- tai vakausnormeja;</w:t>
            </w:r>
            <w:r>
              <w:t xml:space="preserve"> </w:t>
            </w:r>
            <w:r>
              <w:rPr>
                <w:b/>
                <w:i/>
              </w:rPr>
              <w:t>kehottaa noudattamaan tasapainoista ja yhdennetympää lähestymistapaa, johon sisältyy yhteinen tietohakemisto ja pyyntörekisteri, jotta voidaan vähentää tarpeetonta monimutkaisuutta ja säilyttää samalla pankkiunionin kehyksen vakaus</w:t>
            </w:r>
            <w:r>
              <w:t>;</w:t>
            </w:r>
          </w:p>
        </w:tc>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w:t>
            </w:r>
            <w:r>
              <w:rPr>
                <w:b/>
                <w:i/>
              </w:rPr>
              <w:t>panee kuitenkin merkille yksinkertaistamisen tarpeen erityisesti pienempien yhteisöjen kohdalla;</w:t>
            </w:r>
            <w:r>
              <w:t xml:space="preserve"> </w:t>
            </w:r>
            <w:r>
              <w:rPr>
                <w:b/>
                <w:i/>
              </w:rPr>
              <w:t>katsoo, että tämän alan vaatimusten olisi oltava oikeasuhteisia ja Euroopan pankkialan erityispiirteisiin mukautettuja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painottaa, että </w:t>
            </w:r>
            <w:r>
              <w:rPr>
                <w:b/>
                <w:i/>
              </w:rPr>
              <w:t>yksinkertaistaminen ei saa heikentää</w:t>
            </w:r>
            <w:r>
              <w:t xml:space="preserve"> vakavaraisuus-, kuluttajansuoja- tai vakausnormeja; </w:t>
            </w:r>
            <w:r>
              <w:rPr>
                <w:b/>
                <w:i/>
              </w:rPr>
              <w:t>kehottaa noudattamaan tasapainoista ja yhdennetympää lähestymistapaa, johon sisältyy yhteinen tietohakemisto ja pyyntörekisteri, jotta voidaan vähentää tarpeetonta monimutkaisuutta ja säilyttää samalla pankkiunionin kehyksen vakaus;</w:t>
            </w:r>
          </w:p>
        </w:tc>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painottaa, että </w:t>
            </w:r>
            <w:r>
              <w:rPr>
                <w:b/>
                <w:i/>
              </w:rPr>
              <w:t>yksinkertaistamisessa olisi keskityttävä poistamaan päällekkäisyyksiä ja tarpeetonta monimutkaisuutta heikentämättä</w:t>
            </w:r>
            <w:r>
              <w:t xml:space="preserve"> vakavaraisuus-, kuluttajansuoja- tai vakausnormeja;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w:t>
            </w:r>
            <w:r>
              <w:rPr>
                <w:b/>
                <w:i/>
              </w:rPr>
              <w:t>painottaa, että yksinkertaistaminen ei saa heikentää vakavaraisuus-, kuluttajansuoja- tai vakausnormeja;</w:t>
            </w:r>
            <w:r>
              <w:t xml:space="preserve"> kehottaa noudattamaan tasapainoista ja yhdennetympää lähestymistapaa, johon sisältyy yhteinen tietohakemisto ja pyyntörekisteri, jotta voidaan vähentää tarpeetonta monimutkaisuutta ja säilyttää samalla pankkiunionin kehyksen vakaus;</w:t>
            </w:r>
          </w:p>
        </w:tc>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kehottaa noudattamaan </w:t>
            </w:r>
            <w:r>
              <w:rPr>
                <w:b/>
                <w:i/>
              </w:rPr>
              <w:t>valvontaraportoinnissa</w:t>
            </w:r>
            <w:r>
              <w:t xml:space="preserve"> tasapainoista</w:t>
            </w:r>
            <w:r>
              <w:rPr>
                <w:b/>
                <w:i/>
              </w:rPr>
              <w:t>, kevyempää</w:t>
            </w:r>
            <w:r>
              <w:t xml:space="preserve"> ja yhdennetympää lähestymistapaa, johon sisältyy yhteinen tietohakemisto ja pyyntörekisteri, jotta voidaan vähentää tarpeetonta monimutkaisuutta ja säilyttää samalla pankkiunionin kehyksen vakaus;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painottaa, että yksinkertaistaminen ei saa heikentää </w:t>
            </w:r>
            <w:r>
              <w:rPr>
                <w:b/>
                <w:i/>
              </w:rPr>
              <w:t>vakavaraisuus-,</w:t>
            </w:r>
            <w:r>
              <w:t xml:space="preserve"> kuluttajansuoja- tai vakausnormeja; kehottaa noudattamaan tasapainoista ja yhdennetympää lähestymistapaa, johon sisältyy yhteinen tietohakemisto ja pyyntörekisteri, jotta voidaan vähentää tarpeetonta monimutkaisuutta ja säilyttää samalla pankkiunionin kehyksen vakaus;</w:t>
            </w:r>
          </w:p>
        </w:tc>
        <w:tc>
          <w:tcPr>
            <w:tcW w:w="4876" w:type="dxa"/>
            <w:tcBorders>
              <w:top w:val="nil"/>
              <w:left w:val="nil"/>
              <w:bottom w:val="nil"/>
              <w:right w:val="nil"/>
            </w:tcBorders>
          </w:tcPr>
          <w:p>
            <w:pPr>
              <w:pStyle w:val="Normal6a"/>
            </w:pPr>
            <w:r>
              <w:t>9.</w:t>
            </w:r>
            <w:r>
              <w:tab/>
            </w:r>
            <w:r>
              <w:t xml:space="preserve">korostaa, että vankka, yhdenmukainen ja oikea-aikainen taloudellinen raportointi on olennaisen tärkeää valvonnan ja vakauden kannalta; painottaa, että yksinkertaistaminen ei saa heikentää </w:t>
            </w:r>
            <w:r>
              <w:rPr>
                <w:b/>
                <w:i/>
              </w:rPr>
              <w:t>häiriönkestävyyttä koskevia vakavaraisuusnormeja tai</w:t>
            </w:r>
            <w:r>
              <w:t xml:space="preserve"> kuluttajansuoja- tai vakausnormeja; kehottaa noudattamaan tasapainoista ja yhdennetympää lähestymistapaa, johon sisältyy yhteinen tietohakemisto ja pyyntörekisteri, jotta voidaan vähentää tarpeetonta monimutkaisuutta ja säilyttää samalla pankkiunionin kehyksen vakaus;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panee merkille, että pankkialalla on ollut lukuisia päällekkäisiä, hajanaisia ja toisinaan ristiriitaisia sääntöjä;</w:t>
            </w:r>
            <w:r>
              <w:t xml:space="preserve"> </w:t>
            </w:r>
            <w:r>
              <w:rPr>
                <w:b/>
                <w:i/>
              </w:rPr>
              <w:t>suhtautuu myönteisesti siihen, että komissio aikoo tehdä vuonna 2026 EU:n pankkialan kilpailukykyä koskevan kattavan uudelleentarkastelun;</w:t>
            </w:r>
            <w:r>
              <w:t xml:space="preserve"> </w:t>
            </w:r>
            <w:r>
              <w:rPr>
                <w:b/>
                <w:i/>
              </w:rPr>
              <w:t>kehottaa komissiota vähentämään pankkialalle aiheutuvaa tarpeetonta sääntelytaakkaa, jotta ei heikennetä alan kilpailukykyä;</w:t>
            </w:r>
            <w:r>
              <w:t xml:space="preserve"> </w:t>
            </w:r>
            <w:r>
              <w:rPr>
                <w:b/>
                <w:i/>
              </w:rPr>
              <w:t>kehottaa tässä yhteydessä komissiota ottamaan käyttöön kilpailukykytarkastukset kaikkien uusien lainsäädäntöehdotusten yhteydessä, virtaviivaistamaan lainsäädäntöprosesseja, kuten vähentämään automaattisten uudelleentarkastelulausekkeiden määrää, ja keskeyttämään muiden kuin keskeisten uusien sääntöjen soveltamisen sekä poistamaan järjestelmällisesti kaikki tarpeettomat raportointi- tai julkistamisvelvoitteet;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kehottaa toimimaan sen eteen, että valvontaviranomaiset välttäisivät asettamasta kohtuuttomia rajoituksia sellaisten innovatiivisten digitaalisten välineiden soveltamiselle, joilla voidaan parantaa tuottavuutta ja kilpailukykyä yleisesti;</w:t>
            </w:r>
            <w:r>
              <w:t xml:space="preserve"> </w:t>
            </w:r>
            <w:r>
              <w:rPr>
                <w:b/>
                <w:i/>
              </w:rPr>
              <w:t>kannustaa noudattamaan periaatteellista ja oikeasuhteista lähestymistapaa ja välttämään asettamasta esteitä innovoinnille;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suhtautuu myönteisesti yksinkertaistamista käsittelevään EKP:n korkean tason työryhmään;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c.</w:t>
            </w:r>
            <w:r>
              <w:tab/>
            </w:r>
            <w:r>
              <w:rPr>
                <w:b/>
                <w:i/>
              </w:rPr>
              <w:t>korostaa, että on tärkeää varmistaa oikeasuhteisuus EU:n pankkialan sääntelykehyksessä ja ottaa huomioon erot laitosten koossa ja monimutkaisuudessa;</w:t>
            </w:r>
            <w:r>
              <w:t xml:space="preserve"> </w:t>
            </w:r>
            <w:r>
              <w:rPr>
                <w:b/>
                <w:i/>
              </w:rPr>
              <w:t>korostaa pienten pankkien merkitystä pk-yritysten ja paikallisten talouksien tukemisessa ja kehottaa komissiota huolehtimaan siitä, että sääntely säilyy riskiherkkänä, tasapainoisena ja sellaisena, että se tukee monimuotoista ja kilpailukykyistä pankkialaa kaikkialla unionissa;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panee merkille institutionaalisen </w:t>
            </w:r>
            <w:r>
              <w:rPr>
                <w:b/>
                <w:i/>
              </w:rPr>
              <w:t>ja sääntelyyn liittyvän edistyksen, joka on vahvistanut euroalueen pankkien häiriönsietokykyä</w:t>
            </w:r>
            <w:r>
              <w:t xml:space="preserve">; toteaa, että </w:t>
            </w:r>
            <w:r>
              <w:rPr>
                <w:b/>
                <w:i/>
              </w:rPr>
              <w:t>EU:n rahoituspalvelujen sisämarkkinoiden täyden potentiaalin hyödyntämisen tiellä on</w:t>
            </w:r>
            <w:r>
              <w:t xml:space="preserve"> edelleen </w:t>
            </w:r>
            <w:r>
              <w:rPr>
                <w:b/>
                <w:i/>
              </w:rPr>
              <w:t>esteitä;</w:t>
            </w:r>
            <w:r>
              <w:t xml:space="preserve"> </w:t>
            </w:r>
            <w:r>
              <w:rPr>
                <w:b/>
                <w:i/>
              </w:rPr>
              <w:t>kehottaa komissiota, jäsenvaltioita ja EU:n elimiä sovittamaan yhteen tavoitteet ja konkreettiset toimet, jotta voidaan saattaa valmiiksi säästö- ja investointiunioni ja sisämarkkinat ja edistää siten yksinkertaistamista ja kilpailukykyä</w:t>
            </w:r>
            <w:r>
              <w:t>;</w:t>
            </w:r>
          </w:p>
        </w:tc>
        <w:tc>
          <w:tcPr>
            <w:tcW w:w="4876" w:type="dxa"/>
            <w:tcBorders>
              <w:top w:val="nil"/>
              <w:left w:val="nil"/>
              <w:bottom w:val="nil"/>
              <w:right w:val="nil"/>
            </w:tcBorders>
          </w:tcPr>
          <w:p>
            <w:pPr>
              <w:pStyle w:val="Normal6a"/>
            </w:pPr>
            <w:r>
              <w:t>10.</w:t>
            </w:r>
            <w:r>
              <w:tab/>
            </w:r>
            <w:r>
              <w:t xml:space="preserve">panee merkille </w:t>
            </w:r>
            <w:r>
              <w:rPr>
                <w:b/>
                <w:i/>
              </w:rPr>
              <w:t>häiriönsietokykyyn liittyvän</w:t>
            </w:r>
            <w:r>
              <w:t xml:space="preserve"> institutionaalisen </w:t>
            </w:r>
            <w:r>
              <w:rPr>
                <w:b/>
                <w:i/>
              </w:rPr>
              <w:t>kehityksen</w:t>
            </w:r>
            <w:r>
              <w:t xml:space="preserve">; toteaa, että </w:t>
            </w:r>
            <w:r>
              <w:rPr>
                <w:b/>
                <w:i/>
              </w:rPr>
              <w:t>sääntelyn jatkuva lisääntyminen heikentää</w:t>
            </w:r>
            <w:r>
              <w:t xml:space="preserve"> edelleen </w:t>
            </w:r>
            <w:r>
              <w:rPr>
                <w:b/>
                <w:i/>
              </w:rPr>
              <w:t>Euroopan pankkialan todellista potentiaalia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panee merkille institutionaalisen ja sääntelyyn liittyvän edistyksen, joka on vahvistanut </w:t>
            </w:r>
            <w:r>
              <w:rPr>
                <w:b/>
                <w:i/>
              </w:rPr>
              <w:t>euroalueen</w:t>
            </w:r>
            <w:r>
              <w:t xml:space="preserve"> pankkien häiriönsietokykyä; toteaa, että EU:n rahoituspalvelujen sisämarkkinoiden täyden potentiaalin hyödyntämisen tiellä on edelleen esteitä; kehottaa komissiota, jäsenvaltioita ja EU:n elimiä sovittamaan yhteen tavoitteet ja konkreettiset toimet, jotta voidaan saattaa valmiiksi säästö- ja investointiunioni ja sisämarkkinat </w:t>
            </w:r>
            <w:r>
              <w:rPr>
                <w:b/>
                <w:i/>
              </w:rPr>
              <w:t>ja edistää siten yksinkertaistamista ja kilpailukykyä</w:t>
            </w:r>
            <w:r>
              <w:t>;</w:t>
            </w:r>
          </w:p>
        </w:tc>
        <w:tc>
          <w:tcPr>
            <w:tcW w:w="4876" w:type="dxa"/>
            <w:tcBorders>
              <w:top w:val="nil"/>
              <w:left w:val="nil"/>
              <w:bottom w:val="nil"/>
              <w:right w:val="nil"/>
            </w:tcBorders>
          </w:tcPr>
          <w:p>
            <w:pPr>
              <w:pStyle w:val="Normal6a"/>
            </w:pPr>
            <w:r>
              <w:t>10.</w:t>
            </w:r>
            <w:r>
              <w:tab/>
            </w:r>
            <w:r>
              <w:t xml:space="preserve">panee merkille institutionaalisen ja sääntelyyn liittyvän edistyksen, joka on vahvistanut </w:t>
            </w:r>
            <w:r>
              <w:rPr>
                <w:b/>
                <w:i/>
              </w:rPr>
              <w:t>EU:n</w:t>
            </w:r>
            <w:r>
              <w:t xml:space="preserve"> pankkien häiriönsietokykyä; toteaa, että EU:n rahoituspalvelujen sisämarkkinoiden täyden potentiaalin hyödyntämisen tiellä on edelleen esteitä; kehottaa komissiota, jäsenvaltioita ja EU:n elimiä sovittamaan yhteen tavoitteet ja konkreettiset toimet, jotta voidaan saattaa valmiiksi säästö- ja investointiunioni ja sisämarkkinat</w:t>
            </w:r>
            <w:r>
              <w:rPr>
                <w:b/>
                <w:i/>
              </w:rPr>
              <w:t>, kun tavoitteena on saada liikkeelle oikeudenmukaiseen vihreään siirtymään tarvittavat investoinnit</w:t>
            </w:r>
            <w:r>
              <w:t xml:space="preserve">; </w:t>
            </w:r>
            <w:r>
              <w:rPr>
                <w:b/>
                <w:i/>
              </w:rPr>
              <w:t>painottaa luokitusjärjestelmäasetuksen merkitystä tällaisen pyrkimyksen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panee merkille institutionaalisen ja sääntelyyn liittyvän edistyksen, joka on vahvistanut euroalueen pankkien häiriönsietokykyä; toteaa, että EU:n rahoituspalvelujen sisämarkkinoiden täyden potentiaalin hyödyntämisen tiellä on edelleen esteitä; kehottaa komissiota, jäsenvaltioita ja EU:n elimiä sovittamaan yhteen tavoitteet ja konkreettiset toimet, jotta voidaan saattaa valmiiksi säästö- ja investointiunioni ja sisämarkkinat ja edistää siten yksinkertaistamista ja kilpailukykyä;</w:t>
            </w:r>
          </w:p>
        </w:tc>
        <w:tc>
          <w:tcPr>
            <w:tcW w:w="4876" w:type="dxa"/>
            <w:tcBorders>
              <w:top w:val="nil"/>
              <w:left w:val="nil"/>
              <w:bottom w:val="nil"/>
              <w:right w:val="nil"/>
            </w:tcBorders>
          </w:tcPr>
          <w:p>
            <w:pPr>
              <w:pStyle w:val="Normal6a"/>
            </w:pPr>
            <w:r>
              <w:t>10.</w:t>
            </w:r>
            <w:r>
              <w:tab/>
            </w:r>
            <w:r>
              <w:t xml:space="preserve">panee merkille institutionaalisen ja sääntelyyn liittyvän edistyksen, joka on vahvistanut euroalueen pankkien häiriönsietokykyä; toteaa, että EU:n rahoituspalvelujen sisämarkkinoiden täyden potentiaalin hyödyntämisen tiellä on edelleen </w:t>
            </w:r>
            <w:r>
              <w:rPr>
                <w:b/>
                <w:i/>
              </w:rPr>
              <w:t>merkittäviä</w:t>
            </w:r>
            <w:r>
              <w:t xml:space="preserve"> esteitä; kehottaa komissiota, jäsenvaltioita ja EU:n elimiä sovittamaan yhteen tavoitteet ja konkreettiset toimet, jotta voidaan saattaa valmiiksi säästö- ja investointiunioni ja sisämarkkinat ja edistää siten yksinkertaistamista ja kilpailukykyä; </w:t>
            </w:r>
            <w:r>
              <w:rPr>
                <w:b/>
                <w:i/>
              </w:rPr>
              <w:t>kehottaa komissiota laatimaan EU:n pankkialan kilpailukykyä koskevan vuoden 2026 kertomuksensa kunnianhimoiseksi ja uskaliaaksi ja kehottaa sitä menemään pelkkää yksinkertaistamista pidemmälle ja esittämään konkreettisia ja toteuttamiskelpoisia ehdotuksia markkinoiden yhdentymisen, kansainvälisten tasapuolisten toimintaedellytysten ja eurooppalaisten pankkien kilpailukyvyn vahvistamiseksi;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korostaa, että kun otetaan huomioon vallitseva geopoliittinen epävarmuus, mahdollisesti yliarvostetut osakemarkkinat ja viimeaikaiset levottomuudet Yhdysvalloissa pankkisektorin ulkopuolisen alan (yksityisen luotonannon) läpinäkymättömyyden vuoksi, valvojien olisi säilytettävä tulevaisuuteen suuntautuva näkökulma ja seurattava riskejä riittävästi ja että pankkien olisi ylläpidettävä riittäviä pääomapuskureita ja oltava toiminnallisesti häiriönsietokykyisiä;</w:t>
            </w:r>
            <w:r>
              <w:t xml:space="preserve"> </w:t>
            </w:r>
            <w:r>
              <w:rPr>
                <w:b/>
                <w:i/>
              </w:rPr>
              <w:t>korostaa tässä yhteydessä tarvetta parantaa pankkisektorin ulkopuolisten rahoituksen välittäjien valvontaa ja häiriönsietokykyä;</w:t>
            </w:r>
            <w:r>
              <w:t xml:space="preserve"> </w:t>
            </w:r>
            <w:r>
              <w:rPr>
                <w:b/>
                <w:i/>
              </w:rPr>
              <w:t>korostaa, että tarkalla valvonnalla nyt voidaan suojella veronmaksajia, tallettajia ja reaalitaloutta tappioilta tulevaisuudessa;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kannustaa lisäämään tekoälyn käyttöä pankkialalla ja ottaa huomioon sen mahdollisuudet parantaa tehokkuutta, innovointia ja kuluttajapalveluja sekä tehostaa petostentorjuntaa;</w:t>
            </w:r>
            <w:r>
              <w:t xml:space="preserve"> </w:t>
            </w:r>
            <w:r>
              <w:rPr>
                <w:b/>
                <w:i/>
              </w:rPr>
              <w:t>korostaa, että EU:n sääntely ei saa muodostua teknologisen innovoinnin ja innovaatioiden käyttöönoton esteeksi pankkialalla, joten se ei saa luoda markkinatoimijoiden keskuudessa epävarmuutta ja sekaannusta siitä, miten tekoälyä saa käyttää;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panee tyytyväisenä merkille joulukuussa 2025 annetun EKP:n kertomuksen vakavaraisuutta koskevan eurooppalaisen sääntely-, valvonta- ja raportointikehyksen yksinkertaistamisesta sekä EPV:n kertomuksen sääntely- ja valvontakehyksen tehokkuudesta;</w:t>
            </w:r>
            <w:r>
              <w:t xml:space="preserve"> </w:t>
            </w:r>
            <w:r>
              <w:rPr>
                <w:b/>
                <w:i/>
              </w:rPr>
              <w:t>kehottaa komissiota toteuttamaan jatkotoimia näihin kertomuksiin sisältyvien ehdotusten johdosta ja laatimaan ehdotuksia edelleen osana tulevaa pankkiunionin kilpailukykyä koskevaa uudelleentarkasteluaan;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kehottaa EKP:tä ryhtymään asianmukaisiin toimenpiteisiin poistaakseen esteet, jotka haittaavat pankkien välisten lyhyen aikavälin vakuudettomien markkinoiden elpymistä suuren rahoituskriisin aiheuttamasta taantumasta;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katsoo, että ”liian suuri kaatumaan” -perusongelmaa ei ole käsitelty asianmukaisesti ja että rakenneuudistus on edelleen perusteltu;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panee tyytyväisenä merkille komission aikomuksen arvioida Euroopan pankkialan kilpailukykyä vuonna 2026;</w:t>
            </w:r>
            <w:r>
              <w:t xml:space="preserve"> </w:t>
            </w:r>
            <w:r>
              <w:rPr>
                <w:b/>
                <w:i/>
              </w:rPr>
              <w:t>kehottaa komissiota esittämään kunnianhimoisen kertomuksen, johon liitetään lainsäädäntöehdotuksia Euroopan pankkialan kilpailukyvyn parantamiseksi olennaisesti;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kannustaa EKP:tä poistamaan rajatylittävien pankkien sulautumisten tiellä vielä mahdollisesti olevat esteet ja samalla varmistamaan rahoitusvakautta ja edistämään Euroopan pankkimarkkinoiden yhdentymistä;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c.</w:t>
            </w:r>
            <w:r>
              <w:tab/>
            </w:r>
            <w:r>
              <w:rPr>
                <w:b/>
                <w:i/>
              </w:rPr>
              <w:t>korostaa, että EU:n pankkialan säännöt on mitoitettava paremmin laitosten kokoon, liiketoimintamalliin, monimutkaisuuteen ja riskiprofiiliin;</w:t>
            </w:r>
            <w:r>
              <w:t xml:space="preserve"> </w:t>
            </w:r>
            <w:r>
              <w:rPr>
                <w:b/>
                <w:i/>
              </w:rPr>
              <w:t>korostaa, että muut merkittävät lainkäyttöalueet ovat valinneet pienille pankeille erillisen ja oikeasuhteisemman järjestelmän;</w:t>
            </w:r>
            <w:r>
              <w:t xml:space="preserve"> </w:t>
            </w:r>
            <w:r>
              <w:rPr>
                <w:b/>
                <w:i/>
              </w:rPr>
              <w:t>kehottaa komissiota käyttämään tulevaa pankkien kilpailukyvyn uudelleentarkastelua tilaisuutena kehittää pienille pankeille, jotka eivät toimi kansainvälisesti, todellinen pieniä pankkeja koskeva järjestelmä, joka on olennaisesti kevyempi kuin erittäin monimutkaiset vakavaraisuus- ja valvontavaatimukset, joita nykyisellään sovelletaan kaikkiin eurooppalaisiin pankkeihin vaikka ne on suunniteltu ensisijaisesti suuria, kansainvälisesti toimivia ja järjestelmän kannalta merkityksellisiä pankkiryhmiä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c.</w:t>
            </w:r>
            <w:r>
              <w:tab/>
            </w:r>
            <w:r>
              <w:rPr>
                <w:b/>
                <w:i/>
              </w:rPr>
              <w:t>toteaa, että pankkialaan vaikuttava sääntely voisi olla oikeasuhteisempaa, ja pitää valitettavana, että pieniin pankkeihin kohdistuu liiallinen rasite, joka haittaa kasvua ja kilpailukyvyn parantamista; kannustaa suunnittelemaan pienille pankeille tarkoitetun todellisen säännöstön, johon ne voivat osallistua;</w:t>
            </w:r>
            <w:r>
              <w:t xml:space="preserve"> </w:t>
            </w:r>
            <w:r>
              <w:rPr>
                <w:b/>
                <w:i/>
              </w:rPr>
              <w:t>katsoo, että ehdotetulla pieniä pankkeja koskevalla järjestelmällä on vastattava näiden pankkien tarpeisiin oikeasuhteisemmalla sääntelyllä, jollainen on jo pantu täytäntöön muilla lainkäyttöalueilla ja maailmanlaajuisissa rahoituskeskuksissa;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d.</w:t>
            </w:r>
            <w:r>
              <w:tab/>
            </w:r>
            <w:r>
              <w:rPr>
                <w:b/>
                <w:i/>
              </w:rPr>
              <w:t>panee huolestuneena merkille, että pankkien kotimaiseen valtionvelkaan liittyvät vastuut ovat edelleen erittäin suuria;</w:t>
            </w:r>
            <w:r>
              <w:t xml:space="preserve"> </w:t>
            </w:r>
            <w:r>
              <w:rPr>
                <w:b/>
                <w:i/>
              </w:rPr>
              <w:t>palauttaa mieliin, että pankkien ja valtion riskien välisen yhteyden katkaiseminen on edelleen haaste pankkiunionille;</w:t>
            </w:r>
            <w:r>
              <w:t xml:space="preserve"> </w:t>
            </w:r>
            <w:r>
              <w:rPr>
                <w:b/>
                <w:i/>
              </w:rPr>
              <w:t>korostaa, että pankkien taseisiin liittyvää riskiä voidaan vähentää edelleen valtiovastuiden sopivamman sääntelykohtelun avulla;</w:t>
            </w:r>
            <w:r>
              <w:t xml:space="preserve"> </w:t>
            </w:r>
            <w:r>
              <w:rPr>
                <w:b/>
                <w:i/>
              </w:rPr>
              <w:t>kehottaa komissiota esittämään lainsäädäntöehdotuksen, jolla otetaan käyttöön valtiovastuiden asianmukaiset riskipainot;</w:t>
            </w:r>
            <w:r>
              <w:t xml:space="preserve"> </w:t>
            </w:r>
            <w:r>
              <w:rPr>
                <w:b/>
                <w:i/>
              </w:rPr>
              <w:t>korostaa, että julkisen velan kasvu tekee valtiovastuiden asianmukaisesta kohtelusta entistä kiireellisempää;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d.</w:t>
            </w:r>
            <w:r>
              <w:tab/>
            </w:r>
            <w:r>
              <w:rPr>
                <w:b/>
                <w:i/>
              </w:rPr>
              <w:t>kannustaa jatkamaan EU:n varainhoitosääntöjen kattavaa virtaviivaistamista poistamalla tarpeettomat raportointi- tai julkistamisvelvoitteet;</w:t>
            </w:r>
            <w:r>
              <w:t xml:space="preserve"> </w:t>
            </w:r>
            <w:r>
              <w:rPr>
                <w:b/>
                <w:i/>
              </w:rPr>
              <w:t>kehottaa yksinkertaistamaan pääomavaatimuksia ja vähentämään päällekkäisten puskureiden ja valvontatarkoituksissa asetettujen korotustekijöiden määrää, jotta voidaan luoda selkeämpi ja avoimempi pääomavaatimusten hierarkia;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e.</w:t>
            </w:r>
            <w:r>
              <w:tab/>
            </w:r>
            <w:r>
              <w:rPr>
                <w:b/>
                <w:i/>
              </w:rPr>
              <w:t>huomauttaa, että Euroopan pankkimarkkinat ovat hajanaiset, mikä haittaa tehokkuutta ja aiheuttaa päällekkäistä sääntelyä ja päällekkäisiä vaatimuksia myös kuluttajansuojan alalla;</w:t>
            </w:r>
            <w:r>
              <w:t xml:space="preserve"> </w:t>
            </w:r>
            <w:r>
              <w:rPr>
                <w:b/>
                <w:i/>
              </w:rPr>
              <w:t>korostaa tarvetta saattaa pankkiunioni valmiiksi ja vähentää nykyistä rakenteellista erottelua, joka pakottaa siihen, että tytäryhtiöillä on oltava pääomaa ja likviditeettiä paikallisesti;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f.</w:t>
            </w:r>
            <w:r>
              <w:tab/>
            </w:r>
            <w:r>
              <w:rPr>
                <w:b/>
                <w:i/>
              </w:rPr>
              <w:t>kehottaa komissiota pohtimaan, voitaisiinko Euroopan pankkiviranomaisen roolia ja tehtäviä kehittää edelleen ja ottaa näin paremmin huomioon sääntely- ja valvontanormien vaikutus innovointiin ja EU:n pankkialan kansainväliseen kilpailukykyyn, sanotun kuitenkaan rajoittamatta viranomaisen keskeistä toimeksiantoa, joka liittyy vakavaraisuuteen;</w:t>
            </w:r>
            <w:r>
              <w:t xml:space="preserve"> </w:t>
            </w:r>
            <w:r>
              <w:rPr>
                <w:b/>
                <w:i/>
              </w:rPr>
              <w:t>korostaa, että innovaatiomyönteisten ja oikeasuhteisten valvontakäytäntöjen edistäminen on olennaisen tärkeää sen varmistamiseksi, että pankkiunioni pysyy häiriönsieto- ja kilpailukykyisenä ja kykenee tukemaan reaalitalouden kasvua;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panee merkille, että vuoden 2025 </w:t>
            </w:r>
            <w:r>
              <w:rPr>
                <w:b/>
                <w:i/>
              </w:rPr>
              <w:t>toisella</w:t>
            </w:r>
            <w:r>
              <w:t xml:space="preserve"> neljänneksellä yhteiseen valvontamekanismiin kuuluvien pankkien yhteenlaskettu ydinvakavaraisuussuhteen (CET1) osuus oli </w:t>
            </w:r>
            <w:r>
              <w:rPr>
                <w:b/>
                <w:i/>
              </w:rPr>
              <w:t>16,12</w:t>
            </w:r>
            <w:r>
              <w:t xml:space="preserve"> prosenttia ja oman pääoman tuotto oli </w:t>
            </w:r>
            <w:r>
              <w:rPr>
                <w:b/>
                <w:i/>
              </w:rPr>
              <w:t>10,11</w:t>
            </w:r>
            <w:r>
              <w:t xml:space="preserve"> prosenttia, kun taas järjestämättömien lainojen osuus laski 2,22 prosenttiin ja toisen vaiheen lainojen osuus oli 9,59 prosenttia</w:t>
            </w:r>
            <w:r>
              <w:rPr>
                <w:vertAlign w:val="superscript"/>
              </w:rPr>
              <w:t>15</w:t>
            </w:r>
            <w:r>
              <w:t>; korostaa tarvetta seurata luottoriskiä ja säilyttää samalla riittävä pääoma ja likviditeetti ja varmistaa näin pankkialan häiriönsietokyky;</w:t>
            </w:r>
          </w:p>
        </w:tc>
        <w:tc>
          <w:tcPr>
            <w:tcW w:w="4876" w:type="dxa"/>
            <w:tcBorders>
              <w:top w:val="nil"/>
              <w:left w:val="nil"/>
              <w:bottom w:val="nil"/>
              <w:right w:val="nil"/>
            </w:tcBorders>
          </w:tcPr>
          <w:p>
            <w:pPr>
              <w:pStyle w:val="Normal6a"/>
            </w:pPr>
            <w:r>
              <w:t>11.</w:t>
            </w:r>
            <w:r>
              <w:tab/>
            </w:r>
            <w:r>
              <w:t xml:space="preserve">panee merkille, että vuoden 2025 </w:t>
            </w:r>
            <w:r>
              <w:rPr>
                <w:b/>
                <w:i/>
              </w:rPr>
              <w:t>kolmannella</w:t>
            </w:r>
            <w:r>
              <w:t xml:space="preserve"> neljänneksellä yhteiseen valvontamekanismiin kuuluvien pankkien yhteenlaskettu ydinvakavaraisuussuhteen (CET1) osuus oli </w:t>
            </w:r>
            <w:r>
              <w:rPr>
                <w:b/>
                <w:i/>
              </w:rPr>
              <w:t>16,10</w:t>
            </w:r>
            <w:r>
              <w:t xml:space="preserve"> prosenttia ja oman pääoman tuotto oli </w:t>
            </w:r>
            <w:r>
              <w:rPr>
                <w:b/>
                <w:i/>
              </w:rPr>
              <w:t>9,88</w:t>
            </w:r>
            <w:r>
              <w:t xml:space="preserve"> prosenttia, kun taas järjestämättömien lainojen osuus laski 2,22 prosenttiin ja toisen vaiheen lainojen osuus oli 9,59 prosenttia</w:t>
            </w:r>
            <w:r>
              <w:rPr>
                <w:vertAlign w:val="superscript"/>
              </w:rPr>
              <w:t>15</w:t>
            </w:r>
            <w:r>
              <w:t>; korostaa tarvetta seurata luottoriskiä ja säilyttää samalla riittävä pääoma ja likviditeetti ja varmistaa näin pankkialan häiriönsietokyky;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EKP, Supervisory banking statistics (vuoden 2025 </w:t>
            </w:r>
            <w:r>
              <w:rPr>
                <w:b/>
                <w:i/>
              </w:rPr>
              <w:t>toinen</w:t>
            </w:r>
            <w:r>
              <w:t xml:space="preserve"> neljännes).</w:t>
            </w:r>
          </w:p>
        </w:tc>
        <w:tc>
          <w:tcPr>
            <w:tcW w:w="4876" w:type="dxa"/>
            <w:tcBorders>
              <w:top w:val="nil"/>
              <w:left w:val="nil"/>
              <w:bottom w:val="nil"/>
              <w:right w:val="nil"/>
            </w:tcBorders>
          </w:tcPr>
          <w:p>
            <w:pPr>
              <w:pStyle w:val="Normal6a"/>
            </w:pPr>
            <w:r>
              <w:rPr>
                <w:vertAlign w:val="superscript"/>
              </w:rPr>
              <w:t>15</w:t>
            </w:r>
            <w:r>
              <w:t xml:space="preserve"> </w:t>
            </w:r>
            <w:r>
              <w:t xml:space="preserve">EKP, Supervisory banking statistics (vuoden 2025 </w:t>
            </w:r>
            <w:r>
              <w:rPr>
                <w:b/>
                <w:i/>
              </w:rPr>
              <w:t>kolmas</w:t>
            </w:r>
            <w:r>
              <w:t xml:space="preserve"> neljännes).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panee merkille, että vuoden 2025 toisella neljänneksellä yhteiseen valvontamekanismiin kuuluvien pankkien yhteenlaskettu ydinvakavaraisuussuhteen (CET1) osuus oli 16,12 prosenttia ja oman pääoman tuotto oli 10,11 prosenttia, kun taas järjestämättömien lainojen osuus laski 2,22 prosenttiin ja toisen vaiheen lainojen osuus oli 9,59 prosenttia</w:t>
            </w:r>
            <w:r>
              <w:rPr>
                <w:b/>
                <w:i/>
                <w:vertAlign w:val="superscript"/>
              </w:rPr>
              <w:t>15</w:t>
            </w:r>
            <w:r>
              <w:t>; korostaa tarvetta seurata luottoriskiä ja säilyttää samalla riittävä pääoma ja likviditeetti ja varmistaa näin pankkialan häiriönsietokyky;</w:t>
            </w:r>
          </w:p>
        </w:tc>
        <w:tc>
          <w:tcPr>
            <w:tcW w:w="4876" w:type="dxa"/>
            <w:tcBorders>
              <w:top w:val="nil"/>
              <w:left w:val="nil"/>
              <w:bottom w:val="nil"/>
              <w:right w:val="nil"/>
            </w:tcBorders>
          </w:tcPr>
          <w:p>
            <w:pPr>
              <w:pStyle w:val="Normal6a"/>
            </w:pPr>
            <w:r>
              <w:t>11.</w:t>
            </w:r>
            <w:r>
              <w:tab/>
            </w:r>
            <w:r>
              <w:t>panee merkille, että vuoden 2025 toisella neljänneksellä yhteiseen valvontamekanismiin kuuluvien pankkien yhteenlaskettu ydinvakavaraisuussuhteen (CET1) osuus oli 16,12 prosenttia ja oman pääoman tuotto oli 10,11 prosenttia, kun taas järjestämättömien lainojen osuus laski 2,22 prosenttiin ja toisen vaiheen lainojen osuus oli 9,59 prosenttia</w:t>
            </w:r>
            <w:r>
              <w:rPr>
                <w:vertAlign w:val="superscript"/>
              </w:rPr>
              <w:t>15</w:t>
            </w:r>
            <w:r>
              <w:t xml:space="preserve">; korostaa tarvetta seurata luottoriskiä ja säilyttää samalla riittävä pääoma ja likviditeetti ja varmistaa näin pankkialan häiriönsietokyky; </w:t>
            </w:r>
            <w:r>
              <w:rPr>
                <w:b/>
                <w:i/>
              </w:rPr>
              <w:t>korostaa, että tähän edistykseen, joka on saavutettu riskien vähentämisessä, ei ole liittynyt vastaavaa edistymistä riskien jakamisessa;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EKP, Supervisory banking statistics (vuoden 2025 toinen neljännes).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että epäsuotuisat makrotaloudelliset olosuhteet ja geopoliittiset vaikeudet voivat johtaa omaisuuserien laadun heikkenemiseen;</w:t>
            </w:r>
            <w:r>
              <w:t xml:space="preserve"> </w:t>
            </w:r>
            <w:r>
              <w:rPr>
                <w:b/>
                <w:i/>
              </w:rPr>
              <w:t>korostaa siksi varovaisen riskienhallinnan ja asianmukaisten luottotappiovarausten merkitystä;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että euroalueen pankkien valtionvelkaan liittyvät vastuut ovat edelleen suuria, ja kiinnittää huomiota tähän liittyviin riskeihin;</w:t>
            </w:r>
            <w:r>
              <w:t xml:space="preserve"> </w:t>
            </w:r>
            <w:r>
              <w:rPr>
                <w:b/>
                <w:i/>
              </w:rPr>
              <w:t>muistuttaa, että yksi pankkiunionin päätavoitteista on katkaista valtioiden ja pankkien välinen kohtalonyhteys;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että finanssimarkkinoiden vakauden valvontaryhmä, Euroopan järjestelmäriskikomitea (EJRK) ja muut kansainväliset ja eurooppalaiset elimet ovat toistuvasti korostaneet pankkien ulkopuolisesta rahoitussektorista aiheutuvia riskejä, jotka johtuvat erityisesti siitä, että se on yhä tiiviimmin kytköksissä perinteiseen pankkisektoriin;</w:t>
            </w:r>
            <w:r>
              <w:t xml:space="preserve"> </w:t>
            </w:r>
            <w:r>
              <w:rPr>
                <w:b/>
                <w:i/>
              </w:rPr>
              <w:t>kannattaa eurojärjestelmän suositusta ydinmarkkinoiden häiriönsietokykyyn liittyvien riskien tunnistamiseksi ja kvantifioimiseksi tehtävien järjestelmän laajuisten stressitestien käyttöönotosta;</w:t>
            </w:r>
            <w:r>
              <w:t xml:space="preserve"> </w:t>
            </w:r>
            <w:r>
              <w:rPr>
                <w:b/>
                <w:i/>
              </w:rPr>
              <w:t>kehottaa komissiota tutkimaan, onko valvontavälineistössä puutteita, jotka voivat liittyä muun muassa mahdollisiin likviditeettikriiseihin ja järjestelmäriskiin kohdistuviin vaikutuksiin;</w:t>
            </w:r>
            <w:r>
              <w:t xml:space="preserve"> </w:t>
            </w:r>
            <w:r>
              <w:rPr>
                <w:b/>
                <w:i/>
              </w:rPr>
              <w:t>kehottaa komissiota esittämään asianmukaisia lainsäädäntöehdotuksia rahoitusvakauden turvaamiseksi;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Basel III -</w:t>
            </w:r>
            <w:r>
              <w:rPr>
                <w:b/>
                <w:i/>
              </w:rPr>
              <w:t>standardien oikea-aikaista, täysimääräistä ja tarkkaa täytäntöönpanoa häiriönsietokyvyn ja kilpailukyvyn vahvistamiseksi;</w:t>
            </w:r>
            <w:r>
              <w:t xml:space="preserve"> </w:t>
            </w:r>
            <w:r>
              <w:rPr>
                <w:b/>
                <w:i/>
              </w:rPr>
              <w:t>pitää poikkeamia valitettavina ja kehottaa komissiota tarkistamaan vastaavuuspäätöksiä sellaisten lainkäyttöalueiden kanssa, jotka eivät noudata näitä normeja</w:t>
            </w:r>
            <w:r>
              <w:t>;</w:t>
            </w:r>
          </w:p>
        </w:tc>
        <w:tc>
          <w:tcPr>
            <w:tcW w:w="4876" w:type="dxa"/>
            <w:tcBorders>
              <w:top w:val="nil"/>
              <w:left w:val="nil"/>
              <w:bottom w:val="nil"/>
              <w:right w:val="nil"/>
            </w:tcBorders>
          </w:tcPr>
          <w:p>
            <w:pPr>
              <w:pStyle w:val="Normal6a"/>
            </w:pPr>
            <w:r>
              <w:t>12.</w:t>
            </w:r>
            <w:r>
              <w:tab/>
            </w:r>
            <w:r>
              <w:t>korostaa</w:t>
            </w:r>
            <w:r>
              <w:rPr>
                <w:b/>
                <w:i/>
              </w:rPr>
              <w:t>, että</w:t>
            </w:r>
            <w:r>
              <w:t xml:space="preserve"> Basel III -</w:t>
            </w:r>
            <w:r>
              <w:rPr>
                <w:b/>
                <w:i/>
              </w:rPr>
              <w:t>sääntöjä olisi mukautettava Euroopan pankkialan erityispiirteisiin sopiviksi ottaen huomioon suhteellisuuskriteeri ja pienempiä pankkeja koskevien yksinkertaistusten käyttöönotto, mikä on yksinkertaistamista käsittelevän Euroopan keskuspankin korkean tason työryhmän tulosten mukaista ja EKP:n neuvoston tukema tavoite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Basel III -</w:t>
            </w:r>
            <w:r>
              <w:rPr>
                <w:b/>
                <w:i/>
              </w:rPr>
              <w:t>standardien oikea-aikaista, täysimääräistä ja tarkkaa</w:t>
            </w:r>
            <w:r>
              <w:t xml:space="preserve"> täytäntöönpanoa </w:t>
            </w:r>
            <w:r>
              <w:rPr>
                <w:b/>
                <w:i/>
              </w:rPr>
              <w:t>häiriönsietokyvyn ja</w:t>
            </w:r>
            <w:r>
              <w:t xml:space="preserve"> kilpailukyvyn </w:t>
            </w:r>
            <w:r>
              <w:rPr>
                <w:b/>
                <w:i/>
              </w:rPr>
              <w:t>vahvistamiseksi</w:t>
            </w:r>
            <w:r>
              <w:t xml:space="preserve">; </w:t>
            </w:r>
            <w:r>
              <w:rPr>
                <w:b/>
                <w:i/>
              </w:rPr>
              <w:t>pitää poikkeamia valitettavina ja kehottaa komissiota tarkistamaan vastaavuuspäätöksiä sellaisten lainkäyttöalueiden kanssa, jotka eivät noudata näitä normeja;</w:t>
            </w:r>
          </w:p>
        </w:tc>
        <w:tc>
          <w:tcPr>
            <w:tcW w:w="4876" w:type="dxa"/>
            <w:tcBorders>
              <w:top w:val="nil"/>
              <w:left w:val="nil"/>
              <w:bottom w:val="nil"/>
              <w:right w:val="nil"/>
            </w:tcBorders>
          </w:tcPr>
          <w:p>
            <w:pPr>
              <w:pStyle w:val="Normal6a"/>
            </w:pPr>
            <w:r>
              <w:t>12.</w:t>
            </w:r>
            <w:r>
              <w:tab/>
            </w:r>
            <w:r>
              <w:t>korostaa</w:t>
            </w:r>
            <w:r>
              <w:rPr>
                <w:b/>
                <w:i/>
              </w:rPr>
              <w:t>, että</w:t>
            </w:r>
            <w:r>
              <w:t xml:space="preserve"> Basel III -</w:t>
            </w:r>
            <w:r>
              <w:rPr>
                <w:b/>
                <w:i/>
              </w:rPr>
              <w:t>standardit on pantava täytäntöön siten, että otetaan huomioon maailmanlaajuinen kehitys ja tarve turvata eurooppalaisten pankkien kansainvälinen kilpailukyky;</w:t>
            </w:r>
            <w:r>
              <w:t xml:space="preserve"> </w:t>
            </w:r>
            <w:r>
              <w:rPr>
                <w:b/>
                <w:i/>
              </w:rPr>
              <w:t>panee huolestuneena merkille, että muilla oikeudenkäyttöalueilla on noudatettu vähemmän kunnianhimoista täytäntöönpanosuunnitelmaa;</w:t>
            </w:r>
            <w:r>
              <w:t xml:space="preserve"> </w:t>
            </w:r>
            <w:r>
              <w:rPr>
                <w:b/>
                <w:i/>
              </w:rPr>
              <w:t>korostaa, että komission olisi arvioitava perusteellisesti, onko</w:t>
            </w:r>
            <w:r>
              <w:t xml:space="preserve"> täytäntöönpanoa </w:t>
            </w:r>
            <w:r>
              <w:rPr>
                <w:b/>
                <w:i/>
              </w:rPr>
              <w:t>tarpeen lykätä EU:n pankkien kansainvälisen</w:t>
            </w:r>
            <w:r>
              <w:t xml:space="preserve"> kilpailukyvyn </w:t>
            </w:r>
            <w:r>
              <w:rPr>
                <w:b/>
                <w:i/>
              </w:rPr>
              <w:t>säilyttämiseksi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Basel III -standardien </w:t>
            </w:r>
            <w:r>
              <w:rPr>
                <w:b/>
                <w:i/>
              </w:rPr>
              <w:t>oikea-aikaista, täysimääräistä ja tarkkaa täytäntöönpanoa</w:t>
            </w:r>
            <w:r>
              <w:t xml:space="preserve"> häiriönsietokyvyn ja kilpailukyvyn vahvistamiseksi; </w:t>
            </w:r>
            <w:r>
              <w:rPr>
                <w:b/>
                <w:i/>
              </w:rPr>
              <w:t>pitää poikkeamia valitettavina ja kehottaa komissiota tarkistamaan vastaavuuspäätöksiä sellaisten lainkäyttöalueiden kanssa, jotka eivät noudata näitä normeja</w:t>
            </w:r>
            <w:r>
              <w:t>;</w:t>
            </w:r>
          </w:p>
        </w:tc>
        <w:tc>
          <w:tcPr>
            <w:tcW w:w="4876" w:type="dxa"/>
            <w:tcBorders>
              <w:top w:val="nil"/>
              <w:left w:val="nil"/>
              <w:bottom w:val="nil"/>
              <w:right w:val="nil"/>
            </w:tcBorders>
          </w:tcPr>
          <w:p>
            <w:pPr>
              <w:pStyle w:val="Normal6a"/>
            </w:pPr>
            <w:r>
              <w:t>12.</w:t>
            </w:r>
            <w:r>
              <w:tab/>
            </w:r>
            <w:r>
              <w:t>korostaa</w:t>
            </w:r>
            <w:r>
              <w:rPr>
                <w:b/>
                <w:i/>
              </w:rPr>
              <w:t>, että on varmistettava</w:t>
            </w:r>
            <w:r>
              <w:t xml:space="preserve"> Basel III -standardien </w:t>
            </w:r>
            <w:r>
              <w:rPr>
                <w:b/>
                <w:i/>
              </w:rPr>
              <w:t>täytäntöönpano</w:t>
            </w:r>
            <w:r>
              <w:t xml:space="preserve"> häiriönsietokyvyn ja </w:t>
            </w:r>
            <w:r>
              <w:rPr>
                <w:b/>
                <w:i/>
              </w:rPr>
              <w:t>maailmanlaajuisen</w:t>
            </w:r>
            <w:r>
              <w:t xml:space="preserve"> kilpailukyvyn vahvistamiseksi; </w:t>
            </w:r>
            <w:r>
              <w:rPr>
                <w:b/>
                <w:i/>
              </w:rPr>
              <w:t>panee merkille, että täytäntöönpanosta vallitsee edelleen epäselvyyksiä joillakin merkittävillä EU:n ulkopuolisilla lainkäyttöalueilla, ja korostaa, että rahoitusvakauden, Baselin kehyksen eheyden ja tasapuolisten toimintaedellytysten säilyttäminen on olennaisen tärkeää pitkän aikavälin kilpailukyvyn varmistamiseksi kansainvälisissä yhteyksissä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Basel III -standardien oikea-aikaista, täysimääräistä ja tarkkaa täytäntöönpanoa </w:t>
            </w:r>
            <w:r>
              <w:rPr>
                <w:b/>
                <w:i/>
              </w:rPr>
              <w:t>häiriönsietokyvyn ja kilpailukyvyn vahvistamiseksi;</w:t>
            </w:r>
            <w:r>
              <w:t xml:space="preserve"> </w:t>
            </w:r>
            <w:r>
              <w:rPr>
                <w:b/>
                <w:i/>
              </w:rPr>
              <w:t>pitää poikkeamia valitettavina ja</w:t>
            </w:r>
            <w:r>
              <w:t xml:space="preserve"> kehottaa komissiota </w:t>
            </w:r>
            <w:r>
              <w:rPr>
                <w:b/>
                <w:i/>
              </w:rPr>
              <w:t>tarkistamaan vastaavuuspäätöksiä sellaisten lainkäyttöalueiden kanssa, jotka eivät noudata näitä normeja</w:t>
            </w:r>
            <w:r>
              <w:t>;</w:t>
            </w:r>
          </w:p>
        </w:tc>
        <w:tc>
          <w:tcPr>
            <w:tcW w:w="4876" w:type="dxa"/>
            <w:tcBorders>
              <w:top w:val="nil"/>
              <w:left w:val="nil"/>
              <w:bottom w:val="nil"/>
              <w:right w:val="nil"/>
            </w:tcBorders>
          </w:tcPr>
          <w:p>
            <w:pPr>
              <w:pStyle w:val="Normal6a"/>
            </w:pPr>
            <w:r>
              <w:t>12.</w:t>
            </w:r>
            <w:r>
              <w:tab/>
            </w:r>
            <w:r>
              <w:t>korostaa Basel III -standardien oikea-aikaista, täysimääräistä ja tarkkaa täytäntöönpanoa</w:t>
            </w:r>
            <w:r>
              <w:rPr>
                <w:b/>
                <w:i/>
              </w:rPr>
              <w:t>, kunhan niillä vahvistetaan häiriönsietokykyä ja kilpailukykyä;</w:t>
            </w:r>
            <w:r>
              <w:t xml:space="preserve"> </w:t>
            </w:r>
            <w:r>
              <w:rPr>
                <w:b/>
                <w:i/>
              </w:rPr>
              <w:t>panee huolestuneena merkille, että muut lainkäyttöalueet ovat noudattaneet vähemmän kunnianhimoista täytäntöönpanosuunnitelmaa, mikä saattaa heikentää tasapuolisia kansainvälisiä toimintaedellytyksiä;</w:t>
            </w:r>
            <w:r>
              <w:t xml:space="preserve"> kehottaa komissiota </w:t>
            </w:r>
            <w:r>
              <w:rPr>
                <w:b/>
                <w:i/>
              </w:rPr>
              <w:t>arvioimaan EU:n pankkien kansainvälistä kilpailukykyä ja varmistamaan sen heikentämättä niiden häiriönsietokykyä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Basel III -standardien oikea-aikaista, täysimääräistä ja tarkkaa täytäntöönpanoa häiriönsietokyvyn ja kilpailukyvyn vahvistamiseksi; pitää poikkeamia valitettavina </w:t>
            </w:r>
            <w:r>
              <w:rPr>
                <w:b/>
                <w:i/>
              </w:rPr>
              <w:t>ja kehottaa komissiota tarkistamaan vastaavuuspäätöksiä sellaisten lainkäyttöalueiden kanssa, jotka eivät noudata näitä normeja</w:t>
            </w:r>
            <w:r>
              <w:t>;</w:t>
            </w:r>
          </w:p>
        </w:tc>
        <w:tc>
          <w:tcPr>
            <w:tcW w:w="4876" w:type="dxa"/>
            <w:tcBorders>
              <w:top w:val="nil"/>
              <w:left w:val="nil"/>
              <w:bottom w:val="nil"/>
              <w:right w:val="nil"/>
            </w:tcBorders>
          </w:tcPr>
          <w:p>
            <w:pPr>
              <w:pStyle w:val="Normal6a"/>
            </w:pPr>
            <w:r>
              <w:t>12.</w:t>
            </w:r>
            <w:r>
              <w:tab/>
            </w:r>
            <w:r>
              <w:t xml:space="preserve">korostaa Basel III -standardien oikea-aikaista, täysimääräistä ja tarkkaa täytäntöönpanoa </w:t>
            </w:r>
            <w:r>
              <w:rPr>
                <w:b/>
                <w:i/>
              </w:rPr>
              <w:t>yksinomaan niissä kansainvälisesti toimivissa pankeissa, joita varten kyseiset standardit on suunniteltu,</w:t>
            </w:r>
            <w:r>
              <w:t xml:space="preserve"> häiriönsietokyvyn ja kilpailukyvyn vahvistamiseksi; pitää poikkeamia valitettavina;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Basel III -standardien oikea-aikaista</w:t>
            </w:r>
            <w:r>
              <w:rPr>
                <w:b/>
                <w:i/>
              </w:rPr>
              <w:t>, täysimääräistä</w:t>
            </w:r>
            <w:r>
              <w:t xml:space="preserve"> ja tarkkaa täytäntöönpanoa häiriönsietokyvyn ja kilpailukyvyn vahvistamiseksi; </w:t>
            </w:r>
            <w:r>
              <w:rPr>
                <w:b/>
                <w:i/>
              </w:rPr>
              <w:t>pitää poikkeamia valitettavina ja</w:t>
            </w:r>
            <w:r>
              <w:t xml:space="preserve"> kehottaa komissiota </w:t>
            </w:r>
            <w:r>
              <w:rPr>
                <w:b/>
                <w:i/>
              </w:rPr>
              <w:t>tarkistamaan vastaavuuspäätöksiä sellaisten</w:t>
            </w:r>
            <w:r>
              <w:t xml:space="preserve"> lainkäyttöalueiden kanssa</w:t>
            </w:r>
            <w:r>
              <w:rPr>
                <w:b/>
                <w:i/>
              </w:rPr>
              <w:t>, jotka eivät noudata näitä normeja</w:t>
            </w:r>
            <w:r>
              <w:t>;</w:t>
            </w:r>
          </w:p>
        </w:tc>
        <w:tc>
          <w:tcPr>
            <w:tcW w:w="4876" w:type="dxa"/>
            <w:tcBorders>
              <w:top w:val="nil"/>
              <w:left w:val="nil"/>
              <w:bottom w:val="nil"/>
              <w:right w:val="nil"/>
            </w:tcBorders>
          </w:tcPr>
          <w:p>
            <w:pPr>
              <w:pStyle w:val="Normal6a"/>
            </w:pPr>
            <w:r>
              <w:t>12.</w:t>
            </w:r>
            <w:r>
              <w:tab/>
            </w:r>
            <w:r>
              <w:t xml:space="preserve">korostaa Basel III -standardien oikea-aikaista ja tarkkaa täytäntöönpanoa häiriönsietokyvyn ja kilpailukyvyn vahvistamiseksi; </w:t>
            </w:r>
            <w:r>
              <w:rPr>
                <w:b/>
                <w:i/>
              </w:rPr>
              <w:t>panee merkille vallitsevan epäselvyyden Basel III -standardien täytäntöönpanosta joillakin muilla lainkäyttöalueilla sekä sen, että tämä saattaa vaarantaa kansainvälisesti tasapuoliset toimintaedellytykset;</w:t>
            </w:r>
            <w:r>
              <w:t xml:space="preserve"> </w:t>
            </w:r>
            <w:r>
              <w:rPr>
                <w:b/>
                <w:i/>
              </w:rPr>
              <w:t>korostaa, että komission olisi arvioitava, voitaisiinko kohdennetuilla muutoksilla säilyttää EU:n pankkien kansainvälinen kilpailukyky niiden häiriönsietokykyä heikentämättä;</w:t>
            </w:r>
            <w:r>
              <w:t xml:space="preserve"> kehottaa komissiota </w:t>
            </w:r>
            <w:r>
              <w:rPr>
                <w:b/>
                <w:i/>
              </w:rPr>
              <w:t>arvioimaan, olisiko Basel III -standardit täytäntöön panematta jättäneiden</w:t>
            </w:r>
            <w:r>
              <w:t xml:space="preserve"> lainkäyttöalueiden kanssa </w:t>
            </w:r>
            <w:r>
              <w:rPr>
                <w:b/>
                <w:i/>
              </w:rPr>
              <w:t>tehtyjä vastaavuuspäätöksiä syytä tarkastella uudelleen, jotta voidaan säilyttää EU:n rahoitusalan rahoitusvakautta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Basel III -standardien </w:t>
            </w:r>
            <w:r>
              <w:rPr>
                <w:b/>
                <w:i/>
              </w:rPr>
              <w:t>oikea-aikaista, täysimääräistä ja tarkkaa täytäntöönpanoa häiriönsietokyvyn ja kilpailukyvyn vahvistamiseksi</w:t>
            </w:r>
            <w:r>
              <w:t xml:space="preserve">; pitää poikkeamia valitettavina ja kehottaa komissiota </w:t>
            </w:r>
            <w:r>
              <w:rPr>
                <w:b/>
                <w:i/>
              </w:rPr>
              <w:t>tarkistamaan</w:t>
            </w:r>
            <w:r>
              <w:t xml:space="preserve"> vastaavuuspäätöksiä sellaisten lainkäyttöalueiden kanssa, jotka eivät noudata näitä normeja;</w:t>
            </w:r>
          </w:p>
        </w:tc>
        <w:tc>
          <w:tcPr>
            <w:tcW w:w="4876" w:type="dxa"/>
            <w:tcBorders>
              <w:top w:val="nil"/>
              <w:left w:val="nil"/>
              <w:bottom w:val="nil"/>
              <w:right w:val="nil"/>
            </w:tcBorders>
          </w:tcPr>
          <w:p>
            <w:pPr>
              <w:pStyle w:val="Normal6a"/>
            </w:pPr>
            <w:r>
              <w:t>12.</w:t>
            </w:r>
            <w:r>
              <w:tab/>
            </w:r>
            <w:r>
              <w:t>korostaa</w:t>
            </w:r>
            <w:r>
              <w:rPr>
                <w:b/>
                <w:i/>
              </w:rPr>
              <w:t>, että</w:t>
            </w:r>
            <w:r>
              <w:t xml:space="preserve"> Basel III -standardien </w:t>
            </w:r>
            <w:r>
              <w:rPr>
                <w:b/>
                <w:i/>
              </w:rPr>
              <w:t>oikea-aikainen, täysimääräinen ja tarkka täytäntöönpano vahvistaa häiriönsietokykyä ja kilpailukykyä</w:t>
            </w:r>
            <w:r>
              <w:t xml:space="preserve">; pitää poikkeamia valitettavina ja kehottaa komissiota </w:t>
            </w:r>
            <w:r>
              <w:rPr>
                <w:b/>
                <w:i/>
              </w:rPr>
              <w:t>arvioimaan uudelleen</w:t>
            </w:r>
            <w:r>
              <w:t xml:space="preserve"> vastaavuuspäätöksiä sellaisten lainkäyttöalueiden kanssa, jotka eivät noudata näitä normeja; </w:t>
            </w:r>
            <w:r>
              <w:rPr>
                <w:b/>
                <w:i/>
              </w:rPr>
              <w:t>korostaa samalla, että Basel III -standardien täytäntöönpanon olisi säilytettävä maailmanlaajuisesti tasapuoliset toimintaedellytykset ja kansallisten viranomaisten olisi vältettävä ylisääntelyä EU:n 3 tason sääntöjen soveltamisessa ja olisi pyrittävä välttämään tahattomia vaikutuksia EU:n pankkien kykyyn rahoittaa reaalitaloutta;</w:t>
            </w:r>
            <w:r>
              <w:t xml:space="preserve"> </w:t>
            </w:r>
            <w:r>
              <w:rPr>
                <w:b/>
                <w:i/>
              </w:rPr>
              <w:t>panee tässä yhteydessä tyytyväisenä merkille komission aloitteen julkaista kertomus EU:n pankkialan kilpailukyvystä ja yhdentymisestä ja kehottaa esittämään konkreettisia ehdotuksia, joilla tuetaan pankkien lainanantokykyä erityisesti kotitalouksille ja pk-yrityksille sekä tuottaviin yksityisiin ja julkisiin investointeihin, mukaan lukien tarvittaessa ehdotuksia, joilla tuetaan matalariskisten ja lyhyen aikavälin rahoitusvälineiden, esimerkiksi myyntilaskurahoituksen ja ulkomaankaupan rahoituksen, tehokasta käyttöä;</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Basel III -standardien </w:t>
            </w:r>
            <w:r>
              <w:rPr>
                <w:b/>
                <w:i/>
              </w:rPr>
              <w:t>oikea-aikaista, täysimääräistä ja tarkkaa täytäntöönpanoa häiriönsietokyvyn ja</w:t>
            </w:r>
            <w:r>
              <w:t xml:space="preserve"> kilpailukyvyn </w:t>
            </w:r>
            <w:r>
              <w:rPr>
                <w:b/>
                <w:i/>
              </w:rPr>
              <w:t>vahvistamiseksi;</w:t>
            </w:r>
            <w:r>
              <w:t xml:space="preserve"> </w:t>
            </w:r>
            <w:r>
              <w:rPr>
                <w:b/>
                <w:i/>
              </w:rPr>
              <w:t>pitää poikkeamia valitettavina ja kehottaa komissiota tarkistamaan vastaavuuspäätöksiä sellaisten lainkäyttöalueiden kanssa, jotka eivät noudata näitä normeja</w:t>
            </w:r>
            <w:r>
              <w:t>;</w:t>
            </w:r>
          </w:p>
        </w:tc>
        <w:tc>
          <w:tcPr>
            <w:tcW w:w="4876" w:type="dxa"/>
            <w:tcBorders>
              <w:top w:val="nil"/>
              <w:left w:val="nil"/>
              <w:bottom w:val="nil"/>
              <w:right w:val="nil"/>
            </w:tcBorders>
          </w:tcPr>
          <w:p>
            <w:pPr>
              <w:pStyle w:val="Normal6a"/>
            </w:pPr>
            <w:r>
              <w:t>12.</w:t>
            </w:r>
            <w:r>
              <w:tab/>
            </w:r>
            <w:r>
              <w:t>korostaa</w:t>
            </w:r>
            <w:r>
              <w:rPr>
                <w:b/>
                <w:i/>
              </w:rPr>
              <w:t>, että rahoitusvakaus on tehokkaan rahapolitiikan ja kestävän rahoitusjärjestelmän edellytys;</w:t>
            </w:r>
            <w:r>
              <w:t xml:space="preserve"> </w:t>
            </w:r>
            <w:r>
              <w:rPr>
                <w:b/>
                <w:i/>
              </w:rPr>
              <w:t>suhtautuu myönteisesti Basel III -kehyksen viimeistelyyn ja täytäntöönpanoon, sillä se vahvistaa häiriönsieto- ja kilpailukykyä EU:ssa;</w:t>
            </w:r>
            <w:r>
              <w:t xml:space="preserve"> </w:t>
            </w:r>
            <w:r>
              <w:rPr>
                <w:b/>
                <w:i/>
              </w:rPr>
              <w:t>korostaa, että</w:t>
            </w:r>
            <w:r>
              <w:t xml:space="preserve"> Basel III -standardien </w:t>
            </w:r>
            <w:r>
              <w:rPr>
                <w:b/>
                <w:i/>
              </w:rPr>
              <w:t>täytäntöönpanosta joillakin muilla lainkäyttöalueilla on edelleen epäselvyyttä ja tästä saattaa aiheutua ongelmia kansainvälisesti tasapuolisten toimintaedellytysten kannalta;</w:t>
            </w:r>
            <w:r>
              <w:t xml:space="preserve"> </w:t>
            </w:r>
            <w:r>
              <w:rPr>
                <w:b/>
                <w:i/>
              </w:rPr>
              <w:t>korostaa, että on tärkeää varmistaa oikea tasapaino rahoitusvakauden, kansainvälisten puitteiden kunnioittamisen ja kansainvälisesti tasapuolisten toimintaedellytysten välillä ja varmistaa näin, että eurooppalaiset pankit voivat kilpailla tasavertaisesti muilla lainkäyttöalueilla toimivien pankkien kanssa;</w:t>
            </w:r>
            <w:r>
              <w:t xml:space="preserve"> </w:t>
            </w:r>
            <w:r>
              <w:rPr>
                <w:b/>
                <w:i/>
              </w:rPr>
              <w:t>korostaa, että Euroopan pankkialan</w:t>
            </w:r>
            <w:r>
              <w:t xml:space="preserve"> kilpailukyvyn </w:t>
            </w:r>
            <w:r>
              <w:rPr>
                <w:b/>
                <w:i/>
              </w:rPr>
              <w:t>varmistamiseksi on tärkeää ottaa huomioon eurooppalaiset erityispiirteet;</w:t>
            </w:r>
            <w:r>
              <w:t xml:space="preserve"> </w:t>
            </w:r>
            <w:r>
              <w:rPr>
                <w:b/>
                <w:i/>
              </w:rPr>
              <w:t>korostaa, että on tärkeää panna johdonmukaisesti ja kansainvälisesti yhdenmukaisesti täytäntöön kaupankäyntivaraston perusteellinen tarkistus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Basel III -standardien oikea-aikaista, täysimääräistä ja tarkkaa täytäntöönpanoa häiriönsietokyvyn ja kilpailukyvyn vahvistamiseksi; </w:t>
            </w:r>
            <w:r>
              <w:rPr>
                <w:b/>
                <w:i/>
              </w:rPr>
              <w:t>pitää poikkeamia valitettavina ja</w:t>
            </w:r>
            <w:r>
              <w:t xml:space="preserve"> kehottaa komissiota </w:t>
            </w:r>
            <w:r>
              <w:rPr>
                <w:b/>
                <w:i/>
              </w:rPr>
              <w:t>tarkistamaan</w:t>
            </w:r>
            <w:r>
              <w:t xml:space="preserve"> vastaavuuspäätöksiä sellaisten lainkäyttöalueiden kanssa, jotka eivät noudata näitä normeja;</w:t>
            </w:r>
          </w:p>
        </w:tc>
        <w:tc>
          <w:tcPr>
            <w:tcW w:w="4876" w:type="dxa"/>
            <w:tcBorders>
              <w:top w:val="nil"/>
              <w:left w:val="nil"/>
              <w:bottom w:val="nil"/>
              <w:right w:val="nil"/>
            </w:tcBorders>
          </w:tcPr>
          <w:p>
            <w:pPr>
              <w:pStyle w:val="Normal6a"/>
            </w:pPr>
            <w:r>
              <w:t>12.</w:t>
            </w:r>
            <w:r>
              <w:tab/>
            </w:r>
            <w:r>
              <w:t xml:space="preserve">korostaa Basel III -standardien oikea-aikaista, täysimääräistä ja tarkkaa täytäntöönpanoa häiriönsietokyvyn ja kilpailukyvyn vahvistamiseksi; kehottaa komissiota </w:t>
            </w:r>
            <w:r>
              <w:rPr>
                <w:b/>
                <w:i/>
              </w:rPr>
              <w:t>arvioimaan johdonmukaisesti ja riskiperusteisesti</w:t>
            </w:r>
            <w:r>
              <w:t xml:space="preserve"> vastaavuuspäätöksiä sellaisten lainkäyttöalueiden kanssa, jotka eivät noudata näitä normeja</w:t>
            </w:r>
            <w:r>
              <w:rPr>
                <w:b/>
                <w:i/>
              </w:rPr>
              <w:t>, ja samalla turvaamaan maailmanlaajuisen kilpailun edellytykset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Basel III -standardien oikea-aikaista, täysimääräistä ja tarkkaa täytäntöönpanoa häiriönsietokyvyn ja kilpailukyvyn vahvistamiseksi; pitää poikkeamia valitettavina ja kehottaa komissiota tarkistamaan vastaavuuspäätöksiä sellaisten lainkäyttöalueiden kanssa, jotka eivät noudata näitä normeja;</w:t>
            </w:r>
          </w:p>
        </w:tc>
        <w:tc>
          <w:tcPr>
            <w:tcW w:w="4876" w:type="dxa"/>
            <w:tcBorders>
              <w:top w:val="nil"/>
              <w:left w:val="nil"/>
              <w:bottom w:val="nil"/>
              <w:right w:val="nil"/>
            </w:tcBorders>
          </w:tcPr>
          <w:p>
            <w:pPr>
              <w:pStyle w:val="Normal6a"/>
            </w:pPr>
            <w:r>
              <w:t>12.</w:t>
            </w:r>
            <w:r>
              <w:tab/>
            </w:r>
            <w:r>
              <w:t>korostaa Basel III -standardien oikea-aikaista, täysimääräistä ja tarkkaa täytäntöönpanoa häiriönsietokyvyn ja kilpailukyvyn vahvistamiseksi</w:t>
            </w:r>
            <w:r>
              <w:rPr>
                <w:b/>
                <w:i/>
              </w:rPr>
              <w:t>, mukaan lukien kaupankäyntivaraston perusteellinen uudelleentarkastelu;</w:t>
            </w:r>
            <w:r>
              <w:t xml:space="preserve"> </w:t>
            </w:r>
            <w:r>
              <w:rPr>
                <w:b/>
                <w:i/>
              </w:rPr>
              <w:t>muistuttaa, että yhteinen valvontamekanismi totesi useaan otteeseen, että kaupankäyntivaraston perusteellisen uudelleentarkastelun täytäntöönpano vahvistaisi EU:n pankkien häiriönsietokykyä eikä heikentäisi niiden kilpailukykyä</w:t>
            </w:r>
            <w:r>
              <w:t xml:space="preserve">; pitää poikkeamia valitettavina ja kehottaa komissiota tarkistamaan vastaavuuspäätöksiä sellaisten lainkäyttöalueiden kanssa, jotka eivät noudata näitä normeja; </w:t>
            </w:r>
            <w:r>
              <w:rPr>
                <w:b/>
                <w:i/>
              </w:rPr>
              <w:t>korostaa, että EU ei ole tähän mennessä noudattanut Basel-sopimusta yhtä tarkasti kuin osa sen kansainvälisistä kumppaneista;</w:t>
            </w:r>
            <w:r>
              <w:t xml:space="preserve"> </w:t>
            </w:r>
            <w:r>
              <w:rPr>
                <w:b/>
                <w:i/>
              </w:rPr>
              <w:t>katsoo, että puutteellinen täytäntöönpano muilla kansainvälisillä lainkäyttöalueilla lisää EU:n pankkeihin kohdistuvia riskejä ja tämä olisi otettava asianmukaisesti huomioon valvontakehyksessä;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Basel III -standardien oikea-aikaista, täysimääräistä ja tarkkaa täytäntöönpanoa häiriönsietokyvyn ja kilpailukyvyn vahvistamiseksi; pitää poikkeamia valitettavina ja kehottaa komissiota tarkistamaan vastaavuuspäätöksiä sellaisten lainkäyttöalueiden kanssa, jotka eivät noudata näitä normeja;</w:t>
            </w:r>
          </w:p>
        </w:tc>
        <w:tc>
          <w:tcPr>
            <w:tcW w:w="4876" w:type="dxa"/>
            <w:tcBorders>
              <w:top w:val="nil"/>
              <w:left w:val="nil"/>
              <w:bottom w:val="nil"/>
              <w:right w:val="nil"/>
            </w:tcBorders>
          </w:tcPr>
          <w:p>
            <w:pPr>
              <w:pStyle w:val="Normal6a"/>
            </w:pPr>
            <w:r>
              <w:t>12.</w:t>
            </w:r>
            <w:r>
              <w:tab/>
            </w:r>
            <w:r>
              <w:t xml:space="preserve">korostaa Basel III -standardien oikea-aikaista, täysimääräistä ja tarkkaa täytäntöönpanoa häiriönsietokyvyn ja kilpailukyvyn vahvistamiseksi; pitää poikkeamia valitettavina ja kehottaa komissiota tarkistamaan vastaavuuspäätöksiä sellaisten lainkäyttöalueiden kanssa, jotka eivät noudata näitä normeja; </w:t>
            </w:r>
            <w:r>
              <w:rPr>
                <w:b/>
                <w:i/>
              </w:rPr>
              <w:t>korostaa, että EU:n poikkeamat Basel III -standardien kattavasta täytäntöönpanosta, mukaan lukien asteittaiset mukautukset ja markkinariskiä koskevien sääntöjen lykkääminen, vahingoittavat sekä kilpailukykyä että rahoitusvakautta mahdollistamalla sääntelyn katvealueiden hyväksikäytön ja epäjohdonmukaisen riskipainotuksen;</w:t>
            </w:r>
            <w:r>
              <w:t xml:space="preserve"> </w:t>
            </w:r>
            <w:r>
              <w:rPr>
                <w:b/>
                <w:i/>
              </w:rPr>
              <w:t>katsoo, että nämä poikkeamat olisi kiireellisesti poistettava, jotta EU:n pankkien toiminta saadaan yhdenmukaistettua muun maailman pankkien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panee merkille, että pankeilla on yhä enemmän riskisaamisia pankkisektorin ulkopuolisilta rahoituksen välittäjiltä, mikä aiheuttaa monenlaisia riskejä likviditeettiriskeistä vastapuoliluottoriskeihin;</w:t>
            </w:r>
            <w:r>
              <w:t xml:space="preserve"> </w:t>
            </w:r>
            <w:r>
              <w:rPr>
                <w:b/>
                <w:i/>
              </w:rPr>
              <w:t>korostaa, että pankkisektorin ulkopuolisten rahoituksen välittäjien alaa on valvottava kattavasti unionin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panee merkille EKP:n havainnot, joiden mukaan korkeat pääomavaatimukset eivät heikennä pankkien kilpailukykyä vaan pikemminkin varmistavat pankkien häiriönsietokyvyn ja kyvyn rahoittaa taloutta koko syklin 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pitää valitettavana, että yhä useampia pankkikonttoreita suljetaan, mikä vaikuttaa haavoittuvassa asemassa oleviin ja syrjäisiin yhteisöihin;</w:t>
            </w:r>
            <w:r>
              <w:t xml:space="preserve"> </w:t>
            </w:r>
            <w:r>
              <w:rPr>
                <w:b/>
                <w:i/>
              </w:rPr>
              <w:t>korostaa pienempien pankkien tehtävää kotitalouksien palvelujen saatavuudessa;</w:t>
            </w:r>
            <w:r>
              <w:t xml:space="preserve"> </w:t>
            </w:r>
            <w:r>
              <w:rPr>
                <w:b/>
                <w:i/>
              </w:rPr>
              <w:t>panee huolestuneena merkille tekoälyyn liittyvät työpaikkojen menetykset;</w:t>
            </w:r>
            <w:r>
              <w:t xml:space="preserve"> </w:t>
            </w:r>
            <w:r>
              <w:rPr>
                <w:b/>
                <w:i/>
              </w:rPr>
              <w:t>korostaa tarvetta turvata työpaikkojen laatu, oikeudenmukaiset ehdot ja tasapuoliset pankkipalvelujen käyttömahdollisuudet;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pitää valitettavana</w:t>
            </w:r>
            <w:r>
              <w:t>, että yhä useampia pankkikonttoreita suljetaan</w:t>
            </w:r>
            <w:r>
              <w:rPr>
                <w:b/>
                <w:i/>
              </w:rPr>
              <w:t>, mikä vaikuttaa haavoittuvassa asemassa oleviin ja syrjäisiin yhteisöihin</w:t>
            </w:r>
            <w:r>
              <w:t xml:space="preserve">; korostaa pienempien pankkien tehtävää kotitalouksien palvelujen saatavuudessa; </w:t>
            </w:r>
            <w:r>
              <w:rPr>
                <w:b/>
                <w:i/>
              </w:rPr>
              <w:t>panee huolestuneena merkille tekoälyyn liittyvät työpaikkojen menetykset;</w:t>
            </w:r>
            <w:r>
              <w:t xml:space="preserve"> korostaa </w:t>
            </w:r>
            <w:r>
              <w:rPr>
                <w:b/>
                <w:i/>
              </w:rPr>
              <w:t>tarvetta turvata työpaikkojen laatu, oikeudenmukaiset ehdot ja tasapuoliset pankkipalvelujen käyttömahdollisuudet</w:t>
            </w:r>
            <w:r>
              <w:t>;</w:t>
            </w:r>
          </w:p>
        </w:tc>
        <w:tc>
          <w:tcPr>
            <w:tcW w:w="4876" w:type="dxa"/>
            <w:tcBorders>
              <w:top w:val="nil"/>
              <w:left w:val="nil"/>
              <w:bottom w:val="nil"/>
              <w:right w:val="nil"/>
            </w:tcBorders>
          </w:tcPr>
          <w:p>
            <w:pPr>
              <w:pStyle w:val="Normal6a"/>
            </w:pPr>
            <w:r>
              <w:t>13.</w:t>
            </w:r>
            <w:r>
              <w:tab/>
            </w:r>
            <w:r>
              <w:rPr>
                <w:b/>
                <w:i/>
              </w:rPr>
              <w:t>panee merkille</w:t>
            </w:r>
            <w:r>
              <w:t xml:space="preserve">, että yhä useampia pankkikonttoreita suljetaan; korostaa pienempien pankkien tehtävää kotitalouksien </w:t>
            </w:r>
            <w:r>
              <w:rPr>
                <w:b/>
                <w:i/>
              </w:rPr>
              <w:t>ja paikallisten yritysten</w:t>
            </w:r>
            <w:r>
              <w:t xml:space="preserve"> palvelujen saatavuudessa; korostaa</w:t>
            </w:r>
            <w:r>
              <w:rPr>
                <w:b/>
                <w:i/>
              </w:rPr>
              <w:t>, että valvonta- ja vakavaraisuussääntely on mukautettava pienempien pankkien kokoon, monimutkaisuuteen ja riskiprofiiliin suhteellisuusperiaatteen mukaisesti, jotta voidaan poistaa kohtuuton sääntelytaakka, joka haittaa niiden kykyä kasvaa, kilpailla ja palvella jatkossakin reaalitaloutta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pitää valitettavana</w:t>
            </w:r>
            <w:r>
              <w:t>, että yhä useampia pankkikonttoreita suljetaan</w:t>
            </w:r>
            <w:r>
              <w:rPr>
                <w:b/>
                <w:i/>
              </w:rPr>
              <w:t>, mikä vaikuttaa</w:t>
            </w:r>
            <w:r>
              <w:t xml:space="preserve"> haavoittuvassa asemassa oleviin ja syrjäisiin yhteisöihin; korostaa pienempien pankkien tehtävää kotitalouksien palvelujen saatavuudessa; panee huolestuneena merkille tekoälyyn liittyvät työpaikkojen menetykset; korostaa tarvetta turvata työpaikkojen laatu, oikeudenmukaiset ehdot ja tasapuoliset pankkipalvelujen käyttömahdollisuudet;</w:t>
            </w:r>
          </w:p>
        </w:tc>
        <w:tc>
          <w:tcPr>
            <w:tcW w:w="4876" w:type="dxa"/>
            <w:tcBorders>
              <w:top w:val="nil"/>
              <w:left w:val="nil"/>
              <w:bottom w:val="nil"/>
              <w:right w:val="nil"/>
            </w:tcBorders>
          </w:tcPr>
          <w:p>
            <w:pPr>
              <w:pStyle w:val="Normal6a"/>
            </w:pPr>
            <w:r>
              <w:t>13.</w:t>
            </w:r>
            <w:r>
              <w:tab/>
            </w:r>
            <w:r>
              <w:rPr>
                <w:b/>
                <w:i/>
              </w:rPr>
              <w:t>panee merkille</w:t>
            </w:r>
            <w:r>
              <w:t xml:space="preserve">, että yhä useampia pankkikonttoreita suljetaan </w:t>
            </w:r>
            <w:r>
              <w:rPr>
                <w:b/>
                <w:i/>
              </w:rPr>
              <w:t>ja tätä tapahtuu toisissa jäsenvaltioissa enemmän, toisissa vähemmän;</w:t>
            </w:r>
            <w:r>
              <w:t xml:space="preserve"> </w:t>
            </w:r>
            <w:r>
              <w:rPr>
                <w:b/>
                <w:i/>
              </w:rPr>
              <w:t>toteaa, että pankkikonttoreiden sulkemisella voi olla merkittäviä vaikutuksia</w:t>
            </w:r>
            <w:r>
              <w:t xml:space="preserve"> haavoittuvassa asemassa oleviin ja syrjäisiin yhteisöihin</w:t>
            </w:r>
            <w:r>
              <w:rPr>
                <w:b/>
                <w:i/>
              </w:rPr>
              <w:t>, ja korostaa samalla esimerkkejä teknologisista innovoinneista, joiden ansiosta joillakin käyttäjillä on mahdollisuus parempiin palveluihin etänä;</w:t>
            </w:r>
            <w:r>
              <w:t xml:space="preserve"> </w:t>
            </w:r>
            <w:r>
              <w:rPr>
                <w:b/>
                <w:i/>
              </w:rPr>
              <w:t>palauttaa mieliin esimerkkejä eri pankkien yhteistyöstä fyysisten pankkipalvelujen tarjoamiseksi asiakkaille siitä huolimatta, että pankkikonttoreita suljetaan sekä maaseutu- että kaupunkialueilla</w:t>
            </w:r>
            <w:r>
              <w:t xml:space="preserve">; korostaa pienempien pankkien tehtävää kotitalouksien palvelujen saatavuudessa; </w:t>
            </w:r>
            <w:r>
              <w:rPr>
                <w:b/>
                <w:i/>
              </w:rPr>
              <w:t>korostaa suurempien pankkien panosta Euroopan talouden kilpailukykyyn ja rahoitukseen;</w:t>
            </w:r>
            <w:r>
              <w:t xml:space="preserve"> panee huolestuneena merkille tekoälyyn liittyvät työpaikkojen menetykset </w:t>
            </w:r>
            <w:r>
              <w:rPr>
                <w:b/>
                <w:i/>
              </w:rPr>
              <w:t>ja tekoälyyn liittyvät mahdolliset vaarat, jotka johtavat riskien keskittymiseen pankkien taseisiin</w:t>
            </w:r>
            <w:r>
              <w:t xml:space="preserve">; korostaa tarvetta turvata </w:t>
            </w:r>
            <w:r>
              <w:rPr>
                <w:b/>
                <w:i/>
              </w:rPr>
              <w:t>korkealaatuinen riskinhallinta,</w:t>
            </w:r>
            <w:r>
              <w:t xml:space="preserve"> työpaikkojen laatu, oikeudenmukaiset ehdot ja tasapuoliset pankkipalvelujen käyttömahdollisuudet;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pitää valitettavana, että yhä useampia pankkikonttoreita suljetaan, mikä vaikuttaa haavoittuvassa asemassa oleviin ja syrjäisiin yhteisöihin; korostaa pienempien pankkien tehtävää </w:t>
            </w:r>
            <w:r>
              <w:rPr>
                <w:b/>
                <w:i/>
              </w:rPr>
              <w:t>kotitalouksien</w:t>
            </w:r>
            <w:r>
              <w:t xml:space="preserve"> palvelujen </w:t>
            </w:r>
            <w:r>
              <w:rPr>
                <w:b/>
                <w:i/>
              </w:rPr>
              <w:t>saatavuudessa;</w:t>
            </w:r>
            <w:r>
              <w:t xml:space="preserve"> </w:t>
            </w:r>
            <w:r>
              <w:rPr>
                <w:b/>
                <w:i/>
              </w:rPr>
              <w:t>panee huolestuneena merkille tekoälyyn liittyvät työpaikkojen menetykset;</w:t>
            </w:r>
            <w:r>
              <w:t xml:space="preserve"> </w:t>
            </w:r>
            <w:r>
              <w:rPr>
                <w:b/>
                <w:i/>
              </w:rPr>
              <w:t>korostaa</w:t>
            </w:r>
            <w:r>
              <w:t xml:space="preserve"> tarvetta </w:t>
            </w:r>
            <w:r>
              <w:rPr>
                <w:b/>
                <w:i/>
              </w:rPr>
              <w:t>turvata työpaikkojen laatu, oikeudenmukaiset ehdot ja tasapuoliset pankkipalvelujen käyttömahdollisuudet</w:t>
            </w:r>
            <w:r>
              <w:t>;</w:t>
            </w:r>
          </w:p>
        </w:tc>
        <w:tc>
          <w:tcPr>
            <w:tcW w:w="4876" w:type="dxa"/>
            <w:tcBorders>
              <w:top w:val="nil"/>
              <w:left w:val="nil"/>
              <w:bottom w:val="nil"/>
              <w:right w:val="nil"/>
            </w:tcBorders>
          </w:tcPr>
          <w:p>
            <w:pPr>
              <w:pStyle w:val="Normal6a"/>
            </w:pPr>
            <w:r>
              <w:t>13.</w:t>
            </w:r>
            <w:r>
              <w:tab/>
            </w:r>
            <w:r>
              <w:t xml:space="preserve">pitää valitettavana, että yhä useampia pankkikonttoreita suljetaan, mikä vaikuttaa haavoittuvassa asemassa oleviin ja syrjäisiin yhteisöihin; </w:t>
            </w:r>
            <w:r>
              <w:rPr>
                <w:b/>
                <w:i/>
              </w:rPr>
              <w:t>tähdentää, että tämä suuntaus johtuu ainakin osittain liiallisesta sääntelytaakasta;</w:t>
            </w:r>
            <w:r>
              <w:t xml:space="preserve"> korostaa pienempien pankkien tehtävää palvelujen </w:t>
            </w:r>
            <w:r>
              <w:rPr>
                <w:b/>
                <w:i/>
              </w:rPr>
              <w:t>tarjoamisessa kotitalouksille ja</w:t>
            </w:r>
            <w:r>
              <w:t xml:space="preserve"> tarvetta </w:t>
            </w:r>
            <w:r>
              <w:rPr>
                <w:b/>
                <w:i/>
              </w:rPr>
              <w:t>kehittää edelleen pieniä pankkeja koskevaa järjestelmää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pitää valitettavana, että yhä useampia pankkikonttoreita suljetaan, mikä vaikuttaa haavoittuvassa asemassa oleviin ja syrjäisiin yhteisöihin; korostaa pienempien pankkien tehtävää kotitalouksien palvelujen saatavuudessa; panee huolestuneena merkille tekoälyyn liittyvät työpaikkojen menetykset; korostaa tarvetta turvata työpaikkojen laatu, oikeudenmukaiset ehdot ja tasapuoliset pankkipalvelujen käyttömahdollisuudet;</w:t>
            </w:r>
          </w:p>
        </w:tc>
        <w:tc>
          <w:tcPr>
            <w:tcW w:w="4876" w:type="dxa"/>
            <w:tcBorders>
              <w:top w:val="nil"/>
              <w:left w:val="nil"/>
              <w:bottom w:val="nil"/>
              <w:right w:val="nil"/>
            </w:tcBorders>
          </w:tcPr>
          <w:p>
            <w:pPr>
              <w:pStyle w:val="Normal6a"/>
            </w:pPr>
            <w:r>
              <w:t>13.</w:t>
            </w:r>
            <w:r>
              <w:tab/>
            </w:r>
            <w:r>
              <w:t xml:space="preserve">pitää valitettavana, että yhä useampia pankkikonttoreita suljetaan, mikä vaikuttaa haavoittuvassa asemassa oleviin ja syrjäisiin yhteisöihin; </w:t>
            </w:r>
            <w:r>
              <w:rPr>
                <w:b/>
                <w:i/>
              </w:rPr>
              <w:t>muistuttaa kansalaisten oikeudesta saada perusrahoituspalveluja;</w:t>
            </w:r>
            <w:r>
              <w:t xml:space="preserve"> korostaa pienempien pankkien tehtävää kotitalouksien palvelujen saatavuudessa; </w:t>
            </w:r>
            <w:r>
              <w:rPr>
                <w:b/>
                <w:i/>
              </w:rPr>
              <w:t>korostaa, että pankkialan liiketoimintamallien moninaisuus parantaa rahoitusjärjestelmän häiriönsietokykyä;</w:t>
            </w:r>
            <w:r>
              <w:t xml:space="preserve"> panee huolestuneena merkille tekoälyyn liittyvät työpaikkojen menetykset</w:t>
            </w:r>
            <w:r>
              <w:rPr>
                <w:b/>
                <w:i/>
              </w:rPr>
              <w:t>;</w:t>
            </w:r>
            <w:r>
              <w:t xml:space="preserve"> </w:t>
            </w:r>
            <w:r>
              <w:rPr>
                <w:b/>
                <w:i/>
              </w:rPr>
              <w:t>kehottaa luottolaitoksia panemaan täytäntöön uudelleenkoulutustoimia ja varmistamaan ihmisen suorittaman valvonnan automaattisessa päätöksenteossa</w:t>
            </w:r>
            <w:r>
              <w:t>; korostaa tarvetta turvata työpaikkojen laatu, oikeudenmukaiset ehdot ja tasapuoliset pankkipalvelujen käyttömahdollisuudet;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pitää valitettavana, että yhä useampia pankkikonttoreita suljetaan, mikä vaikuttaa haavoittuvassa asemassa oleviin </w:t>
            </w:r>
            <w:r>
              <w:rPr>
                <w:b/>
                <w:i/>
              </w:rPr>
              <w:t>ja syrjäisiin</w:t>
            </w:r>
            <w:r>
              <w:t xml:space="preserve"> yhteisöihin; korostaa pienempien pankkien tehtävää kotitalouksien palvelujen saatavuudessa; </w:t>
            </w:r>
            <w:r>
              <w:rPr>
                <w:b/>
                <w:i/>
              </w:rPr>
              <w:t>panee huolestuneena merkille tekoälyyn liittyvät työpaikkojen menetykset;</w:t>
            </w:r>
            <w:r>
              <w:t xml:space="preserve"> korostaa </w:t>
            </w:r>
            <w:r>
              <w:rPr>
                <w:b/>
                <w:i/>
              </w:rPr>
              <w:t>tarvetta turvata</w:t>
            </w:r>
            <w:r>
              <w:t xml:space="preserve"> työpaikkojen laatu, oikeudenmukaiset ehdot ja tasapuoliset pankkipalvelujen käyttömahdollisuudet;</w:t>
            </w:r>
          </w:p>
        </w:tc>
        <w:tc>
          <w:tcPr>
            <w:tcW w:w="4876" w:type="dxa"/>
            <w:tcBorders>
              <w:top w:val="nil"/>
              <w:left w:val="nil"/>
              <w:bottom w:val="nil"/>
              <w:right w:val="nil"/>
            </w:tcBorders>
          </w:tcPr>
          <w:p>
            <w:pPr>
              <w:pStyle w:val="Normal6a"/>
            </w:pPr>
            <w:r>
              <w:t>13.</w:t>
            </w:r>
            <w:r>
              <w:tab/>
            </w:r>
            <w:r>
              <w:t xml:space="preserve">pitää valitettavana, että yhä useampia pankkikonttoreita suljetaan </w:t>
            </w:r>
            <w:r>
              <w:rPr>
                <w:b/>
                <w:i/>
              </w:rPr>
              <w:t>maaseutualueilla</w:t>
            </w:r>
            <w:r>
              <w:t xml:space="preserve">, mikä vaikuttaa haavoittuvassa asemassa oleviin yhteisöihin; korostaa pienempien pankkien tehtävää kotitalouksien palvelujen saatavuudessa; korostaa </w:t>
            </w:r>
            <w:r>
              <w:rPr>
                <w:b/>
                <w:i/>
              </w:rPr>
              <w:t>digitalisaation ja tekoälyn merkitystä pankkialan tehokkuuden vahvistamisessa, kuten toimintojen virtaviivaistamisessa, kustannusten vähentämisessä ja asiakaspalvelun nopeuden ja laadun parantamisessa, samalla kun varmistetaan</w:t>
            </w:r>
            <w:r>
              <w:t xml:space="preserve"> työpaikkojen laatu, oikeudenmukaiset ehdot ja tasapuoliset pankkipalvelujen käyttömahdollisuudet;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pitää valitettavana, että yhä useampia pankkikonttoreita suljetaan, mikä vaikuttaa haavoittuvassa asemassa oleviin ja syrjäisiin yhteisöihin; korostaa pienempien pankkien tehtävää kotitalouksien palvelujen saatavuudessa; panee huolestuneena merkille tekoälyyn liittyvät työpaikkojen menetykset; korostaa tarvetta turvata työpaikkojen laatu, oikeudenmukaiset ehdot ja tasapuoliset pankkipalvelujen käyttömahdollisuudet;</w:t>
            </w:r>
          </w:p>
        </w:tc>
        <w:tc>
          <w:tcPr>
            <w:tcW w:w="4876" w:type="dxa"/>
            <w:tcBorders>
              <w:top w:val="nil"/>
              <w:left w:val="nil"/>
              <w:bottom w:val="nil"/>
              <w:right w:val="nil"/>
            </w:tcBorders>
          </w:tcPr>
          <w:p>
            <w:pPr>
              <w:pStyle w:val="Normal6a"/>
            </w:pPr>
            <w:r>
              <w:t>13.</w:t>
            </w:r>
            <w:r>
              <w:tab/>
            </w:r>
            <w:r>
              <w:t xml:space="preserve">pitää valitettavana, että yhä useampia pankkikonttoreita suljetaan </w:t>
            </w:r>
            <w:r>
              <w:rPr>
                <w:b/>
                <w:i/>
              </w:rPr>
              <w:t>ainakin osaksi sääntelytaakan lisääntymisen vuoksi</w:t>
            </w:r>
            <w:r>
              <w:t xml:space="preserve">, mikä vaikuttaa haavoittuvassa asemassa oleviin ja syrjäisiin yhteisöihin; korostaa pienempien pankkien tehtävää kotitalouksien palvelujen saatavuudessa; panee huolestuneena merkille tekoälyyn liittyvät työpaikkojen menetykset; korostaa tarvetta turvata työpaikkojen laatu, oikeudenmukaiset ehdot ja tasapuoliset pankkipalvelujen käyttömahdollisuudet; </w:t>
            </w:r>
            <w:r>
              <w:rPr>
                <w:b/>
                <w:i/>
              </w:rPr>
              <w:t>suhtautuu myönteisesti toimintamalliin, jossa pannaan täytäntöön pieniä pankkeja koskeva järjestelmä;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pitää valitettavana, että yhä useampia pankkikonttoreita suljetaan, mikä vaikuttaa haavoittuvassa asemassa oleviin ja syrjäisiin yhteisöihin; korostaa pienempien pankkien tehtävää kotitalouksien palvelujen saatavuudessa; panee huolestuneena merkille tekoälyyn liittyvät työpaikkojen menetykset; korostaa tarvetta turvata työpaikkojen laatu, oikeudenmukaiset ehdot ja tasapuoliset pankkipalvelujen käyttömahdollisuudet;</w:t>
            </w:r>
          </w:p>
        </w:tc>
        <w:tc>
          <w:tcPr>
            <w:tcW w:w="4876" w:type="dxa"/>
            <w:tcBorders>
              <w:top w:val="nil"/>
              <w:left w:val="nil"/>
              <w:bottom w:val="nil"/>
              <w:right w:val="nil"/>
            </w:tcBorders>
          </w:tcPr>
          <w:p>
            <w:pPr>
              <w:pStyle w:val="Normal6a"/>
            </w:pPr>
            <w:r>
              <w:t>13.</w:t>
            </w:r>
            <w:r>
              <w:tab/>
            </w:r>
            <w:r>
              <w:t>pitää valitettavana, että yhä useampia pankkikonttoreita suljetaan, mikä vaikuttaa haavoittuvassa asemassa oleviin ja syrjäisiin yhteisöihin</w:t>
            </w:r>
            <w:r>
              <w:rPr>
                <w:b/>
                <w:i/>
              </w:rPr>
              <w:t>, ja toteaa, että pankkikonttoreiden sulkeminen johtuu osaksi sääntelytaakan lisääntymisestä</w:t>
            </w:r>
            <w:r>
              <w:t xml:space="preserve">; korostaa pienempien pankkien tehtävää kotitalouksien palvelujen saatavuudessa; panee huolestuneena merkille tekoälyyn liittyvät työpaikkojen menetykset; korostaa tarvetta turvata työpaikkojen laatu, oikeudenmukaiset ehdot ja tasapuoliset pankkipalvelujen käyttömahdollisuudet; </w:t>
            </w:r>
            <w:r>
              <w:rPr>
                <w:b/>
                <w:i/>
              </w:rPr>
              <w:t>suhtautuu myönteisesti toimintamalliin, jossa pannaan täytäntöön pieniä pankkeja koskeva järjestelmä;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pitää valitettavana, että yhä useampia pankkikonttoreita suljetaan, </w:t>
            </w:r>
            <w:r>
              <w:rPr>
                <w:b/>
                <w:i/>
              </w:rPr>
              <w:t>mikä</w:t>
            </w:r>
            <w:r>
              <w:t xml:space="preserve"> vaikuttaa haavoittuvassa asemassa oleviin ja syrjäisiin yhteisöihin; korostaa pienempien pankkien tehtävää kotitalouksien palvelujen saatavuudessa; panee huolestuneena merkille tekoälyyn liittyvät työpaikkojen menetykset; korostaa tarvetta turvata työpaikkojen laatu, oikeudenmukaiset ehdot ja tasapuoliset pankkipalvelujen käyttömahdollisuudet;</w:t>
            </w:r>
          </w:p>
        </w:tc>
        <w:tc>
          <w:tcPr>
            <w:tcW w:w="4876" w:type="dxa"/>
            <w:tcBorders>
              <w:top w:val="nil"/>
              <w:left w:val="nil"/>
              <w:bottom w:val="nil"/>
              <w:right w:val="nil"/>
            </w:tcBorders>
          </w:tcPr>
          <w:p>
            <w:pPr>
              <w:pStyle w:val="Normal6a"/>
            </w:pPr>
            <w:r>
              <w:t>13.</w:t>
            </w:r>
            <w:r>
              <w:tab/>
            </w:r>
            <w:r>
              <w:t xml:space="preserve">pitää valitettavana, että yhä useampia pankkikonttoreita suljetaan, </w:t>
            </w:r>
            <w:r>
              <w:rPr>
                <w:b/>
                <w:i/>
              </w:rPr>
              <w:t>ja toteaa, että tämä johtuu osaksi sääntelytaakan lisääntymisestä;</w:t>
            </w:r>
            <w:r>
              <w:t xml:space="preserve"> </w:t>
            </w:r>
            <w:r>
              <w:rPr>
                <w:b/>
                <w:i/>
              </w:rPr>
              <w:t>suhtautuu tässä yhteydessä myönteisesti toimintamalliin, jossa pannaan täytäntöön pieniä pankkeja koskeva järjestelmä;</w:t>
            </w:r>
            <w:r>
              <w:t xml:space="preserve"> </w:t>
            </w:r>
            <w:r>
              <w:rPr>
                <w:b/>
                <w:i/>
              </w:rPr>
              <w:t>toteaa myös, että pankkikonttoreiden sulkeminen</w:t>
            </w:r>
            <w:r>
              <w:t xml:space="preserve"> vaikuttaa </w:t>
            </w:r>
            <w:r>
              <w:rPr>
                <w:b/>
                <w:i/>
              </w:rPr>
              <w:t>suhteettomasti</w:t>
            </w:r>
            <w:r>
              <w:t xml:space="preserve"> haavoittuvassa asemassa oleviin ja syrjäisiin yhteisöihin; korostaa pienempien pankkien tehtävää kotitalouksien palvelujen saatavuudessa; panee huolestuneena merkille tekoälyyn liittyvät työpaikkojen menetykset; korostaa tarvetta turvata työpaikkojen laatu, oikeudenmukaiset ehdot ja tasapuoliset pankkipalvelujen käyttömahdollisuudet;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tuo esiin pankkikonttoriverkoston harvenemista ja siitä seuraavan riskin, että pankkikonttoreita ei pian ole enää ollenkaan, ja toteaa, että vaikutukset kohdistuvat erityisesti haavoittuvimmassa asemassa oleviin väestöryhmiin ja niihin EU:n alueisiin, joilla digitaalinen kuilu on syvin;</w:t>
            </w:r>
            <w:r>
              <w:t xml:space="preserve"> </w:t>
            </w:r>
            <w:r>
              <w:rPr>
                <w:b/>
                <w:i/>
              </w:rPr>
              <w:t>korostaa keskikokoisten ja pienten pankkien olennaisen tärkeää roolia peruspankkipalvelujen varmistamisessa erityisesti maaseutu-, vuoristo-, sisämaa- ja saarialueilla sekä EU:n syrjäisimmillä alueilla ja toteaa niiden tukevan kotitalouksia, pk-yrityksiä ja paikallistalouksia;</w:t>
            </w:r>
            <w:r>
              <w:t xml:space="preserve"> </w:t>
            </w:r>
            <w:r>
              <w:rPr>
                <w:b/>
                <w:i/>
              </w:rPr>
              <w:t>toteaa, että keskikokoisilla ja pienillä pankeilla on tärkeä sosioekonominen tehtävä, ja korostaa, että on kevennettävä niihin kohdistuvaa sääntelytaakkaa soveltamalla oikeasuhteisuusperiaatetta pankkivalvonnassa;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panee merkille rakenteelliset muutokset pankkien liiketoimintamalleissa, mukaan lukien digitalisaatiosta johtuvat muutokset, ja korostaa, että on tärkeää varmistaa jatkossakin, että kotitalouksilla ja pk-yrityksillä on tosiasiallinen mahdollisuus saada perusrahoituspalveluja;</w:t>
            </w:r>
            <w:r>
              <w:t xml:space="preserve"> </w:t>
            </w:r>
            <w:r>
              <w:rPr>
                <w:b/>
                <w:i/>
              </w:rPr>
              <w:t>korostaa roolia, joka pienemmillä laitoksilla ja uusilla digitaalisilla kanavilla voi olla tässä yhteydessä;</w:t>
            </w:r>
            <w:r>
              <w:t xml:space="preserve"> </w:t>
            </w:r>
            <w:r>
              <w:rPr>
                <w:b/>
                <w:i/>
              </w:rPr>
              <w:t>huomauttaa, että uuden teknologian, tekoäly mukaan luettuna, käyttöönottoa olisi hallinnoitava vastuullisesti ja siten, että edistetään osaamisen mukauttamista ja tuottavuuden parantamista haittaamatta innovointia tai Euroopan rahoitusalan kilpailukykyä;</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w:t>
            </w:r>
            <w:r>
              <w:tab/>
            </w:r>
            <w:r>
              <w:rPr>
                <w:b/>
                <w:i/>
              </w:rPr>
              <w:t>kehottaa komissiota selvittämään mahdollisuutta toteuttaa aloitteita, joilla turvattaisiin tietty, kaikissa jäsenvaltioissa yhdenmukainen vähimmäistaso rahoituspalvelujen saatavuudelle fyysisesti pankkikonttoreissa, sekä arvioimaan, voitaisiinko pankkikonttorien häviämiseen vastata siten, että tietty osuus pankkitoiminnan kannattavuuden lisäyksestä osoitetattaisiin konttoriverkoston tukemiseen;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panee merkille </w:t>
            </w:r>
            <w:r>
              <w:rPr>
                <w:b/>
                <w:i/>
              </w:rPr>
              <w:t>kryptovaroihin liittyvät riskit ja mahdollisuudet;</w:t>
            </w:r>
            <w:r>
              <w:t xml:space="preserve"> </w:t>
            </w:r>
            <w:r>
              <w:rPr>
                <w:b/>
                <w:i/>
              </w:rPr>
              <w:t>vaatii johdonmukaista valvontaa sen varmistamiseksi, että innovointi palvelee suurta yleisöä</w:t>
            </w:r>
            <w:r>
              <w:t>; kehottaa EU:n ja kansallisia viranomaisia seuraamaan altistumista, puuttumaan keinotteluriskeihin, torjumaan talousrikollisuutta ja suojelemaan kuluttajia;</w:t>
            </w:r>
          </w:p>
        </w:tc>
        <w:tc>
          <w:tcPr>
            <w:tcW w:w="4876" w:type="dxa"/>
            <w:tcBorders>
              <w:top w:val="nil"/>
              <w:left w:val="nil"/>
              <w:bottom w:val="nil"/>
              <w:right w:val="nil"/>
            </w:tcBorders>
          </w:tcPr>
          <w:p>
            <w:pPr>
              <w:pStyle w:val="Normal6a"/>
            </w:pPr>
            <w:r>
              <w:t>14.</w:t>
            </w:r>
            <w:r>
              <w:tab/>
            </w:r>
            <w:r>
              <w:t xml:space="preserve">panee merkille </w:t>
            </w:r>
            <w:r>
              <w:rPr>
                <w:b/>
                <w:i/>
              </w:rPr>
              <w:t>rahoitusvarojen riskien ja mahdollisuuksien tokenisoinnin;</w:t>
            </w:r>
            <w:r>
              <w:t xml:space="preserve"> </w:t>
            </w:r>
            <w:r>
              <w:rPr>
                <w:b/>
                <w:i/>
              </w:rPr>
              <w:t>kehottaa soveltamaan sääntelyyn ja valvontaan periaatteellista ja oikeasuhteista lähestymistapaa, joka ei haittaa innovointia</w:t>
            </w:r>
            <w:r>
              <w:t>; kehottaa EU:n ja kansallisia viranomaisia seuraamaan altistumista, puuttumaan keinotteluriskeihin, torjumaan talousrikollisuutta ja suojelemaan kuluttajia;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panee merkille</w:t>
            </w:r>
            <w:r>
              <w:t xml:space="preserve"> kryptovaroihin </w:t>
            </w:r>
            <w:r>
              <w:rPr>
                <w:b/>
                <w:i/>
              </w:rPr>
              <w:t>liittyvät riskit ja mahdollisuudet</w:t>
            </w:r>
            <w:r>
              <w:t xml:space="preserve">; vaatii johdonmukaista valvontaa sen varmistamiseksi, että innovointi palvelee suurta yleisöä; kehottaa EU:n ja kansallisia viranomaisia seuraamaan altistumista, puuttumaan </w:t>
            </w:r>
            <w:r>
              <w:rPr>
                <w:b/>
                <w:i/>
              </w:rPr>
              <w:t>keinotteluriskeihin</w:t>
            </w:r>
            <w:r>
              <w:t>, torjumaan talousrikollisuutta ja suojelemaan kuluttajia;</w:t>
            </w:r>
          </w:p>
        </w:tc>
        <w:tc>
          <w:tcPr>
            <w:tcW w:w="4876" w:type="dxa"/>
            <w:tcBorders>
              <w:top w:val="nil"/>
              <w:left w:val="nil"/>
              <w:bottom w:val="nil"/>
              <w:right w:val="nil"/>
            </w:tcBorders>
          </w:tcPr>
          <w:p>
            <w:pPr>
              <w:pStyle w:val="Normal6a"/>
            </w:pPr>
            <w:r>
              <w:t>14.</w:t>
            </w:r>
            <w:r>
              <w:tab/>
            </w:r>
            <w:r>
              <w:rPr>
                <w:b/>
                <w:i/>
              </w:rPr>
              <w:t>korostaa</w:t>
            </w:r>
            <w:r>
              <w:t xml:space="preserve"> kryptovaroihin </w:t>
            </w:r>
            <w:r>
              <w:rPr>
                <w:b/>
                <w:i/>
              </w:rPr>
              <w:t>liittyviä riskejä</w:t>
            </w:r>
            <w:r>
              <w:t xml:space="preserve">; vaatii johdonmukaista valvontaa sen varmistamiseksi, että innovointi palvelee suurta yleisöä; kehottaa EU:n ja kansallisia viranomaisia seuraamaan altistumista, puuttumaan </w:t>
            </w:r>
            <w:r>
              <w:rPr>
                <w:b/>
                <w:i/>
              </w:rPr>
              <w:t>riskeihin, ehkäisemään keinottelua</w:t>
            </w:r>
            <w:r>
              <w:t>, torjumaan talousrikollisuutta ja suojelemaan kuluttajia;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panee merkille kryptovaroihin liittyvät riskit ja mahdollisuudet</w:t>
            </w:r>
            <w:r>
              <w:t>; vaatii johdonmukaista valvontaa sen varmistamiseksi, että innovointi palvelee suurta yleisöä; kehottaa EU:n ja kansallisia viranomaisia seuraamaan altistumista, puuttumaan keinotteluriskeihin, torjumaan talousrikollisuutta ja suojelemaan kuluttajia;</w:t>
            </w:r>
          </w:p>
        </w:tc>
        <w:tc>
          <w:tcPr>
            <w:tcW w:w="4876" w:type="dxa"/>
            <w:tcBorders>
              <w:top w:val="nil"/>
              <w:left w:val="nil"/>
              <w:bottom w:val="nil"/>
              <w:right w:val="nil"/>
            </w:tcBorders>
          </w:tcPr>
          <w:p>
            <w:pPr>
              <w:pStyle w:val="Normal6a"/>
            </w:pPr>
            <w:r>
              <w:t>14.</w:t>
            </w:r>
            <w:r>
              <w:tab/>
            </w:r>
            <w:r>
              <w:rPr>
                <w:b/>
                <w:i/>
              </w:rPr>
              <w:t>korostaa kryptovarojen aiheuttamia erityisiä riskejä;</w:t>
            </w:r>
            <w:r>
              <w:t xml:space="preserve"> </w:t>
            </w:r>
            <w:r>
              <w:rPr>
                <w:b/>
                <w:i/>
              </w:rPr>
              <w:t>muistuttaa, että kryptovarat ovat erittäin epävakaita ja tuottamattomia omaisuuseriä, joita käytetään pääasiassa keinottelutarkoituksiin</w:t>
            </w:r>
            <w:r>
              <w:t>; vaatii johdonmukaista valvontaa sen varmistamiseksi, että innovointi palvelee suurta yleisöä; kehottaa EU:n ja kansallisia viranomaisia seuraamaan altistumista, puuttumaan keinotteluriskeihin, torjumaan talousrikollisuutta ja suojelemaan kuluttajia;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panee merkille kryptovaroihin liittyvät riskit ja mahdollisuudet; vaatii johdonmukaista valvontaa </w:t>
            </w:r>
            <w:r>
              <w:rPr>
                <w:b/>
                <w:i/>
              </w:rPr>
              <w:t>sen varmistamiseksi, että innovointi palvelee suurta yleisöä</w:t>
            </w:r>
            <w:r>
              <w:t>; kehottaa EU:n ja kansallisia viranomaisia seuraamaan altistumista, puuttumaan keinotteluriskeihin, torjumaan talousrikollisuutta ja suojelemaan kuluttajia;</w:t>
            </w:r>
          </w:p>
        </w:tc>
        <w:tc>
          <w:tcPr>
            <w:tcW w:w="4876" w:type="dxa"/>
            <w:tcBorders>
              <w:top w:val="nil"/>
              <w:left w:val="nil"/>
              <w:bottom w:val="nil"/>
              <w:right w:val="nil"/>
            </w:tcBorders>
          </w:tcPr>
          <w:p>
            <w:pPr>
              <w:pStyle w:val="Normal6a"/>
            </w:pPr>
            <w:r>
              <w:t>14.</w:t>
            </w:r>
            <w:r>
              <w:tab/>
            </w:r>
            <w:r>
              <w:t xml:space="preserve">panee merkille kryptovaroihin liittyvät riskit ja mahdollisuudet; vaatii johdonmukaista </w:t>
            </w:r>
            <w:r>
              <w:rPr>
                <w:b/>
                <w:i/>
              </w:rPr>
              <w:t>ja innovaatiomyönteistä</w:t>
            </w:r>
            <w:r>
              <w:t xml:space="preserve"> valvontaa; kehottaa EU:n ja kansallisia viranomaisia seuraamaan altistumista, puuttumaan keinotteluriskeihin, torjumaan talousrikollisuutta ja suojelemaan kuluttajia;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panee merkille kryptovaroihin liittyvät riskit ja mahdollisuudet; vaatii </w:t>
            </w:r>
            <w:r>
              <w:rPr>
                <w:b/>
                <w:i/>
              </w:rPr>
              <w:t>johdonmukaista</w:t>
            </w:r>
            <w:r>
              <w:t xml:space="preserve"> valvontaa sen varmistamiseksi, että innovointi palvelee suurta yleisöä; kehottaa EU:n ja kansallisia viranomaisia seuraamaan altistumista, puuttumaan keinotteluriskeihin, torjumaan talousrikollisuutta ja suojelemaan kuluttajia;</w:t>
            </w:r>
          </w:p>
        </w:tc>
        <w:tc>
          <w:tcPr>
            <w:tcW w:w="4876" w:type="dxa"/>
            <w:tcBorders>
              <w:top w:val="nil"/>
              <w:left w:val="nil"/>
              <w:bottom w:val="nil"/>
              <w:right w:val="nil"/>
            </w:tcBorders>
          </w:tcPr>
          <w:p>
            <w:pPr>
              <w:pStyle w:val="Normal6a"/>
            </w:pPr>
            <w:r>
              <w:t>14.</w:t>
            </w:r>
            <w:r>
              <w:tab/>
            </w:r>
            <w:r>
              <w:t xml:space="preserve">panee merkille kryptovaroihin liittyvät riskit ja mahdollisuudet; vaatii </w:t>
            </w:r>
            <w:r>
              <w:rPr>
                <w:b/>
                <w:i/>
              </w:rPr>
              <w:t>lujaa</w:t>
            </w:r>
            <w:r>
              <w:t xml:space="preserve"> valvontaa sen varmistamiseksi, että innovointi palvelee suurta yleisöä; kehottaa EU:n ja kansallisia viranomaisia seuraamaan altistumista, puuttumaan keinotteluriskeihin, torjumaan talousrikollisuutta ja suojelemaan kuluttajia;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panee merkille kryptovaroihin liittyvät riskit ja mahdollisuudet; vaatii johdonmukaista valvontaa sen varmistamiseksi, että innovointi palvelee suurta yleisöä; kehottaa EU:n ja kansallisia viranomaisia seuraamaan altistumista, puuttumaan keinotteluriskeihin, torjumaan talousrikollisuutta ja suojelemaan kuluttajia;</w:t>
            </w:r>
          </w:p>
        </w:tc>
        <w:tc>
          <w:tcPr>
            <w:tcW w:w="4876" w:type="dxa"/>
            <w:tcBorders>
              <w:top w:val="nil"/>
              <w:left w:val="nil"/>
              <w:bottom w:val="nil"/>
              <w:right w:val="nil"/>
            </w:tcBorders>
          </w:tcPr>
          <w:p>
            <w:pPr>
              <w:pStyle w:val="Normal6a"/>
            </w:pPr>
            <w:r>
              <w:t>14.</w:t>
            </w:r>
            <w:r>
              <w:tab/>
            </w:r>
            <w:r>
              <w:t xml:space="preserve">panee merkille kryptovaroihin liittyvät riskit ja mahdollisuudet; vaatii johdonmukaista valvontaa sen varmistamiseksi, että innovointi palvelee suurta yleisöä; kehottaa EU:n ja kansallisia viranomaisia seuraamaan altistumista, puuttumaan keinotteluriskeihin, torjumaan talousrikollisuutta ja suojelemaan kuluttajia; </w:t>
            </w:r>
            <w:r>
              <w:rPr>
                <w:b/>
                <w:i/>
              </w:rPr>
              <w:t>korostaa maailmanlaajuisten standardien merkitystä tällä alalla ja tarvetta kartoittaa tapoja edistää euromääräisten stablecoin-valuuttojen kehittämistä EU:n rahapoliittisen suvereniteetin säilyttämiseksi;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kehottaa komissiota, EPV:tä ja pankkiunionin kansallisia toimivaltaisia viranomaisia varmistamaan asetuksen (EU) 2023/1114 (MiCA-asetus) tiukan, johdonmukaisen ja tarkan täytäntöönpanon ja noudattamisen valvonnan välttämättömänä täydennyksenä unionin pankkipohjaiselle rahoitusvakauskehykselle;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toteaa, että kolmansien maiden useaan kertaan liikkeeseen laskemat stablecoin-valuutat aiheuttavat riskejä EU:n pankeille ja että eri lainkäyttöalueiden välinen sääntelyn katvealueiden hyväksikäyttö voi johtaa talletuspakoihin EU:n pankeista ja sillä voi olla heijastusvaikutuksia;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kehottaa komissiota, EPV:tä ja kansallisia toimivaltaisia viranomaisia ottamaan asianmukaisesti huomioon EKP:n ja EJRK:n lausunnot, ohjeet ja suositukset;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c.</w:t>
            </w:r>
            <w:r>
              <w:tab/>
            </w:r>
            <w:r>
              <w:rPr>
                <w:b/>
                <w:i/>
              </w:rPr>
              <w:t>korostaa, että mahdollinen valvontaan liittyvä lievennys, hajanaisuus tai vapautukset MiCA-asetuksen soveltamisessa lisäisivät stablecoin-valuuttojen talletuspaon riskiä sekä riskiä häiriöiden leviämisestä pankkeihin, valtionvelkamarkkinoihin ja maksujärjestelmiin pankkiunionissa;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suhtautuu myönteisesti</w:t>
            </w:r>
            <w:r>
              <w:t xml:space="preserve"> kriisinhallintaa ja talletussuojaa </w:t>
            </w:r>
            <w:r>
              <w:rPr>
                <w:b/>
                <w:i/>
              </w:rPr>
              <w:t>koskevaan uudistukseen, jolla varmistetaan yhdenmukainen kriisinhallinta ja talletussuoja, lisätään vakautta sekä suojellaan säästöjä ja veronmaksajia;</w:t>
            </w:r>
            <w:r>
              <w:t xml:space="preserve"> </w:t>
            </w:r>
            <w:r>
              <w:rPr>
                <w:b/>
                <w:i/>
              </w:rPr>
              <w:t>korostaa, että pienemmissä pankeissa tarvitaan joustavuutta ja että viranomaisilla on oltava käytössään tehokkaat keinot, jotta ne voivat varmistaa häiriönsietokykyisen ja sosiaalisesti vastuullisen pankkiunionin</w:t>
            </w:r>
            <w:r>
              <w:t>;</w:t>
            </w:r>
          </w:p>
        </w:tc>
        <w:tc>
          <w:tcPr>
            <w:tcW w:w="4876" w:type="dxa"/>
            <w:tcBorders>
              <w:top w:val="nil"/>
              <w:left w:val="nil"/>
              <w:bottom w:val="nil"/>
              <w:right w:val="nil"/>
            </w:tcBorders>
          </w:tcPr>
          <w:p>
            <w:pPr>
              <w:pStyle w:val="Normal6a"/>
            </w:pPr>
            <w:r>
              <w:t>15.</w:t>
            </w:r>
            <w:r>
              <w:tab/>
            </w:r>
            <w:r>
              <w:rPr>
                <w:b/>
                <w:i/>
              </w:rPr>
              <w:t>on huolissaan</w:t>
            </w:r>
            <w:r>
              <w:t xml:space="preserve"> kriisinhallintaa ja talletussuojaa </w:t>
            </w:r>
            <w:r>
              <w:rPr>
                <w:b/>
                <w:i/>
              </w:rPr>
              <w:t>koskevasta uudistuksesta sen nykyisessä muodossa;</w:t>
            </w:r>
            <w:r>
              <w:t xml:space="preserve"> </w:t>
            </w:r>
            <w:r>
              <w:rPr>
                <w:b/>
                <w:i/>
              </w:rPr>
              <w:t>torjuu kaikki mallit, joissa taustalla olevat maksukyvyttömyysriskit peitetään monimutkaisten varautumisjärjestelyjen ja riskinjaon avulla, ja kritisoi ajatusta tappioiden jakamisesta jäsenvaltioiden kesken, mikä käytännössä sosialisoisi pankkiriskit ja vähentäisi markkinakuria;</w:t>
            </w:r>
            <w:r>
              <w:t xml:space="preserve"> </w:t>
            </w:r>
            <w:r>
              <w:rPr>
                <w:b/>
                <w:i/>
              </w:rPr>
              <w:t>katsoo, että nykyinen kriisinhallintaa ja talletussuojaa koskeva kehys ei saisi olla peruste sille, että rajatylittävää riskinjakoa laajennetaan ennenaikaisesti ilman selkeitä irtautumis- ja vastuuvelvollisuusmekanismeja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suhtautuu myönteisesti</w:t>
            </w:r>
            <w:r>
              <w:t xml:space="preserve"> kriisinhallintaa ja talletussuojaa </w:t>
            </w:r>
            <w:r>
              <w:rPr>
                <w:b/>
                <w:i/>
              </w:rPr>
              <w:t>koskevaan uudistukseen</w:t>
            </w:r>
            <w:r>
              <w:t xml:space="preserve">, jolla </w:t>
            </w:r>
            <w:r>
              <w:rPr>
                <w:b/>
                <w:i/>
              </w:rPr>
              <w:t>varmistetaan yhdenmukainen kriisinhallinta ja talletussuoja</w:t>
            </w:r>
            <w:r>
              <w:t xml:space="preserve">, lisätään vakautta sekä suojellaan säästöjä ja veronmaksajia; korostaa, että </w:t>
            </w:r>
            <w:r>
              <w:rPr>
                <w:b/>
                <w:i/>
              </w:rPr>
              <w:t>pienemmissä</w:t>
            </w:r>
            <w:r>
              <w:t xml:space="preserve"> pankeissa tarvitaan joustavuutta ja että viranomaisilla on oltava käytössään tehokkaat keinot, jotta ne voivat varmistaa häiriönsietokykyisen </w:t>
            </w:r>
            <w:r>
              <w:rPr>
                <w:b/>
                <w:i/>
              </w:rPr>
              <w:t>ja sosiaalisesti vastuullisen</w:t>
            </w:r>
            <w:r>
              <w:t xml:space="preserve"> pankkiunionin;</w:t>
            </w:r>
          </w:p>
        </w:tc>
        <w:tc>
          <w:tcPr>
            <w:tcW w:w="4876" w:type="dxa"/>
            <w:tcBorders>
              <w:top w:val="nil"/>
              <w:left w:val="nil"/>
              <w:bottom w:val="nil"/>
              <w:right w:val="nil"/>
            </w:tcBorders>
          </w:tcPr>
          <w:p>
            <w:pPr>
              <w:pStyle w:val="Normal6a"/>
            </w:pPr>
            <w:r>
              <w:t>15.</w:t>
            </w:r>
            <w:r>
              <w:tab/>
            </w:r>
            <w:r>
              <w:rPr>
                <w:b/>
                <w:i/>
              </w:rPr>
              <w:t>panee merkille</w:t>
            </w:r>
            <w:r>
              <w:t xml:space="preserve"> kriisinhallintaa ja talletussuojaa </w:t>
            </w:r>
            <w:r>
              <w:rPr>
                <w:b/>
                <w:i/>
              </w:rPr>
              <w:t>koskevan uudistuksen</w:t>
            </w:r>
            <w:r>
              <w:t xml:space="preserve">, jolla </w:t>
            </w:r>
            <w:r>
              <w:rPr>
                <w:b/>
                <w:i/>
              </w:rPr>
              <w:t>parannetaan kriisinhallintaa ja talletussuojaa</w:t>
            </w:r>
            <w:r>
              <w:t xml:space="preserve">, lisätään vakautta sekä suojellaan säästöjä ja veronmaksajia; korostaa, että </w:t>
            </w:r>
            <w:r>
              <w:rPr>
                <w:b/>
                <w:i/>
              </w:rPr>
              <w:t>pienissä ja keskisuurissa</w:t>
            </w:r>
            <w:r>
              <w:t xml:space="preserve"> pankeissa tarvitaan joustavuutta ja että viranomaisilla on oltava käytössään tehokkaat keinot, jotta ne voivat varmistaa häiriönsietokykyisen pankkiunionin; </w:t>
            </w:r>
            <w:r>
              <w:rPr>
                <w:b/>
                <w:i/>
              </w:rPr>
              <w:t>korostaa, että kriisinratkaisun olisi oltava oletusvaihtoehto vain niille pankeille, joiden kaatuminen vaikuttaisi rahoitusvakauteen, ja että maksukyvyttömyys pysyy siksi pienten ja keskisuurten pankkien oletusvaihtoehtona;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pankeissa tarvitaan joustavuutta ja että viranomaisilla on oltava käytössään tehokkaat keinot, </w:t>
            </w:r>
            <w:r>
              <w:rPr>
                <w:b/>
                <w:i/>
              </w:rPr>
              <w:t>jotta</w:t>
            </w:r>
            <w:r>
              <w:t xml:space="preserve"> ne voivat varmistaa </w:t>
            </w:r>
            <w:r>
              <w:rPr>
                <w:b/>
                <w:i/>
              </w:rPr>
              <w:t>häiriönsietokykyisen ja sosiaalisesti vastuullisen pankkiunionin</w:t>
            </w:r>
            <w:r>
              <w:t>;</w:t>
            </w:r>
          </w:p>
        </w:tc>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pankeissa tarvitaan joustavuutta ja että viranomaisilla on oltava käytössään tehokkaat keinot, </w:t>
            </w:r>
            <w:r>
              <w:rPr>
                <w:b/>
                <w:i/>
              </w:rPr>
              <w:t>joilla</w:t>
            </w:r>
            <w:r>
              <w:t xml:space="preserve"> ne voivat </w:t>
            </w:r>
            <w:r>
              <w:rPr>
                <w:b/>
                <w:i/>
              </w:rPr>
              <w:t>reagoida pankkien kaatumiseen ja turvata rahoitusvakauden, myös järjestelmäskenaariossa;</w:t>
            </w:r>
            <w:r>
              <w:t xml:space="preserve"> </w:t>
            </w:r>
            <w:r>
              <w:rPr>
                <w:b/>
                <w:i/>
              </w:rPr>
              <w:t>muistuttaa, että pankkien kriisinratkaisun tavoitteena on suojella rahoitusvakautta ja</w:t>
            </w:r>
            <w:r>
              <w:t xml:space="preserve"> varmistaa </w:t>
            </w:r>
            <w:r>
              <w:rPr>
                <w:b/>
                <w:i/>
              </w:rPr>
              <w:t>pankkien kriittiset toiminnot eikä pelastaa velkojia tai osakkeenomistajia;</w:t>
            </w:r>
            <w:r>
              <w:t xml:space="preserve"> </w:t>
            </w:r>
            <w:r>
              <w:rPr>
                <w:b/>
                <w:i/>
              </w:rPr>
              <w:t>korostaa, että kaatuvan pankin kriisinratkaisun tavanomaisilla maksukyvyttömyysmenettelyillä olisi edelleen oltava pääsääntö pankeille, jotka eivät ole järjestelmän kannalta merkittäviä, ja jos tämä suojaa tehokkaimmin pankin kriittisiä toimintoja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w:t>
            </w:r>
            <w:r>
              <w:rPr>
                <w:b/>
                <w:i/>
              </w:rPr>
              <w:t>pienemmissä pankeissa tarvitaan joustavuutta ja että</w:t>
            </w:r>
            <w:r>
              <w:t xml:space="preserve"> viranomaisilla on oltava käytössään tehokkaat keinot, jotta ne voivat varmistaa häiriönsietokykyisen ja sosiaalisesti vastuullisen pankkiunionin;</w:t>
            </w:r>
          </w:p>
        </w:tc>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viranomaisilla on oltava käytössään tehokkaat </w:t>
            </w:r>
            <w:r>
              <w:rPr>
                <w:b/>
                <w:i/>
              </w:rPr>
              <w:t>ja oikeasuhteiset</w:t>
            </w:r>
            <w:r>
              <w:t xml:space="preserve"> keinot, jotta ne voivat varmistaa häiriönsietokykyisen ja sosiaalisesti vastuullisen pankkiunionin;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pankeissa tarvitaan joustavuutta ja että viranomaisilla on oltava käytössään tehokkaat keinot, </w:t>
            </w:r>
            <w:r>
              <w:rPr>
                <w:b/>
                <w:i/>
              </w:rPr>
              <w:t>jotta ne voivat varmistaa häiriönsietokykyisen ja sosiaalisesti vastuullisen pankkiunionin</w:t>
            </w:r>
            <w:r>
              <w:t>;</w:t>
            </w:r>
          </w:p>
        </w:tc>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pankeissa tarvitaan joustavuutta ja että viranomaisilla on oltava käytössään tehokkaat keinot, </w:t>
            </w:r>
            <w:r>
              <w:rPr>
                <w:b/>
                <w:i/>
              </w:rPr>
              <w:t>joiden tukena on sääntelykehys, jolla edistetään pankkien kehitystä ja edistetään häiriönsietokykyistä ja taloudellisesti vakaata pankkiunionia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pankeissa tarvitaan joustavuutta ja että viranomaisilla on oltava käytössään tehokkaat keinot, jotta ne voivat varmistaa häiriönsietokykyisen </w:t>
            </w:r>
            <w:r>
              <w:rPr>
                <w:b/>
                <w:i/>
              </w:rPr>
              <w:t>ja sosiaalisesti vastuullisen</w:t>
            </w:r>
            <w:r>
              <w:t xml:space="preserve"> pankkiunionin;</w:t>
            </w:r>
          </w:p>
        </w:tc>
        <w:tc>
          <w:tcPr>
            <w:tcW w:w="4876" w:type="dxa"/>
            <w:tcBorders>
              <w:top w:val="nil"/>
              <w:left w:val="nil"/>
              <w:bottom w:val="nil"/>
              <w:right w:val="nil"/>
            </w:tcBorders>
          </w:tcPr>
          <w:p>
            <w:pPr>
              <w:pStyle w:val="Normal6a"/>
            </w:pPr>
            <w:r>
              <w:t>15.</w:t>
            </w:r>
            <w:r>
              <w:tab/>
            </w:r>
            <w:r>
              <w:t>suhtautuu myönteisesti kriisinhallintaa ja talletussuojaa koskevaan uudistukseen, jolla varmistetaan yhdenmukainen kriisinhallinta ja talletussuoja, lisätään vakautta sekä suojellaan säästöjä ja veronmaksajia; korostaa, että pienemmissä pankeissa tarvitaan joustavuutta ja että viranomaisilla on oltava käytössään tehokkaat keinot, jotta ne voivat varmistaa häiriönsietokykyisen pankkiunionin;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suhtautuu myönteisesti kriisinhallintaa ja talletussuojaa koskevaan uudistukseen, jolla varmistetaan yhdenmukainen kriisinhallinta ja talletussuoja, lisätään vakautta sekä suojellaan säästöjä ja veronmaksajia; korostaa</w:t>
            </w:r>
            <w:r>
              <w:rPr>
                <w:b/>
                <w:i/>
              </w:rPr>
              <w:t>, että pienemmissä pankeissa tarvitaan joustavuutta ja</w:t>
            </w:r>
            <w:r>
              <w:t xml:space="preserve"> että viranomaisilla on oltava käytössään tehokkaat keinot, jotta ne voivat varmistaa häiriönsietokykyisen ja sosiaalisesti vastuullisen pankkiunionin;</w:t>
            </w:r>
          </w:p>
        </w:tc>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w:t>
            </w:r>
            <w:r>
              <w:rPr>
                <w:b/>
                <w:i/>
              </w:rPr>
              <w:t>ja varmistetaan julkisten varojen parempi käyttö kriisinratkaisussa, kun se on yleisen edun mukaista</w:t>
            </w:r>
            <w:r>
              <w:t xml:space="preserve">; korostaa </w:t>
            </w:r>
            <w:r>
              <w:rPr>
                <w:b/>
                <w:i/>
              </w:rPr>
              <w:t>selkeän sääntelykehyksen merkitystä ja sitä,</w:t>
            </w:r>
            <w:r>
              <w:t xml:space="preserve"> että viranomaisilla on oltava käytössään tehokkaat keinot</w:t>
            </w:r>
            <w:r>
              <w:rPr>
                <w:b/>
                <w:i/>
              </w:rPr>
              <w:t>, tiedot ja päätöksentekomekanismit</w:t>
            </w:r>
            <w:r>
              <w:t>, jotta ne voivat varmistaa häiriönsietokykyisen ja sosiaalisesti vastuullisen pankkiunionin;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pankeissa tarvitaan joustavuutta </w:t>
            </w:r>
            <w:r>
              <w:rPr>
                <w:b/>
                <w:i/>
              </w:rPr>
              <w:t>ja</w:t>
            </w:r>
            <w:r>
              <w:t xml:space="preserve"> että viranomaisilla on oltava käytössään tehokkaat keinot, jotta ne voivat varmistaa häiriönsietokykyisen ja sosiaalisesti vastuullisen pankkiunionin;</w:t>
            </w:r>
          </w:p>
        </w:tc>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w:t>
            </w:r>
            <w:r>
              <w:rPr>
                <w:b/>
                <w:i/>
              </w:rPr>
              <w:t>ja keskisuurissa</w:t>
            </w:r>
            <w:r>
              <w:t xml:space="preserve"> pankeissa tarvitaan joustavuutta</w:t>
            </w:r>
            <w:r>
              <w:rPr>
                <w:b/>
                <w:i/>
              </w:rPr>
              <w:t>, ja toteaa, että kriisinratkaisukehys ei useinkaan ole näille sopivin väline vaan likvidaatio tavanomaisessa maksukyvyttömyysmenettelyssä on niille jatkossakin paras vaihtoehto, ja korostaa,</w:t>
            </w:r>
            <w:r>
              <w:t xml:space="preserve"> että viranomaisilla on oltava käytössään tehokkaat keinot, jotta ne voivat varmistaa häiriönsietokykyisen ja sosiaalisesti vastuullisen pankkiunionin;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pankeissa tarvitaan joustavuutta </w:t>
            </w:r>
            <w:r>
              <w:rPr>
                <w:b/>
                <w:i/>
              </w:rPr>
              <w:t>ja</w:t>
            </w:r>
            <w:r>
              <w:t xml:space="preserve"> että viranomaisilla on oltava käytössään tehokkaat keinot, jotta ne voivat varmistaa häiriönsietokykyisen ja sosiaalisesti vastuullisen pankkiunionin;</w:t>
            </w:r>
          </w:p>
        </w:tc>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w:t>
            </w:r>
            <w:r>
              <w:rPr>
                <w:b/>
                <w:i/>
              </w:rPr>
              <w:t>ja keskisuurissa</w:t>
            </w:r>
            <w:r>
              <w:t xml:space="preserve"> pankeissa tarvitaan joustavuutta</w:t>
            </w:r>
            <w:r>
              <w:rPr>
                <w:b/>
                <w:i/>
              </w:rPr>
              <w:t>, ja toteaa, että kriisinratkaisukehys ei useinkaan ole näille sopivin väline vaan likvidaatio tavanomaisessa maksukyvyttömyysmenettelyssä on niille jatkossakin paras vaihtoehto, ja korostaa,</w:t>
            </w:r>
            <w:r>
              <w:t xml:space="preserve"> että viranomaisilla on oltava käytössään tehokkaat keinot, jotta ne voivat varmistaa häiriönsietokykyisen ja sosiaalisesti vastuullisen pankkiunionin;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suhtautuu myönteisesti kriisinhallintaa ja talletussuojaa koskevaan uudistukseen, jolla varmistetaan yhdenmukainen kriisinhallinta ja talletussuoja, lisätään vakautta sekä suojellaan säästöjä ja veronmaksajia; korostaa, että pienemmissä pankeissa tarvitaan joustavuutta ja että viranomaisilla on oltava käytössään tehokkaat keinot, jotta ne voivat varmistaa häiriönsietokykyisen ja sosiaalisesti vastuullisen pankkiunionin;</w:t>
            </w:r>
          </w:p>
        </w:tc>
        <w:tc>
          <w:tcPr>
            <w:tcW w:w="4876" w:type="dxa"/>
            <w:tcBorders>
              <w:top w:val="nil"/>
              <w:left w:val="nil"/>
              <w:bottom w:val="nil"/>
              <w:right w:val="nil"/>
            </w:tcBorders>
          </w:tcPr>
          <w:p>
            <w:pPr>
              <w:pStyle w:val="Normal6a"/>
            </w:pPr>
            <w:r>
              <w:t>15.</w:t>
            </w:r>
            <w:r>
              <w:tab/>
            </w:r>
            <w:r>
              <w:t xml:space="preserve">suhtautuu myönteisesti kriisinhallintaa ja talletussuojaa koskevaan uudistukseen, jolla varmistetaan yhdenmukainen kriisinhallinta ja talletussuoja, lisätään vakautta sekä suojellaan säästöjä ja veronmaksajia; korostaa, että pienemmissä pankeissa tarvitaan joustavuutta ja että viranomaisilla on oltava käytössään tehokkaat keinot, jotta ne voivat varmistaa häiriönsietokykyisen ja sosiaalisesti vastuullisen pankkiunionin; </w:t>
            </w:r>
            <w:r>
              <w:rPr>
                <w:b/>
                <w:i/>
              </w:rPr>
              <w:t>korostaa tarvetta helpottaa talletussuojarahastojen käyttöä kriisinratkaisussa;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panee tyytyväisenä merkille ehdotuksen Euroopan parlamentin ja neuvoston direktiiviksi maksukyvyttömyyslainsäädännön tiettyjen näkökohtien yhdenmukaistamisesta, koska maksukyvyttömyyslainsäädännön ja uudelleenjärjestelymenettelyjen yhdenmukaistamisen jatkaminen voisi edistää pankkiunionin valmiiksi saattamista;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korostaa, että pankkien kaatuessa </w:t>
            </w:r>
            <w:r>
              <w:rPr>
                <w:b/>
                <w:i/>
              </w:rPr>
              <w:t>osakkeenomistajat, velkojat tai toimialan rahoittamat mekanismit olisi asetettava ensin vastuuseen ja julkisia varoja olisi käytettävä vasta viimeisijaisena keinona finanssipoliittisen vastuun, sosiaalisen oikeudenmukaisuuden ja markkinakurin mukaisesti</w:t>
            </w:r>
            <w:r>
              <w:t>;</w:t>
            </w:r>
          </w:p>
        </w:tc>
        <w:tc>
          <w:tcPr>
            <w:tcW w:w="4876" w:type="dxa"/>
            <w:tcBorders>
              <w:top w:val="nil"/>
              <w:left w:val="nil"/>
              <w:bottom w:val="nil"/>
              <w:right w:val="nil"/>
            </w:tcBorders>
          </w:tcPr>
          <w:p>
            <w:pPr>
              <w:pStyle w:val="Normal6a"/>
            </w:pPr>
            <w:r>
              <w:t>16.</w:t>
            </w:r>
            <w:r>
              <w:tab/>
            </w:r>
            <w:r>
              <w:t xml:space="preserve">korostaa, että </w:t>
            </w:r>
            <w:r>
              <w:rPr>
                <w:b/>
                <w:i/>
              </w:rPr>
              <w:t>vakavaraisuus- ja kriisinratkaisusääntöjen noudattamista on valvottava jatkuvasti ja tehokkaasti, jotta varmistetaan velkakirjojen arvon alaskirjauksen uskottavuus ja tehokas täytäntöönpano</w:t>
            </w:r>
            <w:r>
              <w:t xml:space="preserve"> pankkien kaatuessa</w:t>
            </w:r>
            <w:r>
              <w:rPr>
                <w:b/>
                <w:i/>
              </w:rPr>
              <w:t>;</w:t>
            </w:r>
            <w:r>
              <w:t xml:space="preserve"> </w:t>
            </w:r>
            <w:r>
              <w:rPr>
                <w:b/>
                <w:i/>
              </w:rPr>
              <w:t>korostaa, että rahoituslaitosten pelastamisen julkisin varoin on oltava ehdottomasti viimesijainen keino, jotta säilytetään finanssipoliittinen vastuu, suojellaan veronmaksajia ja ylläpidetään markkinakuria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korostaa, että pankkien kaatuessa </w:t>
            </w:r>
            <w:r>
              <w:rPr>
                <w:b/>
                <w:i/>
              </w:rPr>
              <w:t>osakkeenomistajat, velkojat</w:t>
            </w:r>
            <w:r>
              <w:t xml:space="preserve"> tai toimialan </w:t>
            </w:r>
            <w:r>
              <w:rPr>
                <w:b/>
                <w:i/>
              </w:rPr>
              <w:t>rahoittamat mekanismit</w:t>
            </w:r>
            <w:r>
              <w:t xml:space="preserve"> olisi </w:t>
            </w:r>
            <w:r>
              <w:rPr>
                <w:b/>
                <w:i/>
              </w:rPr>
              <w:t>asetettava ensin vastuuseen ja julkisia varoja olisi käytettävä vasta viimeisijaisena keinona finanssipoliittisen vastuun, sosiaalisen oikeudenmukaisuuden</w:t>
            </w:r>
            <w:r>
              <w:t xml:space="preserve"> ja markkinakurin mukaisesti;</w:t>
            </w:r>
          </w:p>
        </w:tc>
        <w:tc>
          <w:tcPr>
            <w:tcW w:w="4876" w:type="dxa"/>
            <w:tcBorders>
              <w:top w:val="nil"/>
              <w:left w:val="nil"/>
              <w:bottom w:val="nil"/>
              <w:right w:val="nil"/>
            </w:tcBorders>
          </w:tcPr>
          <w:p>
            <w:pPr>
              <w:pStyle w:val="Normal6a"/>
            </w:pPr>
            <w:r>
              <w:t>16.</w:t>
            </w:r>
            <w:r>
              <w:tab/>
            </w:r>
            <w:r>
              <w:t xml:space="preserve">korostaa, että pankkien kaatuessa </w:t>
            </w:r>
            <w:r>
              <w:rPr>
                <w:b/>
                <w:i/>
              </w:rPr>
              <w:t>osakkeenomistajien, velkojien</w:t>
            </w:r>
            <w:r>
              <w:t xml:space="preserve"> tai toimialan </w:t>
            </w:r>
            <w:r>
              <w:rPr>
                <w:b/>
                <w:i/>
              </w:rPr>
              <w:t>rahoittamien mekanismien</w:t>
            </w:r>
            <w:r>
              <w:t xml:space="preserve"> olisi </w:t>
            </w:r>
            <w:r>
              <w:rPr>
                <w:b/>
                <w:i/>
              </w:rPr>
              <w:t>vastattava ensisijaisesti tappioista vastuuvelvollisuuden periaatteen</w:t>
            </w:r>
            <w:r>
              <w:t xml:space="preserve"> ja markkinakurin mukaisesti; </w:t>
            </w:r>
            <w:r>
              <w:rPr>
                <w:b/>
                <w:i/>
              </w:rPr>
              <w:t>korostaa, että julkisia varoja olisi harkittava vasta viimesijaisena keinona ja poikkeuksellisissa olosuhteissa, jotta suojellaan veronmaksajia ja säilytetään rahoitusvakaus;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korostaa, että pankkien kaatuessa </w:t>
            </w:r>
            <w:r>
              <w:rPr>
                <w:b/>
                <w:i/>
              </w:rPr>
              <w:t>osakkeenomistajat, velkojat tai</w:t>
            </w:r>
            <w:r>
              <w:t xml:space="preserve"> toimialan </w:t>
            </w:r>
            <w:r>
              <w:rPr>
                <w:b/>
                <w:i/>
              </w:rPr>
              <w:t>rahoittamat mekanismit olisi asetettava ensin vastuuseen ja</w:t>
            </w:r>
            <w:r>
              <w:t xml:space="preserve"> julkisia varoja olisi käytettävä vasta </w:t>
            </w:r>
            <w:r>
              <w:rPr>
                <w:b/>
                <w:i/>
              </w:rPr>
              <w:t>viimeisijaisena</w:t>
            </w:r>
            <w:r>
              <w:t xml:space="preserve"> keinona finanssipoliittisen vastuun, sosiaalisen oikeudenmukaisuuden ja markkinakurin mukaisesti;</w:t>
            </w:r>
          </w:p>
        </w:tc>
        <w:tc>
          <w:tcPr>
            <w:tcW w:w="4876" w:type="dxa"/>
            <w:tcBorders>
              <w:top w:val="nil"/>
              <w:left w:val="nil"/>
              <w:bottom w:val="nil"/>
              <w:right w:val="nil"/>
            </w:tcBorders>
          </w:tcPr>
          <w:p>
            <w:pPr>
              <w:pStyle w:val="Normal6a"/>
            </w:pPr>
            <w:r>
              <w:t>16.</w:t>
            </w:r>
            <w:r>
              <w:tab/>
            </w:r>
            <w:r>
              <w:t xml:space="preserve">korostaa, että pankkien kaatuessa </w:t>
            </w:r>
            <w:r>
              <w:rPr>
                <w:b/>
                <w:i/>
              </w:rPr>
              <w:t>ensin olisi kirjattava alas osakkeenomistajien ja velkojien velkakirjojen arvo, koska se on ensisijainen kriisinratkaisun rahoituslähde ennen</w:t>
            </w:r>
            <w:r>
              <w:t xml:space="preserve"> toimialan </w:t>
            </w:r>
            <w:r>
              <w:rPr>
                <w:b/>
                <w:i/>
              </w:rPr>
              <w:t>rahoittamia mekanismeja, jotka toimivat toisena puolustuslinjana, kun taas</w:t>
            </w:r>
            <w:r>
              <w:t xml:space="preserve"> julkisia varoja olisi käytettävä vasta </w:t>
            </w:r>
            <w:r>
              <w:rPr>
                <w:b/>
                <w:i/>
              </w:rPr>
              <w:t>viimesijaisena</w:t>
            </w:r>
            <w:r>
              <w:t xml:space="preserve"> keinona finanssipoliittisen vastuun, sosiaalisen oikeudenmukaisuuden ja markkinakurin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korostaa, että pankkien kaatuessa osakkeenomistajat, velkojat tai toimialan rahoittamat mekanismit olisi asetettava ensin vastuuseen ja julkisia varoja olisi käytettävä vasta </w:t>
            </w:r>
            <w:r>
              <w:rPr>
                <w:b/>
                <w:i/>
              </w:rPr>
              <w:t>viimeisijaisena</w:t>
            </w:r>
            <w:r>
              <w:t xml:space="preserve"> keinona finanssipoliittisen vastuun</w:t>
            </w:r>
            <w:r>
              <w:rPr>
                <w:b/>
                <w:i/>
              </w:rPr>
              <w:t>, sosiaalisen oikeudenmukaisuuden</w:t>
            </w:r>
            <w:r>
              <w:t xml:space="preserve"> ja markkinakurin mukaisesti;</w:t>
            </w:r>
          </w:p>
        </w:tc>
        <w:tc>
          <w:tcPr>
            <w:tcW w:w="4876" w:type="dxa"/>
            <w:tcBorders>
              <w:top w:val="nil"/>
              <w:left w:val="nil"/>
              <w:bottom w:val="nil"/>
              <w:right w:val="nil"/>
            </w:tcBorders>
          </w:tcPr>
          <w:p>
            <w:pPr>
              <w:pStyle w:val="Normal6a"/>
            </w:pPr>
            <w:r>
              <w:t>16.</w:t>
            </w:r>
            <w:r>
              <w:tab/>
            </w:r>
            <w:r>
              <w:t xml:space="preserve">korostaa, että pankkien kaatuessa osakkeenomistajat, velkojat tai toimialan rahoittamat mekanismit olisi asetettava ensin vastuuseen ja julkisia varoja olisi käytettävä vasta </w:t>
            </w:r>
            <w:r>
              <w:rPr>
                <w:b/>
                <w:i/>
              </w:rPr>
              <w:t>viimesijaisena</w:t>
            </w:r>
            <w:r>
              <w:t xml:space="preserve"> keinona</w:t>
            </w:r>
            <w:r>
              <w:rPr>
                <w:b/>
                <w:i/>
              </w:rPr>
              <w:t>, koska olisi vältettävä turvautumista veronmaksajien rahoihin pankkien kriisinratkaisussa,</w:t>
            </w:r>
            <w:r>
              <w:t xml:space="preserve"> finanssipoliittisen vastuun ja markkinakurin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korostaa, että pankkien kaatuessa osakkeenomistajat, velkojat tai toimialan rahoittamat mekanismit olisi asetettava ensin vastuuseen ja julkisia varoja olisi käytettävä vasta </w:t>
            </w:r>
            <w:r>
              <w:rPr>
                <w:b/>
                <w:i/>
              </w:rPr>
              <w:t>viimeisijaisena</w:t>
            </w:r>
            <w:r>
              <w:t xml:space="preserve"> keinona finanssipoliittisen vastuun</w:t>
            </w:r>
            <w:r>
              <w:rPr>
                <w:b/>
                <w:i/>
              </w:rPr>
              <w:t>, sosiaalisen oikeudenmukaisuuden</w:t>
            </w:r>
            <w:r>
              <w:t xml:space="preserve"> ja markkinakurin mukaisesti;</w:t>
            </w:r>
          </w:p>
        </w:tc>
        <w:tc>
          <w:tcPr>
            <w:tcW w:w="4876" w:type="dxa"/>
            <w:tcBorders>
              <w:top w:val="nil"/>
              <w:left w:val="nil"/>
              <w:bottom w:val="nil"/>
              <w:right w:val="nil"/>
            </w:tcBorders>
          </w:tcPr>
          <w:p>
            <w:pPr>
              <w:pStyle w:val="Normal6a"/>
            </w:pPr>
            <w:r>
              <w:t>16.</w:t>
            </w:r>
            <w:r>
              <w:tab/>
            </w:r>
            <w:r>
              <w:t xml:space="preserve">korostaa, että pankkien kaatuessa osakkeenomistajat, velkojat tai toimialan rahoittamat mekanismit olisi asetettava ensin vastuuseen ja julkisia varoja olisi käytettävä vasta </w:t>
            </w:r>
            <w:r>
              <w:rPr>
                <w:b/>
                <w:i/>
              </w:rPr>
              <w:t>viimesijaisena</w:t>
            </w:r>
            <w:r>
              <w:t xml:space="preserve"> keinona finanssipoliittisen vastuun ja markkinakurin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korostaa, että pankkien kaatuessa osakkeenomistajat, velkojat tai toimialan rahoittamat mekanismit </w:t>
            </w:r>
            <w:r>
              <w:rPr>
                <w:b/>
                <w:i/>
              </w:rPr>
              <w:t>olisi</w:t>
            </w:r>
            <w:r>
              <w:t xml:space="preserve"> asetettava ensin vastuuseen ja julkisia varoja olisi käytettävä vasta </w:t>
            </w:r>
            <w:r>
              <w:rPr>
                <w:b/>
                <w:i/>
              </w:rPr>
              <w:t>viimeisijaisena</w:t>
            </w:r>
            <w:r>
              <w:t xml:space="preserve"> keinona finanssipoliittisen vastuun, sosiaalisen oikeudenmukaisuuden ja markkinakurin mukaisesti;</w:t>
            </w:r>
          </w:p>
        </w:tc>
        <w:tc>
          <w:tcPr>
            <w:tcW w:w="4876" w:type="dxa"/>
            <w:tcBorders>
              <w:top w:val="nil"/>
              <w:left w:val="nil"/>
              <w:bottom w:val="nil"/>
              <w:right w:val="nil"/>
            </w:tcBorders>
          </w:tcPr>
          <w:p>
            <w:pPr>
              <w:pStyle w:val="Normal6a"/>
            </w:pPr>
            <w:r>
              <w:t>16.</w:t>
            </w:r>
            <w:r>
              <w:tab/>
            </w:r>
            <w:r>
              <w:t xml:space="preserve">korostaa, että pankkien kaatuessa osakkeenomistajat, velkojat tai toimialan rahoittamat mekanismit </w:t>
            </w:r>
            <w:r>
              <w:rPr>
                <w:b/>
                <w:i/>
              </w:rPr>
              <w:t>on</w:t>
            </w:r>
            <w:r>
              <w:t xml:space="preserve"> asetettava ensin vastuuseen ja julkisia varoja olisi käytettävä vasta </w:t>
            </w:r>
            <w:r>
              <w:rPr>
                <w:b/>
                <w:i/>
              </w:rPr>
              <w:t>viimesijaisena</w:t>
            </w:r>
            <w:r>
              <w:t xml:space="preserve"> keinona finanssipoliittisen vastuun, sosiaalisen oikeudenmukaisuuden ja markkinakurin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palauttaa mieliin, että riittävä omia varoja ja hyväksyttäviä velkoja koskeva vähimmäisvaatimus (MREL-vähimmäisvaatimus) on olennaisen tärkeä kriisinratkaisukehyksen uskottavuuden ja </w:t>
            </w:r>
            <w:r>
              <w:rPr>
                <w:b/>
                <w:i/>
              </w:rPr>
              <w:t>riittävien</w:t>
            </w:r>
            <w:r>
              <w:t xml:space="preserve"> joustomahdollisuuksien tarjoamiseksi viranomaisille, jotta ne voivat soveltaa tarvittavia kriisinratkaisustrategioita </w:t>
            </w:r>
            <w:r>
              <w:rPr>
                <w:b/>
                <w:i/>
              </w:rPr>
              <w:t>kriisitilanteessa</w:t>
            </w:r>
            <w:r>
              <w:t>;</w:t>
            </w:r>
          </w:p>
        </w:tc>
        <w:tc>
          <w:tcPr>
            <w:tcW w:w="4876" w:type="dxa"/>
            <w:tcBorders>
              <w:top w:val="nil"/>
              <w:left w:val="nil"/>
              <w:bottom w:val="nil"/>
              <w:right w:val="nil"/>
            </w:tcBorders>
          </w:tcPr>
          <w:p>
            <w:pPr>
              <w:pStyle w:val="Normal6a"/>
            </w:pPr>
            <w:r>
              <w:t>17.</w:t>
            </w:r>
            <w:r>
              <w:tab/>
            </w:r>
            <w:r>
              <w:t xml:space="preserve">palauttaa mieliin, että riittävä omia varoja ja hyväksyttäviä velkoja koskeva vähimmäisvaatimus (MREL-vähimmäisvaatimus) on olennaisen tärkeä kriisinratkaisukehyksen uskottavuuden ja </w:t>
            </w:r>
            <w:r>
              <w:rPr>
                <w:b/>
                <w:i/>
              </w:rPr>
              <w:t>tehokkaiden</w:t>
            </w:r>
            <w:r>
              <w:t xml:space="preserve"> joustomahdollisuuksien tarjoamiseksi viranomaisille, jotta ne voivat soveltaa tarvittavia kriisinratkaisustrategioita </w:t>
            </w:r>
            <w:r>
              <w:rPr>
                <w:b/>
                <w:i/>
              </w:rPr>
              <w:t>kriisitilanteissa varmistaen markkinakurin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palauttaa mieliin, että riittävä omia varoja ja hyväksyttäviä velkoja koskeva vähimmäisvaatimus (MREL-vähimmäisvaatimus) on olennaisen tärkeä kriisinratkaisukehyksen uskottavuuden ja riittävien joustomahdollisuuksien tarjoamiseksi viranomaisille, jotta ne voivat soveltaa tarvittavia kriisinratkaisustrategioita kriisitilanteessa;</w:t>
            </w:r>
          </w:p>
        </w:tc>
        <w:tc>
          <w:tcPr>
            <w:tcW w:w="4876" w:type="dxa"/>
            <w:tcBorders>
              <w:top w:val="nil"/>
              <w:left w:val="nil"/>
              <w:bottom w:val="nil"/>
              <w:right w:val="nil"/>
            </w:tcBorders>
          </w:tcPr>
          <w:p>
            <w:pPr>
              <w:pStyle w:val="Normal6a"/>
            </w:pPr>
            <w:r>
              <w:t>17.</w:t>
            </w:r>
            <w:r>
              <w:tab/>
            </w:r>
            <w:r>
              <w:t xml:space="preserve">palauttaa mieliin, että riittävä omia varoja ja hyväksyttäviä velkoja koskeva vähimmäisvaatimus (MREL-vähimmäisvaatimus) on olennaisen tärkeä kriisinratkaisukehyksen uskottavuuden ja riittävien joustomahdollisuuksien tarjoamiseksi viranomaisille, jotta ne voivat soveltaa tarvittavia kriisinratkaisustrategioita kriisitilanteessa; </w:t>
            </w:r>
            <w:r>
              <w:rPr>
                <w:b/>
                <w:i/>
              </w:rPr>
              <w:t>korostaa, että MREL-vähimmäisvaatimukset olisi mukautettava kunkin pankin todelliseen kriisinratkaisustrategiaan, erityisesti kun siirtovälineitä käytetään velkakirjojen arvon alaskirjausmekanismien rinnalla, jotta voidaan taata oikeudellinen selkeys ja varmistaa oikeasuhteisuus;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palauttaa mieliin, että riittävä omia varoja ja hyväksyttäviä velkoja koskeva vähimmäisvaatimus (MREL-vähimmäisvaatimus) on olennaisen tärkeä kriisinratkaisukehyksen uskottavuuden ja riittävien joustomahdollisuuksien tarjoamiseksi viranomaisille, jotta ne voivat soveltaa tarvittavia kriisinratkaisustrategioita kriisitilanteessa;</w:t>
            </w:r>
          </w:p>
        </w:tc>
        <w:tc>
          <w:tcPr>
            <w:tcW w:w="4876" w:type="dxa"/>
            <w:tcBorders>
              <w:top w:val="nil"/>
              <w:left w:val="nil"/>
              <w:bottom w:val="nil"/>
              <w:right w:val="nil"/>
            </w:tcBorders>
          </w:tcPr>
          <w:p>
            <w:pPr>
              <w:pStyle w:val="Normal6a"/>
            </w:pPr>
            <w:r>
              <w:t>17.</w:t>
            </w:r>
            <w:r>
              <w:tab/>
            </w:r>
            <w:r>
              <w:t xml:space="preserve">palauttaa mieliin, että riittävä omia varoja ja hyväksyttäviä velkoja koskeva vähimmäisvaatimus (MREL-vähimmäisvaatimus) on olennaisen tärkeä kriisinratkaisukehyksen uskottavuuden ja riittävien joustomahdollisuuksien tarjoamiseksi viranomaisille, jotta ne voivat soveltaa tarvittavia kriisinratkaisustrategioita kriisitilanteessa; </w:t>
            </w:r>
            <w:r>
              <w:rPr>
                <w:b/>
                <w:i/>
              </w:rPr>
              <w:t>korostaa, että riittävien MREL-vähimmäisvaatimusten ja vakuuksien saatavuus kriisinratkaisussa on pankkien purkamismahdollisuuksien ennakkoedellytys ja että MREL-vähimmäisvaatimuksien asettamisessa olisi noudatettava suurta varovaisuutta;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palauttaa mieliin, että riittävä omia varoja ja hyväksyttäviä velkoja koskeva vähimmäisvaatimus (MREL-vähimmäisvaatimus) on olennaisen tärkeä kriisinratkaisukehyksen uskottavuuden ja riittävien joustomahdollisuuksien tarjoamiseksi viranomaisille, jotta ne voivat soveltaa tarvittavia kriisinratkaisustrategioita kriisitilanteessa;</w:t>
            </w:r>
          </w:p>
        </w:tc>
        <w:tc>
          <w:tcPr>
            <w:tcW w:w="4876" w:type="dxa"/>
            <w:tcBorders>
              <w:top w:val="nil"/>
              <w:left w:val="nil"/>
              <w:bottom w:val="nil"/>
              <w:right w:val="nil"/>
            </w:tcBorders>
          </w:tcPr>
          <w:p>
            <w:pPr>
              <w:pStyle w:val="Normal6a"/>
            </w:pPr>
            <w:r>
              <w:t>17.</w:t>
            </w:r>
            <w:r>
              <w:tab/>
            </w:r>
            <w:r>
              <w:t xml:space="preserve">palauttaa mieliin, että riittävä omia varoja ja hyväksyttäviä velkoja koskeva vähimmäisvaatimus (MREL-vähimmäisvaatimus) on olennaisen tärkeä kriisinratkaisukehyksen uskottavuuden ja riittävien joustomahdollisuuksien tarjoamiseksi viranomaisille, jotta ne voivat soveltaa tarvittavia kriisinratkaisustrategioita kriisitilanteessa; </w:t>
            </w:r>
            <w:r>
              <w:rPr>
                <w:b/>
                <w:i/>
              </w:rPr>
              <w:t>korostaa, että tämän vähimmäisvaatimuksen olisi oltava riittävä pankin kriisinratkaisusuunnitelmaan sisältyvien kriisinratkaisustrategioiden tehokkaaseen täytäntöönpanoon;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korostaa, että jos pankin hyväksyttäviä velkoja lasketaan liikkeeseen EU:n ulkopuolisille sijoittajille, näiden velkojen alaskirjauksen tai muuntamisen täytäntöönpanokelpoisuudesta olisi oltava täysi varmuus, jotta turvataan kriisinratkaisuvälineiden tehokas soveltaminen;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muistuttaa, että pankkien on jatkettava keskeisiä palveluja kriisinratkaisun jälkeen; korostaa, että tarvitaan selkeä ja ennakoitavissa oleva kehys, jolla suojellaan tallettajia ja tuetaan </w:t>
            </w:r>
            <w:r>
              <w:rPr>
                <w:b/>
                <w:i/>
              </w:rPr>
              <w:t>pienempiä</w:t>
            </w:r>
            <w:r>
              <w:t xml:space="preserve"> asiakkaita sekä pk-yrityksiä;</w:t>
            </w:r>
          </w:p>
        </w:tc>
        <w:tc>
          <w:tcPr>
            <w:tcW w:w="4876" w:type="dxa"/>
            <w:tcBorders>
              <w:top w:val="nil"/>
              <w:left w:val="nil"/>
              <w:bottom w:val="nil"/>
              <w:right w:val="nil"/>
            </w:tcBorders>
          </w:tcPr>
          <w:p>
            <w:pPr>
              <w:pStyle w:val="Normal6a"/>
            </w:pPr>
            <w:r>
              <w:t>18.</w:t>
            </w:r>
            <w:r>
              <w:tab/>
            </w:r>
            <w:r>
              <w:t xml:space="preserve">muistuttaa, että pankkien on jatkettava keskeisiä palveluja kriisinratkaisun jälkeen; korostaa, että tarvitaan selkeä ja ennakoitavissa oleva kehys, jolla suojellaan tallettajia ja tuetaan asiakkaita sekä </w:t>
            </w:r>
            <w:r>
              <w:rPr>
                <w:b/>
                <w:i/>
              </w:rPr>
              <w:t>yrityksiä, myös</w:t>
            </w:r>
            <w:r>
              <w:t xml:space="preserve"> pk-yrityksiä;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muistuttaa, että pankkien on jatkettava keskeisiä palveluja kriisinratkaisun </w:t>
            </w:r>
            <w:r>
              <w:rPr>
                <w:b/>
                <w:i/>
              </w:rPr>
              <w:t>jälkeen</w:t>
            </w:r>
            <w:r>
              <w:t>; korostaa, että tarvitaan selkeä ja ennakoitavissa oleva kehys, jolla suojellaan tallettajia ja tuetaan pienempiä asiakkaita sekä pk-yrityksiä;</w:t>
            </w:r>
          </w:p>
        </w:tc>
        <w:tc>
          <w:tcPr>
            <w:tcW w:w="4876" w:type="dxa"/>
            <w:tcBorders>
              <w:top w:val="nil"/>
              <w:left w:val="nil"/>
              <w:bottom w:val="nil"/>
              <w:right w:val="nil"/>
            </w:tcBorders>
          </w:tcPr>
          <w:p>
            <w:pPr>
              <w:pStyle w:val="Normal6a"/>
            </w:pPr>
            <w:r>
              <w:t>18.</w:t>
            </w:r>
            <w:r>
              <w:tab/>
            </w:r>
            <w:r>
              <w:t xml:space="preserve">muistuttaa, että pankkien on jatkettava keskeisiä palveluja kriisinratkaisun </w:t>
            </w:r>
            <w:r>
              <w:rPr>
                <w:b/>
                <w:i/>
              </w:rPr>
              <w:t>aikana</w:t>
            </w:r>
            <w:r>
              <w:t>; korostaa, että tarvitaan selkeä ja ennakoitavissa oleva kehys, jolla suojellaan tallettajia ja tuetaan pienempiä asiakkaita sekä pk-yrityksiä;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suhtautuu </w:t>
            </w:r>
            <w:r>
              <w:rPr>
                <w:b/>
                <w:i/>
              </w:rPr>
              <w:t>myönteisesti yhteiseen kriisinratkaisurahastoon täysin yhteisvastuullisena ja toimialan rahoittamana turvaverkkona;</w:t>
            </w:r>
            <w:r>
              <w:t xml:space="preserve"> </w:t>
            </w:r>
            <w:r>
              <w:rPr>
                <w:b/>
                <w:i/>
              </w:rPr>
              <w:t>kehottaa jälleen ratifioimaan kaikilta osin</w:t>
            </w:r>
            <w:r>
              <w:t xml:space="preserve"> EVM-sopimuksen </w:t>
            </w:r>
            <w:r>
              <w:rPr>
                <w:b/>
                <w:i/>
              </w:rPr>
              <w:t>muutoksen, jotta voidaan vahvistaa uskottavuutta, purkamismahdollisuuksia ja euroalueen häiriönsietokykyä</w:t>
            </w:r>
            <w:r>
              <w:t>;</w:t>
            </w:r>
          </w:p>
        </w:tc>
        <w:tc>
          <w:tcPr>
            <w:tcW w:w="4876" w:type="dxa"/>
            <w:tcBorders>
              <w:top w:val="nil"/>
              <w:left w:val="nil"/>
              <w:bottom w:val="nil"/>
              <w:right w:val="nil"/>
            </w:tcBorders>
          </w:tcPr>
          <w:p>
            <w:pPr>
              <w:pStyle w:val="Normal6a"/>
            </w:pPr>
            <w:r>
              <w:t>19.</w:t>
            </w:r>
            <w:r>
              <w:tab/>
            </w:r>
            <w:r>
              <w:t xml:space="preserve">suhtautuu </w:t>
            </w:r>
            <w:r>
              <w:rPr>
                <w:b/>
                <w:i/>
              </w:rPr>
              <w:t>kriittisesti siihen, että vaikka yhteinen kriisinratkaisurahasto on tarkoitettu turvaverkoksi, se edellyttää nykyään läpinäkymättömiä maksumenetelmiä, ei ole avoin ja lisää kustannustaakkaa tuomatta todistettavissa olevia tehokkuushyötyjä;</w:t>
            </w:r>
            <w:r>
              <w:t xml:space="preserve"> </w:t>
            </w:r>
            <w:r>
              <w:rPr>
                <w:b/>
                <w:i/>
              </w:rPr>
              <w:t>katsoo, että resurssit voitaisiin sen sijaan ottaa paremmin käyttöön selkeämmillä kansallisilla ennakoimattomilla menoilla ja markkinakurilla;</w:t>
            </w:r>
            <w:r>
              <w:t xml:space="preserve"> </w:t>
            </w:r>
            <w:r>
              <w:rPr>
                <w:b/>
                <w:i/>
              </w:rPr>
              <w:t>kunnioittaa kansallisten parlamenttien oikeuksia hallitustenvälisen</w:t>
            </w:r>
            <w:r>
              <w:t xml:space="preserve"> EVM-sopimuksen </w:t>
            </w:r>
            <w:r>
              <w:rPr>
                <w:b/>
                <w:i/>
              </w:rPr>
              <w:t>ratifioinnissa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suhtautuu myönteisesti yhteiseen kriisinratkaisurahastoon</w:t>
            </w:r>
            <w:r>
              <w:t xml:space="preserve"> täysin yhteisvastuullisena ja toimialan rahoittamana turvaverkkona; </w:t>
            </w:r>
            <w:r>
              <w:rPr>
                <w:b/>
                <w:i/>
              </w:rPr>
              <w:t>kehottaa jälleen ratifioimaan kaikilta osin EVM-sopimuksen muutoksen, jotta voidaan vahvistaa uskottavuutta, purkamismahdollisuuksia ja euroalueen häiriönsietokykyä;</w:t>
            </w:r>
          </w:p>
        </w:tc>
        <w:tc>
          <w:tcPr>
            <w:tcW w:w="4876" w:type="dxa"/>
            <w:tcBorders>
              <w:top w:val="nil"/>
              <w:left w:val="nil"/>
              <w:bottom w:val="nil"/>
              <w:right w:val="nil"/>
            </w:tcBorders>
          </w:tcPr>
          <w:p>
            <w:pPr>
              <w:pStyle w:val="Normal6a"/>
            </w:pPr>
            <w:r>
              <w:t>19.</w:t>
            </w:r>
            <w:r>
              <w:tab/>
            </w:r>
            <w:r>
              <w:rPr>
                <w:b/>
                <w:i/>
              </w:rPr>
              <w:t>panee merkille yhteisen kriisinratkaisurahaston</w:t>
            </w:r>
            <w:r>
              <w:t xml:space="preserve"> täysin yhteisvastuullisena ja toimialan rahoittamana turvaverkkona;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suhtautuu myönteisesti yhteiseen kriisinratkaisurahastoon </w:t>
            </w:r>
            <w:r>
              <w:rPr>
                <w:b/>
                <w:i/>
              </w:rPr>
              <w:t>täysin yhteisvastuullisena ja toimialan rahoittamana turvaverkkona</w:t>
            </w:r>
            <w:r>
              <w:t>; kehottaa jälleen ratifioimaan kaikilta osin EVM-sopimuksen muutoksen, jotta voidaan vahvistaa uskottavuutta, purkamismahdollisuuksia ja euroalueen häiriönsietokykyä;</w:t>
            </w:r>
          </w:p>
        </w:tc>
        <w:tc>
          <w:tcPr>
            <w:tcW w:w="4876" w:type="dxa"/>
            <w:tcBorders>
              <w:top w:val="nil"/>
              <w:left w:val="nil"/>
              <w:bottom w:val="nil"/>
              <w:right w:val="nil"/>
            </w:tcBorders>
          </w:tcPr>
          <w:p>
            <w:pPr>
              <w:pStyle w:val="Normal6a"/>
            </w:pPr>
            <w:r>
              <w:t>19.</w:t>
            </w:r>
            <w:r>
              <w:tab/>
            </w:r>
            <w:r>
              <w:t xml:space="preserve">suhtautuu myönteisesti yhteiseen kriisinratkaisurahastoon </w:t>
            </w:r>
            <w:r>
              <w:rPr>
                <w:b/>
                <w:i/>
              </w:rPr>
              <w:t>varautumisjärjestelynä, jolla tuetaan pankkikriisien asianmukaisen hallinnan tukemisessa</w:t>
            </w:r>
            <w:r>
              <w:t xml:space="preserve">; kehottaa jälleen ratifioimaan kaikilta osin EVM-sopimuksen muutoksen, jotta voidaan vahvistaa uskottavuutta, purkamismahdollisuuksia ja euroalueen häiriönsietokykyä </w:t>
            </w:r>
            <w:r>
              <w:rPr>
                <w:b/>
                <w:i/>
              </w:rPr>
              <w:t>ja samalla säilyttää markkinakuri ja suojella veronmaksajia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suhtautuu myönteisesti yhteiseen kriisinratkaisurahastoon täysin yhteisvastuullisena ja toimialan rahoittamana turvaverkkona; kehottaa jälleen ratifioimaan kaikilta osin EVM-sopimuksen muutoksen, jotta voidaan vahvistaa uskottavuutta, purkamismahdollisuuksia ja euroalueen häiriönsietokykyä;</w:t>
            </w:r>
          </w:p>
        </w:tc>
        <w:tc>
          <w:tcPr>
            <w:tcW w:w="4876" w:type="dxa"/>
            <w:tcBorders>
              <w:top w:val="nil"/>
              <w:left w:val="nil"/>
              <w:bottom w:val="nil"/>
              <w:right w:val="nil"/>
            </w:tcBorders>
          </w:tcPr>
          <w:p>
            <w:pPr>
              <w:pStyle w:val="Normal6a"/>
            </w:pPr>
            <w:r>
              <w:t>19.</w:t>
            </w:r>
            <w:r>
              <w:tab/>
            </w:r>
            <w:r>
              <w:t xml:space="preserve">suhtautuu myönteisesti yhteiseen kriisinratkaisurahastoon täysin yhteisvastuullisena ja toimialan rahoittamana turvaverkkona; kehottaa jälleen ratifioimaan kaikilta osin EVM-sopimuksen muutoksen, jotta voidaan vahvistaa uskottavuutta, purkamismahdollisuuksia ja euroalueen häiriönsietokykyä; </w:t>
            </w:r>
            <w:r>
              <w:rPr>
                <w:b/>
                <w:i/>
              </w:rPr>
              <w:t>korostaa, että tavoitteena on veronmaksajien suojelu kriisinratkaisun yhteydessä, ja muistuttaa, että sovitun yhteisen varautumisjärjestelyn lisäksi kaatumassa oleviin pankkeihin ei saisi käyttää lisäksi veronmaksajien varoja;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kehottaa kaikkia jäsenvaltioita ratifioimaan kaikilta osin sopimuksen EVM-sopimuksen muuttamisesta, mukaan lukien yhteisen kriisinratkaisurahaston yhteisen varautumisjärjestelyn luominen;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muistuttaa, että julkisen velan nollan prosentin riskipainotus on ongelma, johon on puututtava;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pitää valitettavana sukupuolten tasapuolisen edustuksen puutetta yhteisen kriisinratkaisuneuvoston johdossa;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korostaa, että komissio julkaisi ehdotuksensa eurooppalaisen talletussuojajärjestelmän perustamisesta jo vuonna 2015 ja että toimintaympäristö on muuttunut merkittävästi sen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toteaa jälleen olevansa vahvasti sitoutunut täysimittaisen eurooppalaisen talletussuojajärjestelmän perustamiseen pankkiunionin kolmanneksi ja viimeiseksi ja myös keskeiseksi pilariksi;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toteaa jälleen olevansa vahvasti sitoutunut täysimittaisen eurooppalaisen talletussuojajärjestelmän perustamiseen pankkiunionin kolmanneksi ja viimeiseksi ja myös keskeiseksi pilariksi;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toteaa jälleen olevansa vahvasti sitoutunut täysimittaisen</w:t>
            </w:r>
            <w:r>
              <w:t xml:space="preserve"> eurooppalaisen talletussuojajärjestelmän </w:t>
            </w:r>
            <w:r>
              <w:rPr>
                <w:b/>
                <w:i/>
              </w:rPr>
              <w:t>perustamiseen pankkiunionin kolmanneksi ja viimeiseksi ja myös keskeiseksi pilariksi</w:t>
            </w:r>
            <w:r>
              <w:t>;</w:t>
            </w:r>
          </w:p>
        </w:tc>
        <w:tc>
          <w:tcPr>
            <w:tcW w:w="4876" w:type="dxa"/>
            <w:tcBorders>
              <w:top w:val="nil"/>
              <w:left w:val="nil"/>
              <w:bottom w:val="nil"/>
              <w:right w:val="nil"/>
            </w:tcBorders>
          </w:tcPr>
          <w:p>
            <w:pPr>
              <w:pStyle w:val="Normal6a"/>
            </w:pPr>
            <w:r>
              <w:t>20.</w:t>
            </w:r>
            <w:r>
              <w:tab/>
            </w:r>
            <w:r>
              <w:rPr>
                <w:b/>
                <w:i/>
              </w:rPr>
              <w:t>torjuu</w:t>
            </w:r>
            <w:r>
              <w:t xml:space="preserve"> eurooppalaisen talletussuojajärjestelmän</w:t>
            </w:r>
            <w:r>
              <w:rPr>
                <w:b/>
                <w:i/>
              </w:rPr>
              <w:t>;</w:t>
            </w:r>
            <w:r>
              <w:t xml:space="preserve"> </w:t>
            </w:r>
            <w:r>
              <w:rPr>
                <w:b/>
                <w:i/>
              </w:rPr>
              <w:t>katsoo, että yhteisvastuullinen talletussuoja siirtää riskin luontaisesti vahvempiin talouksiin ja heikentää tallettajien kannustimia valvoa pankkiriskiä, mikä johtaa moraalikatoon</w:t>
            </w:r>
            <w:r>
              <w:t xml:space="preserve">; </w:t>
            </w:r>
            <w:r>
              <w:rPr>
                <w:b/>
                <w:i/>
              </w:rPr>
              <w:t>kannattaa sen sijaan vankkoja kansallisia järjestelmiä, joissa on yhdenmukaistetut vähimmäisvaatimukset ja joilla säilytetään markkinahintasignaalit ja vastuullisuus;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toteaa jälleen olevansa vahvasti sitoutunut täysimittaisen</w:t>
            </w:r>
            <w:r>
              <w:t xml:space="preserve"> eurooppalaisen talletussuojajärjestelmän </w:t>
            </w:r>
            <w:r>
              <w:rPr>
                <w:b/>
                <w:i/>
              </w:rPr>
              <w:t>perustamiseen pankkiunionin kolmanneksi ja viimeiseksi ja myös keskeiseksi pilariksi</w:t>
            </w:r>
            <w:r>
              <w:t>;</w:t>
            </w:r>
          </w:p>
        </w:tc>
        <w:tc>
          <w:tcPr>
            <w:tcW w:w="4876" w:type="dxa"/>
            <w:tcBorders>
              <w:top w:val="nil"/>
              <w:left w:val="nil"/>
              <w:bottom w:val="nil"/>
              <w:right w:val="nil"/>
            </w:tcBorders>
          </w:tcPr>
          <w:p>
            <w:pPr>
              <w:pStyle w:val="Normal6a"/>
            </w:pPr>
            <w:r>
              <w:t>20.</w:t>
            </w:r>
            <w:r>
              <w:tab/>
            </w:r>
            <w:r>
              <w:rPr>
                <w:b/>
                <w:i/>
              </w:rPr>
              <w:t>korostaa, että laitosten suojajärjestelmät on jätettävä</w:t>
            </w:r>
            <w:r>
              <w:t xml:space="preserve"> eurooppalaisen talletussuojajärjestelmän </w:t>
            </w:r>
            <w:r>
              <w:rPr>
                <w:b/>
                <w:i/>
              </w:rPr>
              <w:t>ulkopuolelle, jotta voidaan varmistaa niiden jatkuva toiminta, samalla kun säilytetään laitosten suojajärjestelmien riippumattomuus ja tehokkuus ja noudatetaan kriisinhallinta- ja talletussuojakehyksen uudelleentarkastelussa sovittuja laitosten suojajärjestelmiä koskevia erityissääntöjä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toteaa jälleen olevansa vahvasti sitoutunut täysimittaisen eurooppalaisen talletussuojajärjestelmän perustamiseen</w:t>
            </w:r>
            <w:r>
              <w:t xml:space="preserve"> pankkiunionin </w:t>
            </w:r>
            <w:r>
              <w:rPr>
                <w:b/>
                <w:i/>
              </w:rPr>
              <w:t>kolmanneksi ja viimeiseksi ja myös keskeiseksi pilariksi</w:t>
            </w:r>
            <w:r>
              <w:t>;</w:t>
            </w:r>
          </w:p>
        </w:tc>
        <w:tc>
          <w:tcPr>
            <w:tcW w:w="4876" w:type="dxa"/>
            <w:tcBorders>
              <w:top w:val="nil"/>
              <w:left w:val="nil"/>
              <w:bottom w:val="nil"/>
              <w:right w:val="nil"/>
            </w:tcBorders>
          </w:tcPr>
          <w:p>
            <w:pPr>
              <w:pStyle w:val="Normal6a"/>
            </w:pPr>
            <w:r>
              <w:t>20.</w:t>
            </w:r>
            <w:r>
              <w:tab/>
            </w:r>
            <w:r>
              <w:rPr>
                <w:b/>
                <w:i/>
              </w:rPr>
              <w:t>panee merkille 16. kesäkuuta 2022 annetun euroryhmän lausunnon</w:t>
            </w:r>
            <w:r>
              <w:t xml:space="preserve"> pankkiunionin </w:t>
            </w:r>
            <w:r>
              <w:rPr>
                <w:b/>
                <w:i/>
              </w:rPr>
              <w:t>tulevaisuudesta ja toteaa, että eurooppalaista talletussuojajärjestelmää koskevien keskustelujen olisi oltava osa laajempaa keskustelua pankkiunionin kaikista muista osatekijöistä, jotta varmistetaan oikeasuhteisuus ja otetaan huomioon kansalliset erityispiirteet</w:t>
            </w:r>
            <w:r>
              <w:t xml:space="preserve">; </w:t>
            </w:r>
            <w:r>
              <w:rPr>
                <w:b/>
                <w:i/>
              </w:rPr>
              <w:t>korostaa, että pankkiunionin mahdollisista muista keskeisistä osista olisi päästävä yhteisymmärrykseen ennen kuin aletaan laatimaan konkreettisia lainsäädäntöehdotuksia;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toteaa jälleen olevansa vahvasti sitoutunut </w:t>
            </w:r>
            <w:r>
              <w:rPr>
                <w:b/>
                <w:i/>
              </w:rPr>
              <w:t>täysimittaisen eurooppalaisen talletussuojajärjestelmän perustamiseen</w:t>
            </w:r>
            <w:r>
              <w:t xml:space="preserve"> pankkiunionin </w:t>
            </w:r>
            <w:r>
              <w:rPr>
                <w:b/>
                <w:i/>
              </w:rPr>
              <w:t>kolmanneksi ja viimeiseksi ja myös keskeiseksi pilariksi</w:t>
            </w:r>
            <w:r>
              <w:t>;</w:t>
            </w:r>
          </w:p>
        </w:tc>
        <w:tc>
          <w:tcPr>
            <w:tcW w:w="4876" w:type="dxa"/>
            <w:tcBorders>
              <w:top w:val="nil"/>
              <w:left w:val="nil"/>
              <w:bottom w:val="nil"/>
              <w:right w:val="nil"/>
            </w:tcBorders>
          </w:tcPr>
          <w:p>
            <w:pPr>
              <w:pStyle w:val="Normal6a"/>
            </w:pPr>
            <w:r>
              <w:t>20.</w:t>
            </w:r>
            <w:r>
              <w:tab/>
            </w:r>
            <w:r>
              <w:t xml:space="preserve">toteaa jälleen olevansa vahvasti sitoutunut pankkiunionin </w:t>
            </w:r>
            <w:r>
              <w:rPr>
                <w:b/>
                <w:i/>
              </w:rPr>
              <w:t>kehittämiseen edelleen siten, että otetaan huomioon kansalliset erityispiirteet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toteaa jälleen olevansa vahvasti sitoutunut </w:t>
            </w:r>
            <w:r>
              <w:rPr>
                <w:b/>
                <w:i/>
              </w:rPr>
              <w:t>täysimittaisen</w:t>
            </w:r>
            <w:r>
              <w:t xml:space="preserve"> eurooppalaisen talletussuojajärjestelmän </w:t>
            </w:r>
            <w:r>
              <w:rPr>
                <w:b/>
                <w:i/>
              </w:rPr>
              <w:t>perustamiseen pankkiunionin kolmanneksi ja viimeiseksi ja myös keskeiseksi pilariksi</w:t>
            </w:r>
            <w:r>
              <w:t>;</w:t>
            </w:r>
          </w:p>
        </w:tc>
        <w:tc>
          <w:tcPr>
            <w:tcW w:w="4876" w:type="dxa"/>
            <w:tcBorders>
              <w:top w:val="nil"/>
              <w:left w:val="nil"/>
              <w:bottom w:val="nil"/>
              <w:right w:val="nil"/>
            </w:tcBorders>
          </w:tcPr>
          <w:p>
            <w:pPr>
              <w:pStyle w:val="Normal6a"/>
            </w:pPr>
            <w:r>
              <w:t>20.</w:t>
            </w:r>
            <w:r>
              <w:tab/>
            </w:r>
            <w:r>
              <w:t xml:space="preserve">toteaa jälleen olevansa vahvasti sitoutunut </w:t>
            </w:r>
            <w:r>
              <w:rPr>
                <w:b/>
                <w:i/>
              </w:rPr>
              <w:t>vakaaseen ja valmiiksi saatettuun pankkiunioniin;</w:t>
            </w:r>
            <w:r>
              <w:t xml:space="preserve"> </w:t>
            </w:r>
            <w:r>
              <w:rPr>
                <w:b/>
                <w:i/>
              </w:rPr>
              <w:t>muistuttaa, että lainsäätäjistä kumpikaan ei ole edistynyt</w:t>
            </w:r>
            <w:r>
              <w:t xml:space="preserve"> eurooppalaisen talletussuojajärjestelmän </w:t>
            </w:r>
            <w:r>
              <w:rPr>
                <w:b/>
                <w:i/>
              </w:rPr>
              <w:t>käsittelyssä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toteaa jälleen olevansa vahvasti sitoutunut </w:t>
            </w:r>
            <w:r>
              <w:rPr>
                <w:b/>
                <w:i/>
              </w:rPr>
              <w:t>täysimittaisen</w:t>
            </w:r>
            <w:r>
              <w:t xml:space="preserve"> eurooppalaisen talletussuojajärjestelmän perustamiseen pankkiunionin kolmanneksi ja viimeiseksi ja myös keskeiseksi pilariksi;</w:t>
            </w:r>
          </w:p>
        </w:tc>
        <w:tc>
          <w:tcPr>
            <w:tcW w:w="4876" w:type="dxa"/>
            <w:tcBorders>
              <w:top w:val="nil"/>
              <w:left w:val="nil"/>
              <w:bottom w:val="nil"/>
              <w:right w:val="nil"/>
            </w:tcBorders>
          </w:tcPr>
          <w:p>
            <w:pPr>
              <w:pStyle w:val="Normal6a"/>
            </w:pPr>
            <w:r>
              <w:t>20.</w:t>
            </w:r>
            <w:r>
              <w:tab/>
            </w:r>
            <w:r>
              <w:t xml:space="preserve">toteaa jälleen olevansa vahvasti sitoutunut </w:t>
            </w:r>
            <w:r>
              <w:rPr>
                <w:b/>
                <w:i/>
              </w:rPr>
              <w:t>sellaisen</w:t>
            </w:r>
            <w:r>
              <w:t xml:space="preserve"> eurooppalaisen talletussuojajärjestelmän perustamiseen pankkiunionin kolmanneksi ja viimeiseksi ja myös keskeiseksi pilariksi</w:t>
            </w:r>
            <w:r>
              <w:rPr>
                <w:b/>
                <w:i/>
              </w:rPr>
              <w:t>, jossa otetaan kaikilta osin huomioon kansalliset erityispiirteet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toteaa jälleen olevansa vahvasti sitoutunut täysimittaisen eurooppalaisen talletussuojajärjestelmän perustamiseen pankkiunionin kolmanneksi ja viimeiseksi ja myös keskeiseksi pilariksi;</w:t>
            </w:r>
          </w:p>
        </w:tc>
        <w:tc>
          <w:tcPr>
            <w:tcW w:w="4876" w:type="dxa"/>
            <w:tcBorders>
              <w:top w:val="nil"/>
              <w:left w:val="nil"/>
              <w:bottom w:val="nil"/>
              <w:right w:val="nil"/>
            </w:tcBorders>
          </w:tcPr>
          <w:p>
            <w:pPr>
              <w:pStyle w:val="Normal6a"/>
            </w:pPr>
            <w:r>
              <w:t>20.</w:t>
            </w:r>
            <w:r>
              <w:tab/>
            </w:r>
            <w:r>
              <w:t xml:space="preserve">toteaa jälleen olevansa vahvasti sitoutunut täysimittaisen </w:t>
            </w:r>
            <w:r>
              <w:rPr>
                <w:b/>
                <w:i/>
              </w:rPr>
              <w:t>yhteisvastuullisen</w:t>
            </w:r>
            <w:r>
              <w:t xml:space="preserve"> eurooppalaisen talletussuojajärjestelmän perustamiseen pankkiunionin kolmanneksi ja viimeiseksi ja myös keskeiseksi pilariksi; </w:t>
            </w:r>
            <w:r>
              <w:rPr>
                <w:b/>
                <w:i/>
              </w:rPr>
              <w:t>korostaa, että yhteinen talletussuojajärjestelmä on välttämätön, jotta voidaan varmistaa tallettajien suojelun yhtäläinen taso kaikkialla unionissa, vahvistaa edelleen rahoitusvakautta ja vähentää ratkaisevasti pankkien ja valtioiden välisiä jäljellä olevia yhteyksiä;</w:t>
            </w:r>
            <w:r>
              <w:t xml:space="preserve"> </w:t>
            </w:r>
            <w:r>
              <w:rPr>
                <w:b/>
                <w:i/>
              </w:rPr>
              <w:t>korostaa, että eurooppalaisen talletussuojajärjestelmän valmiiksi saattamista olisi jatkettava riskiperusteisella ja finanssipoliittisesti vastuullisella tavalla ja samalla olisi toteutettava jatkuvia toimia riskien vähentämiseksi, mikä vahvistaisi markkinoiden luottamusta ja pankkialan sisämarkkinoiden eheyttä;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toteaa jälleen olevansa vahvasti sitoutunut täysimittaisen eurooppalaisen talletussuojajärjestelmän perustamiseen pankkiunionin kolmanneksi ja viimeiseksi ja myös keskeiseksi pilariksi;</w:t>
            </w:r>
          </w:p>
        </w:tc>
        <w:tc>
          <w:tcPr>
            <w:tcW w:w="4876" w:type="dxa"/>
            <w:tcBorders>
              <w:top w:val="nil"/>
              <w:left w:val="nil"/>
              <w:bottom w:val="nil"/>
              <w:right w:val="nil"/>
            </w:tcBorders>
          </w:tcPr>
          <w:p>
            <w:pPr>
              <w:pStyle w:val="Normal6a"/>
            </w:pPr>
            <w:r>
              <w:t>20.</w:t>
            </w:r>
            <w:r>
              <w:tab/>
            </w:r>
            <w:r>
              <w:t xml:space="preserve">toteaa jälleen olevansa vahvasti sitoutunut täysimittaisen </w:t>
            </w:r>
            <w:r>
              <w:rPr>
                <w:b/>
                <w:i/>
              </w:rPr>
              <w:t>vahingot kattavan</w:t>
            </w:r>
            <w:r>
              <w:t xml:space="preserve"> eurooppalaisen talletussuojajärjestelmän perustamiseen pankkiunionin kolmanneksi ja viimeiseksi ja myös keskeiseksi pilariksi; </w:t>
            </w:r>
            <w:r>
              <w:rPr>
                <w:b/>
                <w:i/>
              </w:rPr>
              <w:t>muistuttaa, että eurooppalainen talletussuojajärjestelmä vähentäisi merkittävästi pankkien ja valtiovastuiden välistä kohtalonyhteyttä;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toteaa jälleen olevansa vahvasti sitoutunut täysimittaisen eurooppalaisen talletussuojajärjestelmän perustamiseen pankkiunionin kolmanneksi ja viimeiseksi ja myös keskeiseksi pilariksi;</w:t>
            </w:r>
          </w:p>
        </w:tc>
        <w:tc>
          <w:tcPr>
            <w:tcW w:w="4876" w:type="dxa"/>
            <w:tcBorders>
              <w:top w:val="nil"/>
              <w:left w:val="nil"/>
              <w:bottom w:val="nil"/>
              <w:right w:val="nil"/>
            </w:tcBorders>
          </w:tcPr>
          <w:p>
            <w:pPr>
              <w:pStyle w:val="Normal6a"/>
            </w:pPr>
            <w:r>
              <w:t>20.</w:t>
            </w:r>
            <w:r>
              <w:tab/>
            </w:r>
            <w:r>
              <w:t>toteaa jälleen olevansa vahvasti sitoutunut täysimittaisen eurooppalaisen talletussuojajärjestelmän perustamiseen pankkiunionin kolmanneksi ja viimeiseksi ja myös keskeiseksi pilariksi</w:t>
            </w:r>
            <w:r>
              <w:rPr>
                <w:b/>
                <w:i/>
              </w:rPr>
              <w:t>, ja katsoo, että sen olisi perustuttava riskien asianmukaiseen vähentämiseen ja oikeisiin kannustimiin ja se olisi suunniteltava siten, että se lisää tallettajien luottamusta, markkinakuria ja rahoitusvakautta kaikkialla unionissa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toteaa jälleen olevansa vahvasti sitoutunut </w:t>
            </w:r>
            <w:r>
              <w:rPr>
                <w:b/>
                <w:i/>
              </w:rPr>
              <w:t>täysimittaisen</w:t>
            </w:r>
            <w:r>
              <w:t xml:space="preserve"> eurooppalaisen talletussuojajärjestelmän perustamiseen pankkiunionin kolmanneksi ja viimeiseksi ja myös keskeiseksi pilariksi;</w:t>
            </w:r>
          </w:p>
        </w:tc>
        <w:tc>
          <w:tcPr>
            <w:tcW w:w="4876" w:type="dxa"/>
            <w:tcBorders>
              <w:top w:val="nil"/>
              <w:left w:val="nil"/>
              <w:bottom w:val="nil"/>
              <w:right w:val="nil"/>
            </w:tcBorders>
          </w:tcPr>
          <w:p>
            <w:pPr>
              <w:pStyle w:val="Normal6a"/>
            </w:pPr>
            <w:r>
              <w:t>20.</w:t>
            </w:r>
            <w:r>
              <w:tab/>
            </w:r>
            <w:r>
              <w:t xml:space="preserve">toteaa jälleen olevansa vahvasti sitoutunut eurooppalaisen talletussuojajärjestelmän perustamiseen pankkiunionin kolmanneksi ja viimeiseksi ja myös keskeiseksi pilariksi; </w:t>
            </w:r>
            <w:r>
              <w:rPr>
                <w:b/>
                <w:i/>
              </w:rPr>
              <w:t>katsoo, että eurooppalaisen talletussuojajärjestelmän asteittaisen käyttöönoton pitäisi johtaa riskien vähenemiseen kaikkien pankkiunioniin kuuluvien pankkien osalta;</w:t>
            </w:r>
            <w:r>
              <w:t xml:space="preserve"> </w:t>
            </w:r>
            <w:r>
              <w:rPr>
                <w:b/>
                <w:i/>
              </w:rPr>
              <w:t>korostaa, että eurooppalaiseen talletussuojajärjestelmään suoritettavissa maksuissa olisi otettava huomioon kunkin osallistuvan sektorin riskiprofiili;</w:t>
            </w:r>
            <w:r>
              <w:t xml:space="preserve"> </w:t>
            </w:r>
            <w:r>
              <w:rPr>
                <w:b/>
                <w:i/>
              </w:rPr>
              <w:t>korostaa myös, että on tärkeää soveltaa kaikilta osin nykyisiä sääntöjä, mukaan lukien likviditeettivapautusten kaltaiset mekanismit, yhtenä keinona varmistaa konsernin sisäiset vapaat pääoma- ja likviditeettivirrat, jotta eurooppalaiset pankit voivat rahoittaa tehokkaasti yrityksiä kaikkialla EU:ssa ja parantaa kilpailukykyä;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toteaa jälleen olevansa vahvasti sitoutunut täysimittaisen eurooppalaisen talletussuojajärjestelmän perustamiseen pankkiunionin kolmanneksi ja viimeiseksi ja myös keskeiseksi pilariksi;</w:t>
            </w:r>
          </w:p>
        </w:tc>
        <w:tc>
          <w:tcPr>
            <w:tcW w:w="4876" w:type="dxa"/>
            <w:tcBorders>
              <w:top w:val="nil"/>
              <w:left w:val="nil"/>
              <w:bottom w:val="nil"/>
              <w:right w:val="nil"/>
            </w:tcBorders>
          </w:tcPr>
          <w:p>
            <w:pPr>
              <w:pStyle w:val="Normal6a"/>
            </w:pPr>
            <w:r>
              <w:t>20.</w:t>
            </w:r>
            <w:r>
              <w:tab/>
            </w:r>
            <w:r>
              <w:t xml:space="preserve">toteaa jälleen olevansa vahvasti sitoutunut täysimittaisen eurooppalaisen talletussuojajärjestelmän perustamiseen pankkiunionin kolmanneksi ja viimeiseksi ja myös keskeiseksi pilariksi; </w:t>
            </w:r>
            <w:r>
              <w:rPr>
                <w:b/>
                <w:i/>
              </w:rPr>
              <w:t>pitää valitettavana, että pankkiunioni on edelleen keskeneräinen eurooppalaisen talletussuojajärjestelmän puuttumisen vuoksi;</w:t>
            </w:r>
            <w:r>
              <w:t xml:space="preserve"> </w:t>
            </w:r>
            <w:r>
              <w:rPr>
                <w:b/>
                <w:i/>
              </w:rPr>
              <w:t>katsoo, että eurooppalainen talletussuojajärjestelmä parantaisi tallettajien suojaa EU:ssa;</w:t>
            </w:r>
            <w:r>
              <w:t xml:space="preserve"> </w:t>
            </w:r>
            <w:r>
              <w:rPr>
                <w:b/>
                <w:i/>
              </w:rPr>
              <w:t>muistuttaa, että eurooppalainen talletussuojajärjestelmä olisi EU:n kansalaisille pankkiunionin konkreettinen osa kilpailun ja kuluttajien valinnanvaran lisääntymisen lisäksi;</w:t>
            </w:r>
            <w:r>
              <w:t xml:space="preserve"> </w:t>
            </w:r>
            <w:r>
              <w:rPr>
                <w:b/>
                <w:i/>
              </w:rPr>
              <w:t>katsoo, että eurooppalainen talletussuojajärjestelmä tarjoaisi;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toteaa, että eurooppalainen talletussuojajärjestelmä parantaisi tallettajien suojaa EU:ssa;</w:t>
            </w:r>
            <w:r>
              <w:t xml:space="preserve"> </w:t>
            </w:r>
            <w:r>
              <w:rPr>
                <w:b/>
                <w:i/>
              </w:rPr>
              <w:t>katsoo, että joidenkin pankkijärjestelmien riskeihin liittyvät ongelmat ovat kuitenkin suurimpana esteenä eurooppalaisen talletussuojajärjestelmän käyttöönotolle;</w:t>
            </w:r>
            <w:r>
              <w:t xml:space="preserve"> </w:t>
            </w:r>
            <w:r>
              <w:rPr>
                <w:b/>
                <w:i/>
              </w:rPr>
              <w:t>korostaa, että näiden riskien vähentäminen on keskeistä, jotta eurooppalaisesta talletussuojajärjestelmästä voidaan päästä sopimukseen;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huomauttaa, että eurooppalainen talletussuojajärjestelmä siinä muodossa, jossa se esitettiin alkuperäisessä ehdotuksessa, ei ole enää pätevä eikä sen täytäntöönpanolle ole mitään mahdollisuuksia saada tarvittavaa tukea;</w:t>
            </w:r>
            <w:r>
              <w:t xml:space="preserve"> </w:t>
            </w:r>
            <w:r>
              <w:rPr>
                <w:b/>
                <w:i/>
              </w:rPr>
              <w:t>katsoo, että eurooppalainen talletussuojajärjestelmä ei saisi olla täysin integroitu järjestelmä vaan sen olisi pikemminkin oltava jonkinlainen jälleenvakuutus;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w:t>
            </w:r>
            <w:r>
              <w:t xml:space="preserve"> </w:t>
            </w:r>
            <w:r>
              <w:rPr>
                <w:b/>
                <w:i/>
              </w:rPr>
              <w:t>palauttaa mieliin valiokunnan vuonna 2024 esittämän kannan eurooppalaiseen talletussuojajärjestelmään;</w:t>
            </w:r>
            <w:r>
              <w:t xml:space="preserve"> </w:t>
            </w:r>
            <w:r>
              <w:rPr>
                <w:b/>
                <w:i/>
              </w:rPr>
              <w:t>kehottaa painokkaasti neuvostoa edistämään neuvotteluja;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suhtautuu myönteisesti kriisinhallinta- ja talletussuojapaketin hyväksymiseen myönteisenä etappina, joka lujittaa kansallisia talletussuojajärjestelmiä</w:t>
            </w:r>
            <w:r>
              <w:t xml:space="preserve">, vahvistaa </w:t>
            </w:r>
            <w:r>
              <w:rPr>
                <w:b/>
                <w:i/>
              </w:rPr>
              <w:t>luottamusta pankkialaan ja parantaa toiminnallisia ja oikeudellisia edellytyksiä siirtyä kohti EU:n yhteistä</w:t>
            </w:r>
            <w:r>
              <w:t xml:space="preserve"> tallettajien </w:t>
            </w:r>
            <w:r>
              <w:rPr>
                <w:b/>
                <w:i/>
              </w:rPr>
              <w:t>ja veronmaksajien suojaa;</w:t>
            </w:r>
            <w:r>
              <w:t xml:space="preserve"> </w:t>
            </w:r>
            <w:r>
              <w:rPr>
                <w:b/>
                <w:i/>
              </w:rPr>
              <w:t>palauttaa mieliin valiokunnan vuonna 2024 esittämän kannan eurooppalaiseen talletussuojajärjestelmään</w:t>
            </w:r>
            <w:r>
              <w:t xml:space="preserve">; </w:t>
            </w:r>
            <w:r>
              <w:rPr>
                <w:b/>
                <w:i/>
              </w:rPr>
              <w:t>kehottaa painokkaasti neuvostoa edistämään neuvotteluja;</w:t>
            </w:r>
          </w:p>
        </w:tc>
        <w:tc>
          <w:tcPr>
            <w:tcW w:w="4876" w:type="dxa"/>
            <w:tcBorders>
              <w:top w:val="nil"/>
              <w:left w:val="nil"/>
              <w:bottom w:val="nil"/>
              <w:right w:val="nil"/>
            </w:tcBorders>
          </w:tcPr>
          <w:p>
            <w:pPr>
              <w:pStyle w:val="Normal6a"/>
            </w:pPr>
            <w:r>
              <w:t>21.</w:t>
            </w:r>
            <w:r>
              <w:tab/>
            </w:r>
            <w:r>
              <w:rPr>
                <w:b/>
                <w:i/>
              </w:rPr>
              <w:t>kehottaa komissiota ottamaan huomioon, että eurooppalaista talletussuojajärjestelmää koskevan nykyisen lainsäädäntöehdotuksen käsittely on junnannut paikallaan useiden vuosien ajan eikä konkreettista edistystä ole tapahtunut, ja pitää valitettavana, että tämä pitkittynyt pattitilanne on heikentänyt pankkiunionin valmiiksi saattamista koskevan sitoumuksen uskottavuutta, ja kehottaa komissiota peruuttamaan nykyisen ehdotuksen ja esittämään viipymättä uudistetun ja kunnianhimoisemman aloitteen, jonka avulla voidaan päästä aitoon poliittiseen yhteisymmärrykseen eurooppalaisesta talletussuojajärjestelmästä;</w:t>
            </w:r>
            <w:r>
              <w:t xml:space="preserve"> </w:t>
            </w:r>
            <w:r>
              <w:rPr>
                <w:b/>
                <w:i/>
              </w:rPr>
              <w:t>korostaa, että uuden ehdotuksen olisi tarjottava uskottava, tehokas ja riskiperusteinen kehys, joka antaa todellisen sysäyksen eurooppalaisen talletussuojajärjestelmän valmiiksi saattamiselle</w:t>
            </w:r>
            <w:r>
              <w:t xml:space="preserve">, vahvistaa tallettajien </w:t>
            </w:r>
            <w:r>
              <w:rPr>
                <w:b/>
                <w:i/>
              </w:rPr>
              <w:t>luottamusta ja varmistaa tasapuoliset toimintaedellytykset pankkialan sisämarkkinoiden kaikissa osissa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suhtautuu myönteisesti</w:t>
            </w:r>
            <w:r>
              <w:t xml:space="preserve"> kriisinhallinta- ja </w:t>
            </w:r>
            <w:r>
              <w:rPr>
                <w:b/>
                <w:i/>
              </w:rPr>
              <w:t>talletussuojapaketin hyväksymiseen myönteisenä etappina, joka lujittaa kansallisia talletussuojajärjestelmiä, vahvistaa luottamusta pankkialaan ja parantaa toiminnallisia ja oikeudellisia edellytyksiä siirtyä kohti EU:n yhteistä tallettajien ja veronmaksajien suojaa</w:t>
            </w:r>
            <w:r>
              <w:t xml:space="preserve">; </w:t>
            </w:r>
            <w:r>
              <w:rPr>
                <w:b/>
                <w:i/>
              </w:rPr>
              <w:t>palauttaa mieliin valiokunnan vuonna 2024 esittämän kannan eurooppalaiseen talletussuojajärjestelmään;</w:t>
            </w:r>
            <w:r>
              <w:t xml:space="preserve"> </w:t>
            </w:r>
            <w:r>
              <w:rPr>
                <w:b/>
                <w:i/>
              </w:rPr>
              <w:t>kehottaa painokkaasti neuvostoa edistämään neuvotteluja;</w:t>
            </w:r>
          </w:p>
        </w:tc>
        <w:tc>
          <w:tcPr>
            <w:tcW w:w="4876" w:type="dxa"/>
            <w:tcBorders>
              <w:top w:val="nil"/>
              <w:left w:val="nil"/>
              <w:bottom w:val="nil"/>
              <w:right w:val="nil"/>
            </w:tcBorders>
          </w:tcPr>
          <w:p>
            <w:pPr>
              <w:pStyle w:val="Normal6a"/>
            </w:pPr>
            <w:r>
              <w:t>21.</w:t>
            </w:r>
            <w:r>
              <w:tab/>
            </w:r>
            <w:r>
              <w:rPr>
                <w:b/>
                <w:i/>
              </w:rPr>
              <w:t>panee merkille</w:t>
            </w:r>
            <w:r>
              <w:t xml:space="preserve"> kriisinhallinta- ja </w:t>
            </w:r>
            <w:r>
              <w:rPr>
                <w:b/>
                <w:i/>
              </w:rPr>
              <w:t>talletussuojakehyksessä saavutetun edistyksen, mutta varoittaa luottamasta liiaksi keskitettyihin järjestelmiin, sillä ne voisivat heikentää vastuuvelvollisuutta ja altistaa finanssipoliittisesti vastuulliset jäsenvaltiot systeemisille veloille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suhtautuu myönteisesti kriisinhallinta- ja talletussuojapaketin hyväksymiseen myönteisenä etappina, joka lujittaa kansallisia talletussuojajärjestelmiä</w:t>
            </w:r>
            <w:r>
              <w:rPr>
                <w:b/>
                <w:i/>
              </w:rPr>
              <w:t>,</w:t>
            </w:r>
            <w:r>
              <w:t xml:space="preserve"> vahvistaa luottamusta pankkialaan </w:t>
            </w:r>
            <w:r>
              <w:rPr>
                <w:b/>
                <w:i/>
              </w:rPr>
              <w:t>ja parantaa toiminnallisia ja oikeudellisia edellytyksiä siirtyä kohti EU:n yhteistä tallettajien ja veronmaksajien suojaa</w:t>
            </w:r>
            <w:r>
              <w:t xml:space="preserve">; </w:t>
            </w:r>
            <w:r>
              <w:rPr>
                <w:b/>
                <w:i/>
              </w:rPr>
              <w:t>palauttaa mieliin valiokunnan vuonna 2024 esittämän kannan eurooppalaiseen talletussuojajärjestelmään;</w:t>
            </w:r>
            <w:r>
              <w:t xml:space="preserve"> </w:t>
            </w:r>
            <w:r>
              <w:rPr>
                <w:b/>
                <w:i/>
              </w:rPr>
              <w:t>kehottaa painokkaasti neuvostoa edistämään neuvotteluja;</w:t>
            </w:r>
          </w:p>
        </w:tc>
        <w:tc>
          <w:tcPr>
            <w:tcW w:w="4876" w:type="dxa"/>
            <w:tcBorders>
              <w:top w:val="nil"/>
              <w:left w:val="nil"/>
              <w:bottom w:val="nil"/>
              <w:right w:val="nil"/>
            </w:tcBorders>
          </w:tcPr>
          <w:p>
            <w:pPr>
              <w:pStyle w:val="Normal6a"/>
            </w:pPr>
            <w:r>
              <w:t>21.</w:t>
            </w:r>
            <w:r>
              <w:tab/>
            </w:r>
            <w:r>
              <w:t xml:space="preserve">suhtautuu myönteisesti kriisinhallinta- ja talletussuojapaketin hyväksymiseen myönteisenä etappina, joka lujittaa kansallisia talletussuojajärjestelmiä </w:t>
            </w:r>
            <w:r>
              <w:rPr>
                <w:b/>
                <w:i/>
              </w:rPr>
              <w:t>ja</w:t>
            </w:r>
            <w:r>
              <w:t xml:space="preserve"> vahvistaa luottamusta pankkialaan;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 </w:t>
            </w:r>
            <w:r>
              <w:rPr>
                <w:b/>
                <w:i/>
              </w:rPr>
              <w:t>palauttaa mieliin valiokunnan vuonna 2024 esittämän kannan eurooppalaiseen talletussuojajärjestelmään;</w:t>
            </w:r>
            <w:r>
              <w:t xml:space="preserve"> </w:t>
            </w:r>
            <w:r>
              <w:rPr>
                <w:b/>
                <w:i/>
              </w:rPr>
              <w:t>kehottaa painokkaasti neuvostoa edistämään neuvotteluja;</w:t>
            </w:r>
          </w:p>
        </w:tc>
        <w:tc>
          <w:tcPr>
            <w:tcW w:w="4876" w:type="dxa"/>
            <w:tcBorders>
              <w:top w:val="nil"/>
              <w:left w:val="nil"/>
              <w:bottom w:val="nil"/>
              <w:right w:val="nil"/>
            </w:tcBorders>
          </w:tcPr>
          <w:p>
            <w:pPr>
              <w:pStyle w:val="Normal6a"/>
            </w:pPr>
            <w:r>
              <w:t>21.</w:t>
            </w:r>
            <w:r>
              <w:tab/>
            </w:r>
            <w:r>
              <w:t>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 </w:t>
            </w:r>
            <w:r>
              <w:rPr>
                <w:b/>
                <w:i/>
              </w:rPr>
              <w:t>palauttaa mieliin valiokunnan vuonna 2024 esittämän kannan eurooppalaiseen talletussuojajärjestelmään;</w:t>
            </w:r>
            <w:r>
              <w:t xml:space="preserve"> </w:t>
            </w:r>
            <w:r>
              <w:rPr>
                <w:b/>
                <w:i/>
              </w:rPr>
              <w:t>kehottaa painokkaasti neuvostoa edistämään neuvotteluja;</w:t>
            </w:r>
          </w:p>
        </w:tc>
        <w:tc>
          <w:tcPr>
            <w:tcW w:w="4876" w:type="dxa"/>
            <w:tcBorders>
              <w:top w:val="nil"/>
              <w:left w:val="nil"/>
              <w:bottom w:val="nil"/>
              <w:right w:val="nil"/>
            </w:tcBorders>
          </w:tcPr>
          <w:p>
            <w:pPr>
              <w:pStyle w:val="Normal6a"/>
            </w:pPr>
            <w:r>
              <w:t>21.</w:t>
            </w:r>
            <w:r>
              <w:tab/>
            </w:r>
            <w:r>
              <w:t>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 </w:t>
            </w:r>
            <w:r>
              <w:rPr>
                <w:b/>
                <w:i/>
              </w:rPr>
              <w:t>palauttaa mieliin valiokunnan vuonna 2024 esittämän kannan eurooppalaiseen talletussuojajärjestelmään;</w:t>
            </w:r>
            <w:r>
              <w:t xml:space="preserve"> kehottaa painokkaasti neuvostoa edistämään neuvotteluja;</w:t>
            </w:r>
          </w:p>
        </w:tc>
        <w:tc>
          <w:tcPr>
            <w:tcW w:w="4876" w:type="dxa"/>
            <w:tcBorders>
              <w:top w:val="nil"/>
              <w:left w:val="nil"/>
              <w:bottom w:val="nil"/>
              <w:right w:val="nil"/>
            </w:tcBorders>
          </w:tcPr>
          <w:p>
            <w:pPr>
              <w:pStyle w:val="Normal6a"/>
            </w:pPr>
            <w:r>
              <w:t>21.</w:t>
            </w:r>
            <w:r>
              <w:tab/>
            </w:r>
            <w:r>
              <w:t>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 kehottaa painokkaasti neuvostoa edistämään neuvotteluja;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 </w:t>
            </w:r>
            <w:r>
              <w:rPr>
                <w:b/>
                <w:i/>
              </w:rPr>
              <w:t>palauttaa mieliin valiokunnan vuonna 2024 esittämän kannan eurooppalaiseen talletussuojajärjestelmään;</w:t>
            </w:r>
            <w:r>
              <w:t xml:space="preserve"> kehottaa painokkaasti neuvostoa edistämään neuvotteluja;</w:t>
            </w:r>
          </w:p>
        </w:tc>
        <w:tc>
          <w:tcPr>
            <w:tcW w:w="4876" w:type="dxa"/>
            <w:tcBorders>
              <w:top w:val="nil"/>
              <w:left w:val="nil"/>
              <w:bottom w:val="nil"/>
              <w:right w:val="nil"/>
            </w:tcBorders>
          </w:tcPr>
          <w:p>
            <w:pPr>
              <w:pStyle w:val="Normal6a"/>
            </w:pPr>
            <w:r>
              <w:t>21.</w:t>
            </w:r>
            <w:r>
              <w:tab/>
            </w:r>
            <w:r>
              <w:t>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 kehottaa painokkaasti neuvostoa edistämään neuvotteluja;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suhtautuu myönteisesti kriisinhallinta- ja talletussuojapaketin hyväksymiseen myönteisenä etappina, joka </w:t>
            </w:r>
            <w:r>
              <w:rPr>
                <w:b/>
                <w:i/>
              </w:rPr>
              <w:t>lujittaa kansallisia talletussuojajärjestelmiä,</w:t>
            </w:r>
            <w:r>
              <w:t xml:space="preserve"> vahvistaa luottamusta pankkialaan ja parantaa toiminnallisia ja oikeudellisia edellytyksiä siirtyä kohti EU:n yhteistä tallettajien ja veronmaksajien suojaa; palauttaa mieliin valiokunnan vuonna 2024 esittämän kannan eurooppalaiseen talletussuojajärjestelmään; kehottaa painokkaasti neuvostoa edistämään neuvotteluja;</w:t>
            </w:r>
          </w:p>
        </w:tc>
        <w:tc>
          <w:tcPr>
            <w:tcW w:w="4876" w:type="dxa"/>
            <w:tcBorders>
              <w:top w:val="nil"/>
              <w:left w:val="nil"/>
              <w:bottom w:val="nil"/>
              <w:right w:val="nil"/>
            </w:tcBorders>
          </w:tcPr>
          <w:p>
            <w:pPr>
              <w:pStyle w:val="Normal6a"/>
            </w:pPr>
            <w:r>
              <w:t>21.</w:t>
            </w:r>
            <w:r>
              <w:tab/>
            </w:r>
            <w:r>
              <w:t xml:space="preserve">suhtautuu myönteisesti kriisinhallinta- ja talletussuojapaketin hyväksymiseen myönteisenä etappina, joka vahvistaa luottamusta pankkialaan ja parantaa toiminnallisia ja oikeudellisia edellytyksiä siirtyä kohti EU:n yhteistä tallettajien ja veronmaksajien suojaa; palauttaa mieliin valiokunnan vuonna 2024 esittämän kannan eurooppalaiseen talletussuojajärjestelmään; kehottaa painokkaasti neuvostoa edistämään neuvotteluja; </w:t>
            </w:r>
            <w:r>
              <w:rPr>
                <w:b/>
                <w:i/>
              </w:rPr>
              <w:t>kehottaa euroryhmän uutta puheenjohtajaa jatkamaan keskusteluja tästä aiheesta mahdollisimman pian;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suhtautuu myönteisesti kriisinhallinta- ja talletussuojapaketin hyväksymiseen myönteisenä etappina, joka lujittaa kansallisia talletussuojajärjestelmiä, vahvistaa luottamusta pankkialaan ja parantaa toiminnallisia ja oikeudellisia edellytyksiä siirtyä kohti EU:n yhteistä tallettajien ja veronmaksajien suojaa; palauttaa mieliin valiokunnan vuonna 2024 esittämän kannan eurooppalaiseen talletussuojajärjestelmään; kehottaa painokkaasti neuvostoa edistämään neuvotteluja;</w:t>
            </w:r>
          </w:p>
        </w:tc>
        <w:tc>
          <w:tcPr>
            <w:tcW w:w="4876" w:type="dxa"/>
            <w:tcBorders>
              <w:top w:val="nil"/>
              <w:left w:val="nil"/>
              <w:bottom w:val="nil"/>
              <w:right w:val="nil"/>
            </w:tcBorders>
          </w:tcPr>
          <w:p>
            <w:pPr>
              <w:pStyle w:val="Normal6a"/>
            </w:pPr>
            <w:r>
              <w:t>21.</w:t>
            </w:r>
            <w:r>
              <w:tab/>
            </w:r>
            <w:r>
              <w:t xml:space="preserve">suhtautuu myönteisesti kriisinhallinta- ja talletussuojapaketin hyväksymiseen myönteisenä etappina, joka lujittaa kansallisia talletussuojajärjestelmiä, vahvistaa luottamusta pankkialaan ja parantaa toiminnallisia ja oikeudellisia edellytyksiä siirtyä </w:t>
            </w:r>
            <w:r>
              <w:rPr>
                <w:b/>
                <w:i/>
              </w:rPr>
              <w:t>asteittain ja uskottavasti</w:t>
            </w:r>
            <w:r>
              <w:t xml:space="preserve"> kohti EU:n yhteistä tallettajien ja veronmaksajien suojaa; palauttaa mieliin valiokunnan vuonna 2024 esittämän kannan eurooppalaiseen talletussuojajärjestelmään; kehottaa painokkaasti neuvostoa edistämään neuvotteluja;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146</w:t>
    </w:r>
    <w:r>
      <w:fldChar w:fldCharType="end"/>
    </w:r>
    <w:r>
      <w:t>/</w:t>
    </w:r>
    <w:r>
      <w:fldChar w:fldCharType="begin"/>
    </w:r>
    <w:r>
      <w:instrText xml:space="preserve"> NUMPAGES </w:instrText>
    </w:r>
    <w:r>
      <w:fldChar w:fldCharType="separate"/>
    </w:r>
    <w:r>
      <w:t>147</w:t>
    </w:r>
    <w:r>
      <w:fldChar w:fldCharType="end"/>
    </w:r>
    <w:r>
      <w:tab/>
    </w:r>
    <w:r>
      <w:rPr>
        <w:rStyle w:val="HideTWBExt"/>
      </w:rPr>
      <w:t>&lt;PathFdR&gt;</w:t>
    </w:r>
    <w:r>
      <w:t>AM\1335561FI.docx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AM\1335561FI.docx</w:t>
    </w:r>
    <w:r>
      <w:rPr>
        <w:rStyle w:val="HideTWBExt"/>
      </w:rPr>
      <w:t>&lt;/PathFdR&gt;</w:t>
    </w:r>
    <w:r>
      <w:tab/>
    </w:r>
    <w:r>
      <w:fldChar w:fldCharType="begin"/>
    </w:r>
    <w:r>
      <w:instrText xml:space="preserve"> PAGE </w:instrText>
    </w:r>
    <w:r>
      <w:fldChar w:fldCharType="separate"/>
    </w:r>
    <w:r>
      <w:t>147</w:t>
    </w:r>
    <w:r>
      <w:fldChar w:fldCharType="end"/>
    </w:r>
    <w:r>
      <w:t>/</w:t>
    </w:r>
    <w:r>
      <w:fldChar w:fldCharType="begin"/>
    </w:r>
    <w:r>
      <w:instrText xml:space="preserve"> NUMPAGES </w:instrText>
    </w:r>
    <w:r>
      <w:fldChar w:fldCharType="separate"/>
    </w:r>
    <w:r>
      <w:t>147</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AM\1335561FI.docx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147</Pages>
  <Words>21797</Words>
  <Characters>190351</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360965</vt:lpwstr>
  </property>
  <property fmtid="{D5CDD505-2E9C-101B-9397-08002B2CF9AE}" pid="7" name="dmxml.render.traceId">
    <vt:lpwstr>6981cfd407eb751e4b49cdeaf52f9f43</vt:lpwstr>
  </property>
  <property fmtid="{D5CDD505-2E9C-101B-9397-08002B2CF9AE}" pid="8" name="FooterPath">
    <vt:lpwstr>AM\1335561FI.docx</vt:lpwstr>
  </property>
  <property fmtid="{D5CDD505-2E9C-101B-9397-08002B2CF9AE}" pid="9" name="PE Number">
    <vt:lpwstr>782.353</vt:lpwstr>
  </property>
  <property fmtid="{D5CDD505-2E9C-101B-9397-08002B2CF9AE}" pid="10" name="UID">
    <vt:lpwstr>eu.europa.europarl-DIN1-2026-0000006414_01.00-fi-01.00_text-xml</vt:lpwstr>
  </property>
</Properties>
</file>