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Odbor za ekonomsku i monetarnu politiku</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Bankovna unija – godišnje izvješće za 2025.</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izvješće svojeg Odbora za ekonomsku i monetarnu politiku od 23. travnja 2024. o Prijedlogu uredbe Europskog parlamenta i Vijeća o izmjeni Uredbe (EU) 806/2014 radi uspostave Europskog sustava osiguranja depozita (EDIS),</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izvješće svojeg Odbora za ekonomsku i monetarnu politiku od 23. travnja 2024. o Prijedlogu uredbe Europskog parlamenta i Vijeća o izmjeni Uredbe (EU) 806/2014 radi uspostave Europskog sustava osiguranja depozita (EDIS),</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izvješće petorice predsjednika naslovljeno „Dovršetak europske ekonomske i monetarne unije” od 22. lipnja 2015.,</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dokument ESB-a iz serije povremenih publikacija br. 328 od 2023. naslovljen „The Road to Paris: stress testing the transition towards a net-zero economy”, (Put prema Parizu:</w:t>
            </w:r>
            <w:r>
              <w:t xml:space="preserve"> </w:t>
            </w:r>
            <w:r>
              <w:rPr>
                <w:b/>
                <w:i/>
              </w:rPr>
              <w:t>testiranje otpornosti na stres u pogledu prelaska na gospodarstvo s nultom neto stopom emisija),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dokument ESB-a iz serije povremenih publikacija br. 328 od 2023. naslovljen „The Road to Paris: stress testing the transition towards a net-zero economy”, (Put prema Parizu:</w:t>
            </w:r>
            <w:r>
              <w:t xml:space="preserve"> </w:t>
            </w:r>
            <w:r>
              <w:rPr>
                <w:b/>
                <w:i/>
              </w:rPr>
              <w:t>testiranje otpornosti na stres u pogledu prelaska na gospodarstvo s nultom neto stopom emisija),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dokument iz serije povremenih publikacija ESB-a br. 376 iz 2025. naslovljen „Capital requirements: a pillar or a burden for bank competitiveness?” (Kapitalni zahtjevi: potpora ili teret za konkurentnost banaka?),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izvješće Bazelskog odbora za nadzor banaka od 10. srpnja 2025. naslovljeno „Banks interconnections with non-bank financial intermediaries” (Interkonekcije banaka s nebankarskim financijskim posrednicima),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izvješće Europskog nadzornog tijela za osiguranje i strukovno mirovinsko osiguranje od 7. studenoga 2024. o bonitetnom tretmanu rizika za održivost,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izvješće ESB-a o pojednostavnjenju europskog bonitetnog regulatornog i nadzornog okvira te okvira za izvješćivanje iz prosinca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34.b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izvješće EBA-e o učinkovitosti regulatornog i nadzornog okvira od 1. listopada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je cilj bankovne unije zaštititi stabilnost </w:t>
            </w:r>
            <w:r>
              <w:rPr>
                <w:b/>
                <w:i/>
              </w:rPr>
              <w:t>banaka</w:t>
            </w:r>
            <w:r>
              <w:t>, izbjegavati sanacije javnim sredstvima koje financiraju porezni obveznici, ojačati otpornost, omogućiti urednu sanaciju, smanjiti fragmentaciju tržišta i povećati konkurentnost, prekograničnu aktivnost i pristup financiranju</w:t>
            </w:r>
            <w:r>
              <w:rPr>
                <w:b/>
                <w:i/>
              </w:rPr>
              <w:t>, dok je pitanje institucija koje su prevelike da bi propale i dalje neriješeno</w:t>
            </w:r>
            <w:r>
              <w:t>;</w:t>
            </w:r>
          </w:p>
        </w:tc>
        <w:tc>
          <w:tcPr>
            <w:tcW w:w="4876" w:type="dxa"/>
            <w:tcBorders>
              <w:top w:val="nil"/>
              <w:left w:val="nil"/>
              <w:bottom w:val="nil"/>
              <w:right w:val="nil"/>
            </w:tcBorders>
          </w:tcPr>
          <w:p>
            <w:pPr>
              <w:pStyle w:val="Normal6a"/>
            </w:pPr>
            <w:r>
              <w:t>A.</w:t>
            </w:r>
            <w:r>
              <w:tab/>
            </w:r>
            <w:r>
              <w:t xml:space="preserve">budući da je cilj bankovne unije zaštititi stabilnost </w:t>
            </w:r>
            <w:r>
              <w:rPr>
                <w:b/>
                <w:i/>
              </w:rPr>
              <w:t>financijskog sustava i osigurati uredno upravljanje bankovnim krizama</w:t>
            </w:r>
            <w:r>
              <w:t>, izbjegavati sanacije javnim sredstvima koje financiraju porezni obveznici, ojačati otpornost, omogućiti urednu sanaciju, smanjiti fragmentaciju tržišta i povećati konkurentnost, prekograničnu aktivnost i pristup financiranju;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cilj bankovne unije zaštititi stabilnost banaka, izbjegavati sanacije javnim sredstvima koje financiraju porezni obveznici, ojačati otpornost, omogućiti urednu sanaciju, smanjiti fragmentaciju tržišta i povećati konkurentnost, prekograničnu aktivnost i pristup financiranju</w:t>
            </w:r>
            <w:r>
              <w:rPr>
                <w:b/>
                <w:i/>
              </w:rPr>
              <w:t>, dok je pitanje institucija koje su prevelike da bi propale i dalje neriješeno</w:t>
            </w:r>
            <w:r>
              <w:t>;</w:t>
            </w:r>
          </w:p>
        </w:tc>
        <w:tc>
          <w:tcPr>
            <w:tcW w:w="4876" w:type="dxa"/>
            <w:tcBorders>
              <w:top w:val="nil"/>
              <w:left w:val="nil"/>
              <w:bottom w:val="nil"/>
              <w:right w:val="nil"/>
            </w:tcBorders>
          </w:tcPr>
          <w:p>
            <w:pPr>
              <w:pStyle w:val="Normal6a"/>
            </w:pPr>
            <w:r>
              <w:t>A.</w:t>
            </w:r>
            <w:r>
              <w:tab/>
            </w:r>
            <w:r>
              <w:t xml:space="preserve">budući da je cilj bankovne unije zaštititi stabilnost banaka, </w:t>
            </w:r>
            <w:r>
              <w:rPr>
                <w:b/>
                <w:i/>
              </w:rPr>
              <w:t>prekinuti začarani krug između država i banaka te</w:t>
            </w:r>
            <w:r>
              <w:t> izbjegavati sanacije javnim sredstvima koje financiraju porezni obveznici, ojačati otpornost, omogućiti urednu sanaciju, smanjiti fragmentaciju tržišta i povećati konkurentnost, prekograničnu aktivnost i pristup financiranju;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cilj bankovne unije zaštititi stabilnost banaka</w:t>
            </w:r>
            <w:r>
              <w:rPr>
                <w:b/>
                <w:i/>
              </w:rPr>
              <w:t>,</w:t>
            </w:r>
            <w:r>
              <w:t xml:space="preserve"> izbjegavati sanacije javnim sredstvima koje financiraju porezni obveznici, ojačati otpornost, omogućiti urednu sanaciju, smanjiti fragmentaciju tržišta i povećati konkurentnost, prekograničnu aktivnost i pristup financiranju</w:t>
            </w:r>
            <w:r>
              <w:rPr>
                <w:b/>
                <w:i/>
              </w:rPr>
              <w:t>, dok je pitanje institucija koje su prevelike da bi propale i dalje neriješeno</w:t>
            </w:r>
            <w:r>
              <w:t>;</w:t>
            </w:r>
          </w:p>
        </w:tc>
        <w:tc>
          <w:tcPr>
            <w:tcW w:w="4876" w:type="dxa"/>
            <w:tcBorders>
              <w:top w:val="nil"/>
              <w:left w:val="nil"/>
              <w:bottom w:val="nil"/>
              <w:right w:val="nil"/>
            </w:tcBorders>
          </w:tcPr>
          <w:p>
            <w:pPr>
              <w:pStyle w:val="Normal6a"/>
            </w:pPr>
            <w:r>
              <w:t>A.</w:t>
            </w:r>
            <w:r>
              <w:tab/>
            </w:r>
            <w:r>
              <w:t xml:space="preserve">budući da je cilj bankovne unije zaštititi stabilnost banaka </w:t>
            </w:r>
            <w:r>
              <w:rPr>
                <w:b/>
                <w:i/>
              </w:rPr>
              <w:t>i</w:t>
            </w:r>
            <w:r>
              <w:t xml:space="preserve"> izbjegavati sanacije javnim sredstvima koje financiraju porezni obveznici, ojačati otpornost, omogućiti urednu sanaciju, smanjiti fragmentaciju tržišta i povećati konkurentnost, prekograničnu aktivnost i pristup financiranju;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je cilj bankovne unije zaštititi stabilnost banaka, izbjegavati sanacije javnim sredstvima koje financiraju porezni obveznici, ojačati otpornost, omogućiti urednu sanaciju, smanjiti fragmentaciju tržišta i povećati konkurentnost, prekograničnu aktivnost i pristup financiranju, dok je </w:t>
            </w:r>
            <w:r>
              <w:rPr>
                <w:b/>
                <w:i/>
              </w:rPr>
              <w:t>pitanje institucija koje su prevelike da bi propale i dalje neriješeno</w:t>
            </w:r>
            <w:r>
              <w:t>;</w:t>
            </w:r>
          </w:p>
        </w:tc>
        <w:tc>
          <w:tcPr>
            <w:tcW w:w="4876" w:type="dxa"/>
            <w:tcBorders>
              <w:top w:val="nil"/>
              <w:left w:val="nil"/>
              <w:bottom w:val="nil"/>
              <w:right w:val="nil"/>
            </w:tcBorders>
          </w:tcPr>
          <w:p>
            <w:pPr>
              <w:pStyle w:val="Normal6a"/>
            </w:pPr>
            <w:r>
              <w:t>A.</w:t>
            </w:r>
            <w:r>
              <w:tab/>
            </w:r>
            <w:r>
              <w:t xml:space="preserve">budući da je cilj bankovne unije zaštititi stabilnost banaka, izbjegavati sanacije javnim sredstvima koje financiraju porezni obveznici, ojačati otpornost, omogućiti urednu sanaciju, smanjiti fragmentaciju tržišta i povećati konkurentnost, prekograničnu aktivnost i pristup financiranju, dok je </w:t>
            </w:r>
            <w:r>
              <w:rPr>
                <w:b/>
                <w:i/>
              </w:rPr>
              <w:t>bankovno okruženje Europske unije raznoliko, s različitim bankarskim strukturama koje europskim građanima i poduzećima nude širok raspon usluga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je cilj bankovne unije zaštititi stabilnost banaka, izbjegavati sanacije javnim sredstvima koje financiraju porezni obveznici, ojačati otpornost, omogućiti urednu sanaciju, smanjiti fragmentaciju tržišta i povećati konkurentnost, prekograničnu aktivnost i pristup financiranju, dok </w:t>
            </w:r>
            <w:r>
              <w:rPr>
                <w:b/>
                <w:i/>
              </w:rPr>
              <w:t>je pitanje</w:t>
            </w:r>
            <w:r>
              <w:t xml:space="preserve"> institucija koje su prevelike da bi propale i dalje </w:t>
            </w:r>
            <w:r>
              <w:rPr>
                <w:b/>
                <w:i/>
              </w:rPr>
              <w:t>neriješeno</w:t>
            </w:r>
            <w:r>
              <w:t>;</w:t>
            </w:r>
          </w:p>
        </w:tc>
        <w:tc>
          <w:tcPr>
            <w:tcW w:w="4876" w:type="dxa"/>
            <w:tcBorders>
              <w:top w:val="nil"/>
              <w:left w:val="nil"/>
              <w:bottom w:val="nil"/>
              <w:right w:val="nil"/>
            </w:tcBorders>
          </w:tcPr>
          <w:p>
            <w:pPr>
              <w:pStyle w:val="Normal6a"/>
            </w:pPr>
            <w:r>
              <w:t>A.</w:t>
            </w:r>
            <w:r>
              <w:tab/>
            </w:r>
            <w:r>
              <w:t xml:space="preserve">budući da je cilj bankovne unije zaštititi stabilnost banaka, izbjegavati sanacije javnim sredstvima koje financiraju porezni obveznici, ojačati otpornost, omogućiti urednu sanaciju, smanjiti fragmentaciju tržišta i povećati konkurentnost, prekograničnu aktivnost i pristup financiranju, dok </w:t>
            </w:r>
            <w:r>
              <w:rPr>
                <w:b/>
                <w:i/>
              </w:rPr>
              <w:t>ustrajnost dinamike</w:t>
            </w:r>
            <w:r>
              <w:t xml:space="preserve"> institucija koje su prevelike da bi propale i dalje </w:t>
            </w:r>
            <w:r>
              <w:rPr>
                <w:b/>
                <w:i/>
              </w:rPr>
              <w:t>ugrožava tržišne inicijative i povećava implicitna državna jamstva</w:t>
            </w:r>
            <w:r>
              <w:t xml:space="preserve">; </w:t>
            </w:r>
            <w:r>
              <w:rPr>
                <w:b/>
                <w:i/>
              </w:rPr>
              <w:t>poziva na veću tržišnu disciplinu umjesto daljnjeg regulatornog raslojavanja;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cilj bankovne unije zaštititi stabilnost banaka, izbjegavati sanacije javnim sredstvima koje financiraju porezni obveznici, ojačati otpornost, omogućiti urednu sanaciju, smanjiti fragmentaciju tržišta i povećati konkurentnost, prekograničnu aktivnost i pristup financiranju, dok je pitanje institucija koje su prevelike da bi propale i dalje neriješeno;</w:t>
            </w:r>
          </w:p>
        </w:tc>
        <w:tc>
          <w:tcPr>
            <w:tcW w:w="4876" w:type="dxa"/>
            <w:tcBorders>
              <w:top w:val="nil"/>
              <w:left w:val="nil"/>
              <w:bottom w:val="nil"/>
              <w:right w:val="nil"/>
            </w:tcBorders>
          </w:tcPr>
          <w:p>
            <w:pPr>
              <w:pStyle w:val="Normal6a"/>
            </w:pPr>
            <w:r>
              <w:t>A.</w:t>
            </w:r>
            <w:r>
              <w:tab/>
            </w:r>
            <w:r>
              <w:t xml:space="preserve">budući da je cilj bankovne unije zaštititi stabilnost banaka, izbjegavati sanacije javnim sredstvima koje financiraju porezni obveznici, ojačati otpornost, omogućiti urednu sanaciju, smanjiti fragmentaciju tržišta i povećati konkurentnost, prekograničnu aktivnost i pristup financiranju, </w:t>
            </w:r>
            <w:r>
              <w:rPr>
                <w:b/>
                <w:i/>
              </w:rPr>
              <w:t>čime bi se smanjili troškovi za klijente banaka,</w:t>
            </w:r>
            <w:r>
              <w:t xml:space="preserve"> dok je pitanje institucija koje su prevelike da bi propale i dalje neriješeno;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cilj bankovne unije zaštititi stabilnost banaka, izbjegavati sanacije javnim sredstvima koje financiraju porezni obveznici, ojačati otpornost, omogućiti urednu sanaciju, smanjiti fragmentaciju tržišta i povećati konkurentnost, prekograničnu aktivnost i pristup financiranju, dok je pitanje institucija koje su prevelike da bi propale i dalje neriješeno;</w:t>
            </w:r>
          </w:p>
        </w:tc>
        <w:tc>
          <w:tcPr>
            <w:tcW w:w="4876" w:type="dxa"/>
            <w:tcBorders>
              <w:top w:val="nil"/>
              <w:left w:val="nil"/>
              <w:bottom w:val="nil"/>
              <w:right w:val="nil"/>
            </w:tcBorders>
          </w:tcPr>
          <w:p>
            <w:pPr>
              <w:pStyle w:val="Normal6a"/>
            </w:pPr>
            <w:r>
              <w:t>A.</w:t>
            </w:r>
            <w:r>
              <w:tab/>
            </w:r>
            <w:r>
              <w:t>budući da je cilj bankovne unije zaštititi stabilnost banaka, izbjegavati sanacije javnim sredstvima koje financiraju porezni obveznici, ojačati otpornost, omogućiti urednu sanaciju, smanjiti fragmentaciju tržišta</w:t>
            </w:r>
            <w:r>
              <w:rPr>
                <w:b/>
                <w:i/>
              </w:rPr>
              <w:t>, poboljšati zaštitu deponenata</w:t>
            </w:r>
            <w:r>
              <w:t xml:space="preserve"> i povećati konkurentnost, prekograničnu aktivnost i pristup financiranju, dok je pitanje institucija koje su prevelike da bi propale i dalje neriješeno;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su ciljevi bankovne unije sljedeći:</w:t>
            </w:r>
            <w:r>
              <w:t xml:space="preserve"> </w:t>
            </w:r>
            <w:r>
              <w:rPr>
                <w:b/>
                <w:i/>
              </w:rPr>
              <w:t>i. poticanje stabilnosti banaka kako bi se mogle oduprijeti budućim financijskim krizama, ii. osiguravanje sanacije propadajućih banaka bez trošenja novca poreznih obveznika uz minimalan učinak na realnu ekonomiju i iii. smanjenje fragmentacije tržištâ uspostavljanjem usklađenih pravila za financijski sektor;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je snažan i diversificiran bankarski sektor ključan za ostvarivanje gospodarskog rasta, financiranje malih i srednjih poduzeća (MSP-ova) i start-up poduzeća te osiguravanje prijelaza na zeleno i digitalno gospodarstvo;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bankovna unija, koja se sastoji od jedinstvenog nadzornog mehanizma i jedinstvenog sanacijskog mehanizma (SRM), </w:t>
            </w:r>
            <w:r>
              <w:rPr>
                <w:b/>
                <w:i/>
              </w:rPr>
              <w:t>usklađuje nadzor s upravljanjem</w:t>
            </w:r>
            <w:r>
              <w:t xml:space="preserve"> krizama</w:t>
            </w:r>
            <w:r>
              <w:rPr>
                <w:b/>
                <w:i/>
              </w:rPr>
              <w:t>, ali je i dalje nepotpuna bez potpuno provedenog EDIS-a</w:t>
            </w:r>
            <w:r>
              <w:t>;</w:t>
            </w:r>
          </w:p>
        </w:tc>
        <w:tc>
          <w:tcPr>
            <w:tcW w:w="4876" w:type="dxa"/>
            <w:tcBorders>
              <w:top w:val="nil"/>
              <w:left w:val="nil"/>
              <w:bottom w:val="nil"/>
              <w:right w:val="nil"/>
            </w:tcBorders>
          </w:tcPr>
          <w:p>
            <w:pPr>
              <w:pStyle w:val="Normal6a"/>
            </w:pPr>
            <w:r>
              <w:t>B.</w:t>
            </w:r>
            <w:r>
              <w:tab/>
            </w:r>
            <w:r>
              <w:t xml:space="preserve">budući da </w:t>
            </w:r>
            <w:r>
              <w:rPr>
                <w:b/>
                <w:i/>
              </w:rPr>
              <w:t>je</w:t>
            </w:r>
            <w:r>
              <w:t xml:space="preserve"> bankovna unija, koja se sastoji od jedinstvenog nadzornog mehanizma i jedinstvenog sanacijskog mehanizma (SRM), </w:t>
            </w:r>
            <w:r>
              <w:rPr>
                <w:b/>
                <w:i/>
              </w:rPr>
              <w:t>povećala financijsku stabilnost i poboljšala usklađenost nadzora i upravljanja</w:t>
            </w:r>
            <w:r>
              <w:t xml:space="preserve"> krizama;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bankovna unija, koja se sastoji od jedinstvenog nadzornog mehanizma </w:t>
            </w:r>
            <w:r>
              <w:rPr>
                <w:b/>
                <w:i/>
              </w:rPr>
              <w:t>i</w:t>
            </w:r>
            <w:r>
              <w:t xml:space="preserve"> jedinstvenog sanacijskog mehanizma (SRM), usklađuje nadzor s upravljanjem krizama</w:t>
            </w:r>
            <w:r>
              <w:rPr>
                <w:b/>
                <w:i/>
              </w:rPr>
              <w:t>, ali je i dalje nepotpuna bez potpuno provedenog EDIS-a</w:t>
            </w:r>
            <w:r>
              <w:t>;</w:t>
            </w:r>
          </w:p>
        </w:tc>
        <w:tc>
          <w:tcPr>
            <w:tcW w:w="4876" w:type="dxa"/>
            <w:tcBorders>
              <w:top w:val="nil"/>
              <w:left w:val="nil"/>
              <w:bottom w:val="nil"/>
              <w:right w:val="nil"/>
            </w:tcBorders>
          </w:tcPr>
          <w:p>
            <w:pPr>
              <w:pStyle w:val="Normal6a"/>
            </w:pPr>
            <w:r>
              <w:t>B.</w:t>
            </w:r>
            <w:r>
              <w:tab/>
            </w:r>
            <w:r>
              <w:t>budući da bankovna unija, koja se sastoji od jedinstvenog nadzornog mehanizma</w:t>
            </w:r>
            <w:r>
              <w:rPr>
                <w:b/>
                <w:i/>
              </w:rPr>
              <w:t>,</w:t>
            </w:r>
            <w:r>
              <w:t xml:space="preserve"> jedinstvenog sanacijskog mehanizma (SRM)</w:t>
            </w:r>
            <w:r>
              <w:rPr>
                <w:b/>
                <w:i/>
              </w:rPr>
              <w:t> i usklađenih pravila za osiguranje depozita</w:t>
            </w:r>
            <w:r>
              <w:t>, usklađuje nadzor s upravljanjem krizama;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bankovna unija, koja se sastoji od jedinstvenog nadzornog mehanizma i jedinstvenog sanacijskog mehanizma (SRM), usklađuje nadzor s upravljanjem krizama</w:t>
            </w:r>
            <w:r>
              <w:rPr>
                <w:b/>
                <w:i/>
              </w:rPr>
              <w:t>, ali je i dalje nepotpuna bez potpuno provedenog EDIS-a</w:t>
            </w:r>
            <w:r>
              <w:t>;</w:t>
            </w:r>
          </w:p>
        </w:tc>
        <w:tc>
          <w:tcPr>
            <w:tcW w:w="4876" w:type="dxa"/>
            <w:tcBorders>
              <w:top w:val="nil"/>
              <w:left w:val="nil"/>
              <w:bottom w:val="nil"/>
              <w:right w:val="nil"/>
            </w:tcBorders>
          </w:tcPr>
          <w:p>
            <w:pPr>
              <w:pStyle w:val="Normal6a"/>
            </w:pPr>
            <w:r>
              <w:t>B.</w:t>
            </w:r>
            <w:r>
              <w:tab/>
            </w:r>
            <w:r>
              <w:t>budući da bankovna unija, koja se sastoji od jedinstvenog nadzornog mehanizma i jedinstvenog sanacijskog mehanizma (SRM), usklađuje nadzor s upravljanjem krizama</w:t>
            </w:r>
            <w:r>
              <w:rPr>
                <w:b/>
                <w:i/>
              </w:rPr>
              <w:t>;</w:t>
            </w:r>
            <w:r>
              <w:t xml:space="preserve"> </w:t>
            </w:r>
            <w:r>
              <w:rPr>
                <w:b/>
                <w:i/>
              </w:rPr>
              <w:t>napominje da su nacionalni sustavi osiguranja depozita uspješno uvedeni i da su u brojnim slučajevima dokazali svoju funkcionalnost</w:t>
            </w:r>
            <w:r>
              <w:t xml:space="preserve">; </w:t>
            </w:r>
            <w:r>
              <w:rPr>
                <w:b/>
                <w:i/>
              </w:rPr>
              <w:t>u novom prijedlogu Komisije o uspostavi europskog sustava osiguranja depozita trebalo bi bolje uzeti u obzir posebne nacionalne značajke kako bi se očuvali funkcionalni sustavi za manje banke koji već postoje u nekim državama članicama, uz istodobno osiguravanje jednakih uvjeta u cijeloj bankovnoj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bankovna unija, koja se sastoji od jedinstvenog nadzornog mehanizma i jedinstvenog sanacijskog mehanizma (SRM), usklađuje nadzor s upravljanjem krizama</w:t>
            </w:r>
            <w:r>
              <w:rPr>
                <w:b/>
                <w:i/>
              </w:rPr>
              <w:t>, ali je i dalje nepotpuna bez potpuno provedenog EDIS-a</w:t>
            </w:r>
            <w:r>
              <w:t>;</w:t>
            </w:r>
          </w:p>
        </w:tc>
        <w:tc>
          <w:tcPr>
            <w:tcW w:w="4876" w:type="dxa"/>
            <w:tcBorders>
              <w:top w:val="nil"/>
              <w:left w:val="nil"/>
              <w:bottom w:val="nil"/>
              <w:right w:val="nil"/>
            </w:tcBorders>
          </w:tcPr>
          <w:p>
            <w:pPr>
              <w:pStyle w:val="Normal6a"/>
            </w:pPr>
            <w:r>
              <w:t>B.</w:t>
            </w:r>
            <w:r>
              <w:tab/>
            </w:r>
            <w:r>
              <w:t xml:space="preserve">budući da bankovna unija, koja se sastoji od jedinstvenog nadzornog mehanizma i jedinstvenog sanacijskog mehanizma (SRM), usklađuje nadzor s upravljanjem krizama </w:t>
            </w:r>
            <w:r>
              <w:rPr>
                <w:b/>
                <w:i/>
              </w:rPr>
              <w:t>i osigurava visoku razinu zaštite depozita na temelju zajedničkih europskih minimalnih standarda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bankovna unija, koja se sastoji od jedinstvenog nadzornog mehanizma i jedinstvenog sanacijskog mehanizma (SRM), usklađuje nadzor s upravljanjem krizama</w:t>
            </w:r>
            <w:r>
              <w:rPr>
                <w:b/>
                <w:i/>
              </w:rPr>
              <w:t>, ali je i dalje nepotpuna bez potpuno provedenog EDIS-a</w:t>
            </w:r>
            <w:r>
              <w:t>;</w:t>
            </w:r>
          </w:p>
        </w:tc>
        <w:tc>
          <w:tcPr>
            <w:tcW w:w="4876" w:type="dxa"/>
            <w:tcBorders>
              <w:top w:val="nil"/>
              <w:left w:val="nil"/>
              <w:bottom w:val="nil"/>
              <w:right w:val="nil"/>
            </w:tcBorders>
          </w:tcPr>
          <w:p>
            <w:pPr>
              <w:pStyle w:val="Normal6a"/>
            </w:pPr>
            <w:r>
              <w:t>B.</w:t>
            </w:r>
            <w:r>
              <w:tab/>
            </w:r>
            <w:r>
              <w:t xml:space="preserve">budući da bankovna unija, koja se </w:t>
            </w:r>
            <w:r>
              <w:rPr>
                <w:b/>
                <w:i/>
              </w:rPr>
              <w:t>trenutačno</w:t>
            </w:r>
            <w:r>
              <w:t xml:space="preserve"> sastoji od jedinstvenog nadzornog mehanizma i jedinstvenog sanacijskog mehanizma (SRM), usklađuje nadzor s upravljanjem krizama;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bankovna unija, koja se sastoji od jedinstvenog nadzornog mehanizma i jedinstvenog sanacijskog mehanizma (SRM), usklađuje nadzor s upravljanjem krizama</w:t>
            </w:r>
            <w:r>
              <w:rPr>
                <w:b/>
                <w:i/>
              </w:rPr>
              <w:t>, ali je i dalje nepotpuna bez potpuno provedenog EDIS-a</w:t>
            </w:r>
            <w:r>
              <w:t>;</w:t>
            </w:r>
          </w:p>
        </w:tc>
        <w:tc>
          <w:tcPr>
            <w:tcW w:w="4876" w:type="dxa"/>
            <w:tcBorders>
              <w:top w:val="nil"/>
              <w:left w:val="nil"/>
              <w:bottom w:val="nil"/>
              <w:right w:val="nil"/>
            </w:tcBorders>
          </w:tcPr>
          <w:p>
            <w:pPr>
              <w:pStyle w:val="Normal6a"/>
            </w:pPr>
            <w:r>
              <w:t>B.</w:t>
            </w:r>
            <w:r>
              <w:tab/>
            </w:r>
            <w:r>
              <w:t>budući da bankovna unija, koja se sastoji od jedinstvenog nadzornog mehanizma i jedinstvenog sanacijskog mehanizma (SRM), usklađuje nadzor s upravljanjem krizama;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bankovna unija, koja se sastoji od jedinstvenog nadzornog mehanizma i jedinstvenog sanacijskog mehanizma (SRM), usklađuje nadzor s upravljanjem krizama, ali je i dalje nepotpuna </w:t>
            </w:r>
            <w:r>
              <w:rPr>
                <w:b/>
                <w:i/>
              </w:rPr>
              <w:t>bez potpuno provedenog EDIS-a</w:t>
            </w:r>
            <w:r>
              <w:t>;</w:t>
            </w:r>
          </w:p>
        </w:tc>
        <w:tc>
          <w:tcPr>
            <w:tcW w:w="4876" w:type="dxa"/>
            <w:tcBorders>
              <w:top w:val="nil"/>
              <w:left w:val="nil"/>
              <w:bottom w:val="nil"/>
              <w:right w:val="nil"/>
            </w:tcBorders>
          </w:tcPr>
          <w:p>
            <w:pPr>
              <w:pStyle w:val="Normal6a"/>
            </w:pPr>
            <w:r>
              <w:t>B.</w:t>
            </w:r>
            <w:r>
              <w:tab/>
            </w:r>
            <w:r>
              <w:t xml:space="preserve">budući da bankovna unija, koja se sastoji od jedinstvenog nadzornog mehanizma i jedinstvenog sanacijskog mehanizma (SRM), usklađuje nadzor s upravljanjem krizama, ali je i dalje </w:t>
            </w:r>
            <w:r>
              <w:rPr>
                <w:b/>
                <w:i/>
              </w:rPr>
              <w:t>strukturno</w:t>
            </w:r>
            <w:r>
              <w:t xml:space="preserve"> nepotpuna </w:t>
            </w:r>
            <w:r>
              <w:rPr>
                <w:b/>
                <w:i/>
              </w:rPr>
              <w:t>i neučinkovita;</w:t>
            </w:r>
            <w:r>
              <w:t xml:space="preserve"> </w:t>
            </w:r>
            <w:r>
              <w:rPr>
                <w:b/>
                <w:i/>
              </w:rPr>
              <w:t>naglašava da objedinjavanje rizika bez tržišne odgovornosti narušava neutralnost tržišnog natjecanja i izlaže fiskalno odgovorne države članice neopravdanim nepredviđenim obvezama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bankovna unija, koja se sastoji od jedinstvenog nadzornog mehanizma i jedinstvenog sanacijskog mehanizma (SRM), usklađuje nadzor s upravljanjem krizama, ali je i dalje nepotpuna bez </w:t>
            </w:r>
            <w:r>
              <w:rPr>
                <w:b/>
                <w:i/>
              </w:rPr>
              <w:t>potpuno provedenog</w:t>
            </w:r>
            <w:r>
              <w:t xml:space="preserve"> EDIS-a;</w:t>
            </w:r>
          </w:p>
        </w:tc>
        <w:tc>
          <w:tcPr>
            <w:tcW w:w="4876" w:type="dxa"/>
            <w:tcBorders>
              <w:top w:val="nil"/>
              <w:left w:val="nil"/>
              <w:bottom w:val="nil"/>
              <w:right w:val="nil"/>
            </w:tcBorders>
          </w:tcPr>
          <w:p>
            <w:pPr>
              <w:pStyle w:val="Normal6a"/>
            </w:pPr>
            <w:r>
              <w:t>B.</w:t>
            </w:r>
            <w:r>
              <w:tab/>
            </w:r>
            <w:r>
              <w:t xml:space="preserve">budući da bankovna unija, koja se sastoji od jedinstvenog nadzornog mehanizma i jedinstvenog sanacijskog mehanizma (SRM), usklađuje nadzor s upravljanjem krizama, ali je i dalje nepotpuna bez EDIS-a </w:t>
            </w:r>
            <w:r>
              <w:rPr>
                <w:b/>
                <w:i/>
              </w:rPr>
              <w:t>kojim bi se u potpunosti uzele u obzir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bankovna unija, koja se sastoji od jedinstvenog nadzornog mehanizma i jedinstvenog sanacijskog mehanizma (SRM), usklađuje nadzor s upravljanjem krizama, ali je i dalje nepotpuna bez potpuno provedenog EDIS-a;</w:t>
            </w:r>
          </w:p>
        </w:tc>
        <w:tc>
          <w:tcPr>
            <w:tcW w:w="4876" w:type="dxa"/>
            <w:tcBorders>
              <w:top w:val="nil"/>
              <w:left w:val="nil"/>
              <w:bottom w:val="nil"/>
              <w:right w:val="nil"/>
            </w:tcBorders>
          </w:tcPr>
          <w:p>
            <w:pPr>
              <w:pStyle w:val="Normal6a"/>
            </w:pPr>
            <w:r>
              <w:t>B.</w:t>
            </w:r>
            <w:r>
              <w:tab/>
            </w:r>
            <w:r>
              <w:t xml:space="preserve">budući da bankovna unija, koja se sastoji od jedinstvenog nadzornog mehanizma i jedinstvenog sanacijskog mehanizma (SRM), usklađuje nadzor s upravljanjem krizama, ali je i dalje nepotpuna bez potpuno provedenog EDIS-a </w:t>
            </w:r>
            <w:r>
              <w:rPr>
                <w:b/>
                <w:i/>
              </w:rPr>
              <w:t>i zajedničkog zaštitnog mehanizma za Jedinstveni fond za sanaciju, što ovisi o ratifikaciji revidiranog Ugovora o ESM-u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bankovna unija, koja se sastoji od jedinstvenog nadzornog mehanizma i jedinstvenog sanacijskog mehanizma (SRM), usklađuje nadzor s upravljanjem krizama, ali je i dalje nepotpuna bez potpuno provedenog EDIS-a;</w:t>
            </w:r>
          </w:p>
        </w:tc>
        <w:tc>
          <w:tcPr>
            <w:tcW w:w="4876" w:type="dxa"/>
            <w:tcBorders>
              <w:top w:val="nil"/>
              <w:left w:val="nil"/>
              <w:bottom w:val="nil"/>
              <w:right w:val="nil"/>
            </w:tcBorders>
          </w:tcPr>
          <w:p>
            <w:pPr>
              <w:pStyle w:val="Normal6a"/>
            </w:pPr>
            <w:r>
              <w:t>B.</w:t>
            </w:r>
            <w:r>
              <w:tab/>
            </w:r>
            <w:r>
              <w:t xml:space="preserve">budući da bankovna unija, koja se sastoji od jedinstvenog nadzornog mehanizma i jedinstvenog sanacijskog mehanizma (SRM) </w:t>
            </w:r>
            <w:r>
              <w:rPr>
                <w:b/>
                <w:i/>
              </w:rPr>
              <w:t>i temelji se na Jedinstvenim pravilima</w:t>
            </w:r>
            <w:r>
              <w:t>, usklađuje nadzor s upravljanjem krizama, ali je i dalje nepotpuna bez potpuno provedenog EDIS-a;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bi dovršena bankovna unija bila pozitivan element za građane i gospodarstvo Unije te pružila osnovu za stabilniji bankarski sustav, smanjenje sistemskog rizika, poboljšano tržišno natjecanje, bolji izbor za potrošače, veće mogućnosti za prekogranično bankarstvo i pristup maloprodajnim financijskim uslugama, veća gospodarska ulaganja, bolji pristup financiranju za kućanstva i poduzeća te smanjenje troškova za klijente banaka;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ESB potiče dovršetak bankovne unije kako bi se potaknula prekogranična integracija i omogućila učinkovitija raspodjela kapitala kao uvjeta potrebnih za uklanjanje trenutačnog nepovoljnog položaja banaka iz Unije u odnosu na konkurenciju zbog njihove nedovoljne veličine, budući da također preporučuje pojednostavnjenje europskog bonitetnog regulatornog i nadzornog okvira te okvira za izvješćivanje;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su nebankarski financijski posrednici (nebankarske financijske institucije ili „banke u sjeni”) izvan strukture bankovne unije zbog čega je bankarski sektor EU-a osjetljiv na rizike koji proizlaze iz sve jače međusobne povezanosti nebankarskih financijskih institucija i bankarskog sektora;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budući da je stabilan, otporan, dinamičan i konkurentan bankarski sektor ključan za gospodarski rast, potporu malim i srednjim poduzećima, povećanje mogućnosti kupnje vlastite stambene nekretnine, inovacije, ulaganja i povećanje gospodarskih prilika za sve;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budući da je prema literaturi o optimalnim područjima valuta potpuna bankovna unija ključna kako bi se izbjegli asimetrični učinci šokova diljem EU-a, što dovodi do veće financijske i gospodarske stabilnosti i otpornosti;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budući da bi EU trebao u potpunosti i bez odgode provesti standarde Basel III;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w:t>
            </w:r>
            <w:r>
              <w:rPr>
                <w:b/>
                <w:i/>
              </w:rPr>
              <w:t>bi EU trebao u potpunosti i bez odgode provesti standarde</w:t>
            </w:r>
            <w:r>
              <w:t xml:space="preserve"> Basel III;</w:t>
            </w:r>
          </w:p>
        </w:tc>
        <w:tc>
          <w:tcPr>
            <w:tcW w:w="4876" w:type="dxa"/>
            <w:tcBorders>
              <w:top w:val="nil"/>
              <w:left w:val="nil"/>
              <w:bottom w:val="nil"/>
              <w:right w:val="nil"/>
            </w:tcBorders>
          </w:tcPr>
          <w:p>
            <w:pPr>
              <w:pStyle w:val="Normal6a"/>
            </w:pPr>
            <w:r>
              <w:t>C.</w:t>
            </w:r>
            <w:r>
              <w:tab/>
            </w:r>
            <w:r>
              <w:t xml:space="preserve">budući da </w:t>
            </w:r>
            <w:r>
              <w:rPr>
                <w:b/>
                <w:i/>
              </w:rPr>
              <w:t>je financijska stabilnost preduvjet za učinkovitu monetarnu politiku i otporan financijski sustav, budući da je EU već postigao dogovor o provedbi okvira</w:t>
            </w:r>
            <w:r>
              <w:t xml:space="preserve"> Basel III; </w:t>
            </w:r>
            <w:r>
              <w:rPr>
                <w:b/>
                <w:i/>
              </w:rPr>
              <w:t>budući da je također neophodno osigurati pravu ravnotežu između financijske stabilnosti, poštovanja međunarodnih okvira i jednakih uvjeta na međunarodnoj razini kako bi se osiguralo da europske banke mogu ravnopravno konkurirati bankama iz drugih jurisdikcija;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bi </w:t>
            </w:r>
            <w:r>
              <w:rPr>
                <w:b/>
                <w:i/>
              </w:rPr>
              <w:t>EU trebao u potpunosti i bez odgode provesti standarde</w:t>
            </w:r>
            <w:r>
              <w:t xml:space="preserve"> Basel III;</w:t>
            </w:r>
          </w:p>
        </w:tc>
        <w:tc>
          <w:tcPr>
            <w:tcW w:w="4876" w:type="dxa"/>
            <w:tcBorders>
              <w:top w:val="nil"/>
              <w:left w:val="nil"/>
              <w:bottom w:val="nil"/>
              <w:right w:val="nil"/>
            </w:tcBorders>
          </w:tcPr>
          <w:p>
            <w:pPr>
              <w:pStyle w:val="Normal6a"/>
            </w:pPr>
            <w:r>
              <w:t>C.</w:t>
            </w:r>
            <w:r>
              <w:tab/>
            </w:r>
            <w:r>
              <w:t xml:space="preserve">budući da bi </w:t>
            </w:r>
            <w:r>
              <w:rPr>
                <w:b/>
                <w:i/>
              </w:rPr>
              <w:t>pravila</w:t>
            </w:r>
            <w:r>
              <w:t xml:space="preserve"> Basel III </w:t>
            </w:r>
            <w:r>
              <w:rPr>
                <w:b/>
                <w:i/>
              </w:rPr>
              <w:t>trebalo prilagoditi posebnostima europskog bankarskog sektora, uzimajući u obzir kriterij proporcionalnosti i pojednostavnjenje za manje banke, što je u skladu sa zaključcima radne skupine ESB-a na visokoj razini za pojednostavnjenje, koju podupire Upravno vijeće ESB-a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bi EU trebao </w:t>
            </w:r>
            <w:r>
              <w:rPr>
                <w:b/>
                <w:i/>
              </w:rPr>
              <w:t>u potpunosti i bez odgode provesti standarde</w:t>
            </w:r>
            <w:r>
              <w:t xml:space="preserve"> Basel III;</w:t>
            </w:r>
          </w:p>
        </w:tc>
        <w:tc>
          <w:tcPr>
            <w:tcW w:w="4876" w:type="dxa"/>
            <w:tcBorders>
              <w:top w:val="nil"/>
              <w:left w:val="nil"/>
              <w:bottom w:val="nil"/>
              <w:right w:val="nil"/>
            </w:tcBorders>
          </w:tcPr>
          <w:p>
            <w:pPr>
              <w:pStyle w:val="Normal6a"/>
            </w:pPr>
            <w:r>
              <w:t>C.</w:t>
            </w:r>
            <w:r>
              <w:tab/>
            </w:r>
            <w:r>
              <w:t xml:space="preserve">budući da bi EU trebao </w:t>
            </w:r>
            <w:r>
              <w:rPr>
                <w:b/>
                <w:i/>
              </w:rPr>
              <w:t>dosljedno provoditi Sporazum</w:t>
            </w:r>
            <w:r>
              <w:t xml:space="preserve"> Basel III</w:t>
            </w:r>
            <w:r>
              <w:rPr>
                <w:b/>
                <w:i/>
              </w:rPr>
              <w:t>, osiguravajući pritom proporcionalnu, postupnu i prilagođenu provedbu posebnostima europskog financijskog sustava, ne dovodeći u pitanje konkurentnost bankarskog sustava EU-a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bi EU trebao </w:t>
            </w:r>
            <w:r>
              <w:rPr>
                <w:b/>
                <w:i/>
              </w:rPr>
              <w:t>u potpunosti i</w:t>
            </w:r>
            <w:r>
              <w:t xml:space="preserve"> bez odgode provesti standarde Basel III;</w:t>
            </w:r>
          </w:p>
        </w:tc>
        <w:tc>
          <w:tcPr>
            <w:tcW w:w="4876" w:type="dxa"/>
            <w:tcBorders>
              <w:top w:val="nil"/>
              <w:left w:val="nil"/>
              <w:bottom w:val="nil"/>
              <w:right w:val="nil"/>
            </w:tcBorders>
          </w:tcPr>
          <w:p>
            <w:pPr>
              <w:pStyle w:val="Normal6a"/>
            </w:pPr>
            <w:r>
              <w:t>C.</w:t>
            </w:r>
            <w:r>
              <w:tab/>
            </w:r>
            <w:r>
              <w:t xml:space="preserve">budući da bi EU trebao bez odgode provesti standarde Basel III </w:t>
            </w:r>
            <w:r>
              <w:rPr>
                <w:b/>
                <w:i/>
              </w:rPr>
              <w:t>na način kojim se štiti međunarodna konkurentnost europskog bankarskog sektora i osiguravaju jednaki uvjeti na globalnoj razini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bi EU trebao u potpunosti </w:t>
            </w:r>
            <w:r>
              <w:rPr>
                <w:b/>
                <w:i/>
              </w:rPr>
              <w:t>i bez odgode</w:t>
            </w:r>
            <w:r>
              <w:t xml:space="preserve"> provesti standarde Basel III;</w:t>
            </w:r>
          </w:p>
        </w:tc>
        <w:tc>
          <w:tcPr>
            <w:tcW w:w="4876" w:type="dxa"/>
            <w:tcBorders>
              <w:top w:val="nil"/>
              <w:left w:val="nil"/>
              <w:bottom w:val="nil"/>
              <w:right w:val="nil"/>
            </w:tcBorders>
          </w:tcPr>
          <w:p>
            <w:pPr>
              <w:pStyle w:val="Normal6a"/>
            </w:pPr>
            <w:r>
              <w:t>C.</w:t>
            </w:r>
            <w:r>
              <w:tab/>
            </w:r>
            <w:r>
              <w:t xml:space="preserve">budući da bi EU trebao u potpunosti provesti standarde Basel III </w:t>
            </w:r>
            <w:r>
              <w:rPr>
                <w:b/>
                <w:i/>
              </w:rPr>
              <w:t>bez ugrožavanja međunarodne konkurentnosti bankarskog sektora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bi EU trebao u potpunosti i bez odgode provesti standarde Basel III;</w:t>
            </w:r>
          </w:p>
        </w:tc>
        <w:tc>
          <w:tcPr>
            <w:tcW w:w="4876" w:type="dxa"/>
            <w:tcBorders>
              <w:top w:val="nil"/>
              <w:left w:val="nil"/>
              <w:bottom w:val="nil"/>
              <w:right w:val="nil"/>
            </w:tcBorders>
          </w:tcPr>
          <w:p>
            <w:pPr>
              <w:pStyle w:val="Normal6a"/>
            </w:pPr>
            <w:r>
              <w:t>C.</w:t>
            </w:r>
            <w:r>
              <w:tab/>
            </w:r>
            <w:r>
              <w:rPr>
                <w:b/>
                <w:i/>
              </w:rPr>
              <w:t>budući da EU standarde Basel III primjenjuje na sve banke bez obzira na njihovu veličinu i područje djelovanja;</w:t>
            </w:r>
            <w:r>
              <w:t xml:space="preserve"> budući da bi EU trebao u potpunosti i bez odgode provesti standarde Basel III </w:t>
            </w:r>
            <w:r>
              <w:rPr>
                <w:b/>
                <w:i/>
              </w:rPr>
              <w:t>samo za međunarodno aktivne europske banke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bi EU trebao u potpunosti i bez odgode provesti standarde Basel III;</w:t>
            </w:r>
          </w:p>
        </w:tc>
        <w:tc>
          <w:tcPr>
            <w:tcW w:w="4876" w:type="dxa"/>
            <w:tcBorders>
              <w:top w:val="nil"/>
              <w:left w:val="nil"/>
              <w:bottom w:val="nil"/>
              <w:right w:val="nil"/>
            </w:tcBorders>
          </w:tcPr>
          <w:p>
            <w:pPr>
              <w:pStyle w:val="Normal6a"/>
            </w:pPr>
            <w:r>
              <w:t>C.</w:t>
            </w:r>
            <w:r>
              <w:tab/>
            </w:r>
            <w:r>
              <w:t xml:space="preserve">budući da bi EU trebao u potpunosti i bez odgode provesti standarde Basel III </w:t>
            </w:r>
            <w:r>
              <w:rPr>
                <w:b/>
                <w:i/>
              </w:rPr>
              <w:t>uzimajući u obzir važnost jednakih uvjeta na globalnoj razini i ključnu ulogu koju banke u EU-u imaju u financiranju gospodarstva, uključujući financiranje kućanstava i MSP-ova, i osiguravanju konkurentnosti bankarskog sustava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bi EU trebao u potpunosti i bez odgode provesti standarde Basel III;</w:t>
            </w:r>
          </w:p>
        </w:tc>
        <w:tc>
          <w:tcPr>
            <w:tcW w:w="4876" w:type="dxa"/>
            <w:tcBorders>
              <w:top w:val="nil"/>
              <w:left w:val="nil"/>
              <w:bottom w:val="nil"/>
              <w:right w:val="nil"/>
            </w:tcBorders>
          </w:tcPr>
          <w:p>
            <w:pPr>
              <w:pStyle w:val="Normal6a"/>
            </w:pPr>
            <w:r>
              <w:t>C.</w:t>
            </w:r>
            <w:r>
              <w:tab/>
            </w:r>
            <w:r>
              <w:t xml:space="preserve">budući da bi EU trebao u potpunosti i bez </w:t>
            </w:r>
            <w:r>
              <w:rPr>
                <w:b/>
                <w:i/>
              </w:rPr>
              <w:t>daljnje</w:t>
            </w:r>
            <w:r>
              <w:t xml:space="preserve"> odgode provesti standarde Basel III</w:t>
            </w:r>
            <w:r>
              <w:rPr>
                <w:b/>
                <w:i/>
              </w:rPr>
              <w:t>, uključujući okvir za tržišni rizik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bi EU trebao u potpunosti i bez odgode provesti standarde Basel III;</w:t>
            </w:r>
          </w:p>
        </w:tc>
        <w:tc>
          <w:tcPr>
            <w:tcW w:w="4876" w:type="dxa"/>
            <w:tcBorders>
              <w:top w:val="nil"/>
              <w:left w:val="nil"/>
              <w:bottom w:val="nil"/>
              <w:right w:val="nil"/>
            </w:tcBorders>
          </w:tcPr>
          <w:p>
            <w:pPr>
              <w:pStyle w:val="Normal6a"/>
            </w:pPr>
            <w:r>
              <w:t>C.</w:t>
            </w:r>
            <w:r>
              <w:tab/>
            </w:r>
            <w:r>
              <w:t xml:space="preserve">budući da bi EU trebao u potpunosti i bez odgode provesti standarde Basel III; </w:t>
            </w:r>
            <w:r>
              <w:rPr>
                <w:b/>
                <w:i/>
              </w:rPr>
              <w:t>kritizira opetovane odgode i odstupanja EU-a od međunarodnih bazelskih standarda, uključujući odgodu pravila o tržišnom riziku do 2026., što na globalnim veleprodajnim tržištima dovodi do regulatorne arbitraže i nepovoljnog položaja banaka iz EU-a u odnosu na konkurenciju;</w:t>
            </w:r>
            <w:r>
              <w:t xml:space="preserve"> </w:t>
            </w:r>
            <w:r>
              <w:rPr>
                <w:b/>
                <w:i/>
              </w:rPr>
              <w:t>takva neujednačena provedba narušava jednake uvjete i povećava sistemski rizik zbog neučinkovitosti u raspodjeli rizičnog kapitala;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ruska agresija na Ukrajinu te njezine gospodarske i društvene posljedice imaju i imat će izravan i neizravan učinak na bankarski sektor EU-a;</w:t>
            </w:r>
            <w:r>
              <w:t xml:space="preserve"> </w:t>
            </w:r>
            <w:r>
              <w:rPr>
                <w:b/>
                <w:i/>
              </w:rPr>
              <w:t>budući da banke EU-a imaju ključnu ulogu u osiguranju aktualne provedbe i poštovanja sankcija koje je EU nametnuo Rusiji kao odgovor na invaziju;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budući da digitalizacija financija pruža bankarskom sektoru brojne mogućnosti te da je u bankarskom sektoru EU-a dovela do važnog tehnološkog napretka povećanjem učinkovitosti u pružanju bankarskih usluga i većim zanimanjem za inovacije i razmjenu podataka, no također predstavlja izazove, među ostalim u pogledu kibernetičkih rizika, privatnosti podataka, reputacijskih rizika, rizika od pranja novca i problema u pogledu zaštite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budući da je jedan od ključnih ciljeva bankovne unije taj da porezni obveznici ne bi trebali snositi trošak korektivnih mjera u slučaju propasti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budući da se klimatske promjene, rizici za okoliš i prijelaz na niskougljično gospodarstvo moraju uzeti u obzir pri procjeni rizika za bilance banaka;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budući da se klimatske promjene, rizici za okoliš i prijelaz na niskougljično gospodarstvo moraju uzeti u obzir pri procjeni rizika za bilance banaka;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budući da se klimatske promjene, rizici za okoliš i prijelaz na niskougljično gospodarstvo moraju uzeti u obzir pri procjeni rizika za bilance banaka;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budući da se klimatske promjene, rizici za okoliš i prijelaz na niskougljično gospodarstvo moraju uzeti u obzir pri procjeni rizika za bilance banaka;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w:t>
            </w:r>
            <w:r>
              <w:rPr>
                <w:b/>
                <w:i/>
              </w:rPr>
              <w:t>se klimatske promjene, rizici za okoliš i prijelaz na niskougljično gospodarstvo moraju uzeti u obzir pri procjeni</w:t>
            </w:r>
            <w:r>
              <w:t xml:space="preserve"> rizika </w:t>
            </w:r>
            <w:r>
              <w:rPr>
                <w:b/>
                <w:i/>
              </w:rPr>
              <w:t>za bilance banaka</w:t>
            </w:r>
            <w:r>
              <w:t>;</w:t>
            </w:r>
          </w:p>
        </w:tc>
        <w:tc>
          <w:tcPr>
            <w:tcW w:w="4876" w:type="dxa"/>
            <w:tcBorders>
              <w:top w:val="nil"/>
              <w:left w:val="nil"/>
              <w:bottom w:val="nil"/>
              <w:right w:val="nil"/>
            </w:tcBorders>
          </w:tcPr>
          <w:p>
            <w:pPr>
              <w:pStyle w:val="Normal6a"/>
            </w:pPr>
            <w:r>
              <w:t>D.</w:t>
            </w:r>
            <w:r>
              <w:tab/>
            </w:r>
            <w:r>
              <w:t xml:space="preserve">budući da </w:t>
            </w:r>
            <w:r>
              <w:rPr>
                <w:b/>
                <w:i/>
              </w:rPr>
              <w:t>je hitno potrebno tradicionalne parametre</w:t>
            </w:r>
            <w:r>
              <w:t xml:space="preserve"> rizika </w:t>
            </w:r>
            <w:r>
              <w:rPr>
                <w:b/>
                <w:i/>
              </w:rPr>
              <w:t>ne podređivati politički motiviranim okolišnim ciljevima, koji mogu povećati kapitalne zahtjeve i ograničiti ponudu kredita tamo gdje je najproduktivnija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se klimatske promjene, rizici za okoliš i prijelaz na niskougljično gospodarstvo </w:t>
            </w:r>
            <w:r>
              <w:rPr>
                <w:b/>
                <w:i/>
              </w:rPr>
              <w:t>moraju</w:t>
            </w:r>
            <w:r>
              <w:t xml:space="preserve"> uzeti u obzir pri procjeni rizika za bilance banaka;</w:t>
            </w:r>
          </w:p>
        </w:tc>
        <w:tc>
          <w:tcPr>
            <w:tcW w:w="4876" w:type="dxa"/>
            <w:tcBorders>
              <w:top w:val="nil"/>
              <w:left w:val="nil"/>
              <w:bottom w:val="nil"/>
              <w:right w:val="nil"/>
            </w:tcBorders>
          </w:tcPr>
          <w:p>
            <w:pPr>
              <w:pStyle w:val="Normal6a"/>
            </w:pPr>
            <w:r>
              <w:t>D.</w:t>
            </w:r>
            <w:r>
              <w:tab/>
            </w:r>
            <w:r>
              <w:t xml:space="preserve">budući da se klimatske promjene, rizici za okoliš i prijelaz na niskougljično gospodarstvo </w:t>
            </w:r>
            <w:r>
              <w:rPr>
                <w:b/>
                <w:i/>
              </w:rPr>
              <w:t>mogu</w:t>
            </w:r>
            <w:r>
              <w:t xml:space="preserve"> uzeti u obzir pri procjeni rizika za bilance banaka </w:t>
            </w:r>
            <w:r>
              <w:rPr>
                <w:b/>
                <w:i/>
              </w:rPr>
              <w:t>samo ako utječu na financijsku stabilnost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se klimatske promjene, rizici za okoliš i prijelaz na </w:t>
            </w:r>
            <w:r>
              <w:rPr>
                <w:b/>
                <w:i/>
              </w:rPr>
              <w:t>niskougljično</w:t>
            </w:r>
            <w:r>
              <w:t xml:space="preserve"> gospodarstvo moraju uzeti u obzir pri procjeni rizika za bilance banaka;</w:t>
            </w:r>
          </w:p>
        </w:tc>
        <w:tc>
          <w:tcPr>
            <w:tcW w:w="4876" w:type="dxa"/>
            <w:tcBorders>
              <w:top w:val="nil"/>
              <w:left w:val="nil"/>
              <w:bottom w:val="nil"/>
              <w:right w:val="nil"/>
            </w:tcBorders>
          </w:tcPr>
          <w:p>
            <w:pPr>
              <w:pStyle w:val="Normal6a"/>
            </w:pPr>
            <w:r>
              <w:t>D.</w:t>
            </w:r>
            <w:r>
              <w:tab/>
            </w:r>
            <w:r>
              <w:t xml:space="preserve">budući da se klimatske promjene, rizici za okoliš i prijelaz na gospodarstvo </w:t>
            </w:r>
            <w:r>
              <w:rPr>
                <w:b/>
                <w:i/>
              </w:rPr>
              <w:t>s nultom neto stopom emisija</w:t>
            </w:r>
            <w:r>
              <w:t xml:space="preserve"> moraju uzeti u obzir pri procjeni rizika za bilance banaka;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w:t>
            </w:r>
            <w:r>
              <w:rPr>
                <w:b/>
                <w:i/>
              </w:rPr>
              <w:t>bi digitalni euro mogao poboljšati učinkovitost plaćanja, otpornost, financijsku uključenost, inovacije, povjerenje javnosti i međunarodnu ulogu eura u EU-u</w:t>
            </w:r>
            <w:r>
              <w:t>;</w:t>
            </w:r>
          </w:p>
        </w:tc>
        <w:tc>
          <w:tcPr>
            <w:tcW w:w="4876" w:type="dxa"/>
            <w:tcBorders>
              <w:top w:val="nil"/>
              <w:left w:val="nil"/>
              <w:bottom w:val="nil"/>
              <w:right w:val="nil"/>
            </w:tcBorders>
          </w:tcPr>
          <w:p>
            <w:pPr>
              <w:pStyle w:val="Normal6a"/>
            </w:pPr>
            <w:r>
              <w:t>E.</w:t>
            </w:r>
            <w:r>
              <w:tab/>
            </w:r>
            <w:r>
              <w:t xml:space="preserve">budući da </w:t>
            </w:r>
            <w:r>
              <w:rPr>
                <w:b/>
                <w:i/>
              </w:rPr>
              <w:t>projekt digitalnog eura sa sobom nosi izazove i potencijalne prijetnje likvidnosti i stabilnosti bankarskog sektora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bi digitalni euro </w:t>
            </w:r>
            <w:r>
              <w:rPr>
                <w:b/>
                <w:i/>
              </w:rPr>
              <w:t>mogao</w:t>
            </w:r>
            <w:r>
              <w:t xml:space="preserve"> poboljšati učinkovitost </w:t>
            </w:r>
            <w:r>
              <w:rPr>
                <w:b/>
                <w:i/>
              </w:rPr>
              <w:t>plaćanja,</w:t>
            </w:r>
            <w:r>
              <w:t xml:space="preserve"> otpornost, financijsku </w:t>
            </w:r>
            <w:r>
              <w:rPr>
                <w:b/>
                <w:i/>
              </w:rPr>
              <w:t>uključenost, inovacije, povjerenje javnosti i međunarodnu ulogu eura u EU-u</w:t>
            </w:r>
            <w:r>
              <w:t>;</w:t>
            </w:r>
          </w:p>
        </w:tc>
        <w:tc>
          <w:tcPr>
            <w:tcW w:w="4876" w:type="dxa"/>
            <w:tcBorders>
              <w:top w:val="nil"/>
              <w:left w:val="nil"/>
              <w:bottom w:val="nil"/>
              <w:right w:val="nil"/>
            </w:tcBorders>
          </w:tcPr>
          <w:p>
            <w:pPr>
              <w:pStyle w:val="Normal6a"/>
            </w:pPr>
            <w:r>
              <w:t>E.</w:t>
            </w:r>
            <w:r>
              <w:tab/>
            </w:r>
            <w:r>
              <w:t xml:space="preserve">budući da bi digitalni euro </w:t>
            </w:r>
            <w:r>
              <w:rPr>
                <w:b/>
                <w:i/>
              </w:rPr>
              <w:t>bez interneta i digitalni euro za plaćanja velikih vrijednosti mogli</w:t>
            </w:r>
            <w:r>
              <w:t xml:space="preserve"> poboljšati učinkovitost </w:t>
            </w:r>
            <w:r>
              <w:rPr>
                <w:b/>
                <w:i/>
              </w:rPr>
              <w:t>i</w:t>
            </w:r>
            <w:r>
              <w:t xml:space="preserve"> otpornost </w:t>
            </w:r>
            <w:r>
              <w:rPr>
                <w:b/>
                <w:i/>
              </w:rPr>
              <w:t>plaćanja u Uniji</w:t>
            </w:r>
            <w:r>
              <w:t xml:space="preserve">, </w:t>
            </w:r>
            <w:r>
              <w:rPr>
                <w:b/>
                <w:i/>
              </w:rPr>
              <w:t>ali bi također mogli znatno oslabiti depozitne baze komercijalnih banaka i ugroziti</w:t>
            </w:r>
            <w:r>
              <w:t xml:space="preserve"> financijsku </w:t>
            </w:r>
            <w:r>
              <w:rPr>
                <w:b/>
                <w:i/>
              </w:rPr>
              <w:t>stabilnost poticanjem bijega prema depozitima središnjih banaka, posebno tijekom razdoblja stresa;</w:t>
            </w:r>
            <w:r>
              <w:t xml:space="preserve"> </w:t>
            </w:r>
            <w:r>
              <w:rPr>
                <w:b/>
                <w:i/>
              </w:rPr>
              <w:t>takav bi pomak mogao smanjiti sposobnost banaka da kreditiraju kućanstva i MSP-ove, čime bi se povećala ovisnost o centraliziranim mehanizmima monetarnog financiranja umjesto diversificiranog tržišnog financiranja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w:t>
            </w:r>
            <w:r>
              <w:rPr>
                <w:b/>
                <w:i/>
              </w:rPr>
              <w:t>bi</w:t>
            </w:r>
            <w:r>
              <w:t xml:space="preserve"> digitalni euro </w:t>
            </w:r>
            <w:r>
              <w:rPr>
                <w:b/>
                <w:i/>
              </w:rPr>
              <w:t>mogao</w:t>
            </w:r>
            <w:r>
              <w:t xml:space="preserve"> poboljšati učinkovitost plaćanja, otpornost, financijsku uključenost, inovacije, povjerenje javnosti i međunarodnu ulogu eura u EU-u;</w:t>
            </w:r>
          </w:p>
        </w:tc>
        <w:tc>
          <w:tcPr>
            <w:tcW w:w="4876" w:type="dxa"/>
            <w:tcBorders>
              <w:top w:val="nil"/>
              <w:left w:val="nil"/>
              <w:bottom w:val="nil"/>
              <w:right w:val="nil"/>
            </w:tcBorders>
          </w:tcPr>
          <w:p>
            <w:pPr>
              <w:pStyle w:val="Normal6a"/>
            </w:pPr>
            <w:r>
              <w:t>E.</w:t>
            </w:r>
            <w:r>
              <w:tab/>
            </w:r>
            <w:r>
              <w:t xml:space="preserve">budući da </w:t>
            </w:r>
            <w:r>
              <w:rPr>
                <w:b/>
                <w:i/>
              </w:rPr>
              <w:t>će</w:t>
            </w:r>
            <w:r>
              <w:t xml:space="preserve"> digitalni euro poboljšati učinkovitost plaćanja</w:t>
            </w:r>
            <w:r>
              <w:rPr>
                <w:b/>
                <w:i/>
              </w:rPr>
              <w:t>, konkurentnost</w:t>
            </w:r>
            <w:r>
              <w:t>, otpornost, financijsku uključenost, inovacije, povjerenje javnosti i međunarodnu ulogu eura u EU-u;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bi digitalni euro </w:t>
            </w:r>
            <w:r>
              <w:rPr>
                <w:b/>
                <w:i/>
              </w:rPr>
              <w:t>mogao poboljšati</w:t>
            </w:r>
            <w:r>
              <w:t xml:space="preserve"> učinkovitost plaćanja, otpornost, financijsku uključenost, inovacije, povjerenje javnosti i međunarodnu ulogu eura u EU-u;</w:t>
            </w:r>
          </w:p>
        </w:tc>
        <w:tc>
          <w:tcPr>
            <w:tcW w:w="4876" w:type="dxa"/>
            <w:tcBorders>
              <w:top w:val="nil"/>
              <w:left w:val="nil"/>
              <w:bottom w:val="nil"/>
              <w:right w:val="nil"/>
            </w:tcBorders>
          </w:tcPr>
          <w:p>
            <w:pPr>
              <w:pStyle w:val="Normal6a"/>
            </w:pPr>
            <w:r>
              <w:t>E.</w:t>
            </w:r>
            <w:r>
              <w:tab/>
            </w:r>
            <w:r>
              <w:t xml:space="preserve">budući da bi digitalni euro </w:t>
            </w:r>
            <w:r>
              <w:rPr>
                <w:b/>
                <w:i/>
              </w:rPr>
              <w:t>poboljšao</w:t>
            </w:r>
            <w:r>
              <w:t xml:space="preserve"> učinkovitost plaćanja, otpornost, financijsku uključenost, inovacije, povjerenje javnosti i međunarodnu ulogu eura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bi </w:t>
            </w:r>
            <w:r>
              <w:rPr>
                <w:b/>
                <w:i/>
              </w:rPr>
              <w:t>digitalni euro mogao</w:t>
            </w:r>
            <w:r>
              <w:t xml:space="preserve"> poboljšati učinkovitost plaćanja, otpornost, financijsku uključenost, inovacije, povjerenje javnosti i međunarodnu ulogu eura u EU-u;</w:t>
            </w:r>
          </w:p>
        </w:tc>
        <w:tc>
          <w:tcPr>
            <w:tcW w:w="4876" w:type="dxa"/>
            <w:tcBorders>
              <w:top w:val="nil"/>
              <w:left w:val="nil"/>
              <w:bottom w:val="nil"/>
              <w:right w:val="nil"/>
            </w:tcBorders>
          </w:tcPr>
          <w:p>
            <w:pPr>
              <w:pStyle w:val="Normal6a"/>
            </w:pPr>
            <w:r>
              <w:t>E.</w:t>
            </w:r>
            <w:r>
              <w:tab/>
            </w:r>
            <w:r>
              <w:t xml:space="preserve">budući da bi </w:t>
            </w:r>
            <w:r>
              <w:rPr>
                <w:b/>
                <w:i/>
              </w:rPr>
              <w:t>paneuropsko suvereno rješenje za plaćanja malih vrijednosti moglo</w:t>
            </w:r>
            <w:r>
              <w:t xml:space="preserve"> poboljšati učinkovitost plaćanja</w:t>
            </w:r>
            <w:r>
              <w:rPr>
                <w:b/>
                <w:i/>
              </w:rPr>
              <w:t>, suverenost</w:t>
            </w:r>
            <w:r>
              <w:t xml:space="preserve">, otpornost, financijsku uključenost, inovacije, povjerenje javnosti i međunarodnu ulogu eura u EU-u; </w:t>
            </w:r>
            <w:r>
              <w:rPr>
                <w:b/>
                <w:i/>
              </w:rPr>
              <w:t>budući da bi rješenje kojim bi se u potpunosti integrirali sudionici na tržištu potaknulo stalne inovacije, povjerenje i financijsku stabilnost zahvaljujući dubljim i likvidnijim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bi digitalni euro mogao poboljšati učinkovitost plaćanja, otpornost, financijsku uključenost, inovacije, povjerenje javnosti i međunarodnu ulogu eura </w:t>
            </w:r>
            <w:r>
              <w:rPr>
                <w:b/>
                <w:i/>
              </w:rPr>
              <w:t>u EU-u</w:t>
            </w:r>
            <w:r>
              <w:t>;</w:t>
            </w:r>
          </w:p>
        </w:tc>
        <w:tc>
          <w:tcPr>
            <w:tcW w:w="4876" w:type="dxa"/>
            <w:tcBorders>
              <w:top w:val="nil"/>
              <w:left w:val="nil"/>
              <w:bottom w:val="nil"/>
              <w:right w:val="nil"/>
            </w:tcBorders>
          </w:tcPr>
          <w:p>
            <w:pPr>
              <w:pStyle w:val="Normal6a"/>
            </w:pPr>
            <w:r>
              <w:t>E.</w:t>
            </w:r>
            <w:r>
              <w:tab/>
            </w:r>
            <w:r>
              <w:t xml:space="preserve">budući da bi digitalni euro </w:t>
            </w:r>
            <w:r>
              <w:rPr>
                <w:b/>
                <w:i/>
              </w:rPr>
              <w:t>za plaćanja malih vrijednosti</w:t>
            </w:r>
            <w:r>
              <w:t xml:space="preserve"> mogao poboljšati učinkovitost plaćanja, otpornost, financijsku uključenost, inovacije, </w:t>
            </w:r>
            <w:r>
              <w:rPr>
                <w:b/>
                <w:i/>
              </w:rPr>
              <w:t>konkurentnost,</w:t>
            </w:r>
            <w:r>
              <w:t xml:space="preserve"> povjerenje javnosti</w:t>
            </w:r>
            <w:r>
              <w:rPr>
                <w:b/>
                <w:i/>
              </w:rPr>
              <w:t>, privatnost klijenata u pogledu digitalnih plaćanja</w:t>
            </w:r>
            <w:r>
              <w:t xml:space="preserve"> i međunarodnu ulogu eura;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su za pravilno funkcioniranje bankovne unije i konkurentnost financijskog sustava EU-a ključne učinkovitost, otpornost i strateška autonomija infrastrukture financijskog tržišta Unije;</w:t>
            </w:r>
            <w:r>
              <w:t xml:space="preserve"> </w:t>
            </w:r>
            <w:r>
              <w:rPr>
                <w:b/>
                <w:i/>
              </w:rPr>
              <w:t>budući da razvoj digitalne valute središnje banke za plaćanja velikih vrijednosti, osmišljene isključivo za namiru između reguliranih financijskih institucija, ima potencijal za znatno poboljšanje prekograničnih plaćanja, upravljanja namirom vrijednosnih papira i likvidnošću, među ostalim boljom interoperabilnošću platnih sustava i tržišne infrastrukture;</w:t>
            </w:r>
            <w:r>
              <w:t xml:space="preserve"> </w:t>
            </w:r>
            <w:r>
              <w:rPr>
                <w:b/>
                <w:i/>
              </w:rPr>
              <w:t>budući da aktualne inicijative Eurosustava predstavljaju važne korake prema istraživanju tih koristi na kontroliran i tržišno usmjeren način;</w:t>
            </w:r>
            <w:r>
              <w:t xml:space="preserve"> </w:t>
            </w:r>
            <w:r>
              <w:rPr>
                <w:b/>
                <w:i/>
              </w:rPr>
              <w:t>budući da bi ubrzanje do pune operativne razine moglo doprinijeti jačanju međunarodne uloge eura, smanjenju fragmentacije financijskih tržišta EU-a i podupiranju financijske stabilnosti, uz istodobno potpuno očuvanje jedinstvenosti novca i uloge posrednika iz privatnog sektora;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ESB brzo napreduje sa svojim digitalnim eurom za plaćanja velikih vrijednosti, s tekućim kratkoročnim (Pontes) i dugoročnim (Appia) projektima u području tehnologije decentraliziranog vođenja evidencije transakcija za namiru financijskih transakcija na veliko u novcu središnje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budući da su banke u EU-u od 2022. zabilježile rekordnu dobit zahvaljujući kašnjenju u prijenosu pooštravanja monetarne politike;</w:t>
            </w:r>
            <w:r>
              <w:t xml:space="preserve"> </w:t>
            </w:r>
            <w:r>
              <w:rPr>
                <w:b/>
                <w:i/>
              </w:rPr>
              <w:t>budući da je nekoliko država članica uvelo privremene bankovne pristojbe kako bi se osigurao pravedan doprinos uz istodobno očuvanje stabilnosti i socijalne kohezije;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budući da su banke u EU-u od 2022. zabilježile rekordnu dobit zahvaljujući kašnjenju u prijenosu pooštravanja monetarne politike;</w:t>
            </w:r>
            <w:r>
              <w:t xml:space="preserve"> </w:t>
            </w:r>
            <w:r>
              <w:rPr>
                <w:b/>
                <w:i/>
              </w:rPr>
              <w:t>budući da je nekoliko država članica uvelo privremene bankovne pristojbe kako bi se osigurao pravedan doprinos uz istodobno očuvanje stabilnosti i socijalne kohezije;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budući da su banke u EU-u od 2022. zabilježile rekordnu dobit zahvaljujući kašnjenju u prijenosu pooštravanja monetarne politike; budući da je nekoliko država članica uvelo privremene bankovne pristojbe </w:t>
            </w:r>
            <w:r>
              <w:rPr>
                <w:b/>
                <w:i/>
              </w:rPr>
              <w:t>kako bi se osigurao pravedan doprinos uz istodobno očuvanje stabilnosti i socijalne kohezije</w:t>
            </w:r>
            <w:r>
              <w:t>;</w:t>
            </w:r>
          </w:p>
        </w:tc>
        <w:tc>
          <w:tcPr>
            <w:tcW w:w="4876" w:type="dxa"/>
            <w:tcBorders>
              <w:top w:val="nil"/>
              <w:left w:val="nil"/>
              <w:bottom w:val="nil"/>
              <w:right w:val="nil"/>
            </w:tcBorders>
          </w:tcPr>
          <w:p>
            <w:pPr>
              <w:pStyle w:val="Normal6a"/>
            </w:pPr>
            <w:r>
              <w:t>F.</w:t>
            </w:r>
            <w:r>
              <w:tab/>
            </w:r>
            <w:r>
              <w:t>budući da su banke u EU-u od 2022. zabilježile rekordnu dobit zahvaljujući kašnjenju u prijenosu pooštravanja monetarne politike</w:t>
            </w:r>
            <w:r>
              <w:rPr>
                <w:b/>
                <w:i/>
              </w:rPr>
              <w:t>, što je pomoglo u premošćivanju jaza u povratu na kapital između banaka u EU-u i SAD-u nakon više od 15 godina</w:t>
            </w:r>
            <w:r>
              <w:t xml:space="preserve">; budući da je nekoliko država članica uvelo privremene bankovne pristojbe </w:t>
            </w:r>
            <w:r>
              <w:rPr>
                <w:b/>
                <w:i/>
              </w:rPr>
              <w:t>iako su institucije poput ESB-a u više navrata u svojim mišljenjima navele da bi pristojbe za financijske institucije iz općih proračunskih razloga bile nepoželjne te da bi njihova primjena mogla narušiti tržišno natjecanje i jednake uvjete unutar zemlje i diljem bankovne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budući da su banke u EU-u od 2022. zabilježile rekordnu dobit zahvaljujući kašnjenju u prijenosu pooštravanja monetarne politike; budući da je nekoliko država članica uvelo privremene bankovne pristojbe </w:t>
            </w:r>
            <w:r>
              <w:rPr>
                <w:b/>
                <w:i/>
              </w:rPr>
              <w:t>kako bi se osigurao pravedan doprinos uz istodobno očuvanje stabilnosti i socijalne kohezije</w:t>
            </w:r>
            <w:r>
              <w:t>;</w:t>
            </w:r>
          </w:p>
        </w:tc>
        <w:tc>
          <w:tcPr>
            <w:tcW w:w="4876" w:type="dxa"/>
            <w:tcBorders>
              <w:top w:val="nil"/>
              <w:left w:val="nil"/>
              <w:bottom w:val="nil"/>
              <w:right w:val="nil"/>
            </w:tcBorders>
          </w:tcPr>
          <w:p>
            <w:pPr>
              <w:pStyle w:val="Normal6a"/>
            </w:pPr>
            <w:r>
              <w:t>F.</w:t>
            </w:r>
            <w:r>
              <w:tab/>
            </w:r>
            <w:r>
              <w:t>budući da su banke u EU-u od 2022. zabilježile rekordnu dobit zahvaljujući kašnjenju u prijenosu pooštravanja monetarne politike; budući da je nekoliko država članica uvelo privremene bankovne pristojbe;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su banke u EU-u od 2022. zabilježile rekordnu dobit zahvaljujući kašnjenju u prijenosu pooštravanja monetarne politike; budući da je nekoliko država članica uvelo privremene bankovne pristojbe kako bi se osigurao pravedan doprinos uz istodobno očuvanje stabilnosti i socijalne kohezije;</w:t>
            </w:r>
          </w:p>
        </w:tc>
        <w:tc>
          <w:tcPr>
            <w:tcW w:w="4876" w:type="dxa"/>
            <w:tcBorders>
              <w:top w:val="nil"/>
              <w:left w:val="nil"/>
              <w:bottom w:val="nil"/>
              <w:right w:val="nil"/>
            </w:tcBorders>
          </w:tcPr>
          <w:p>
            <w:pPr>
              <w:pStyle w:val="Normal6a"/>
            </w:pPr>
            <w:r>
              <w:t>F.</w:t>
            </w:r>
            <w:r>
              <w:tab/>
            </w:r>
            <w:r>
              <w:t xml:space="preserve">budući da su banke u EU-u od 2022. zabilježile rekordnu dobit zahvaljujući kašnjenju u prijenosu pooštravanja monetarne politike; budući da je nekoliko država članica uvelo privremene bankovne pristojbe kako bi se osigurao pravedan doprinos uz istodobno očuvanje stabilnosti i socijalne kohezije; </w:t>
            </w:r>
            <w:r>
              <w:rPr>
                <w:b/>
                <w:i/>
              </w:rPr>
              <w:t>budući da je profitabilnost banaka u EU-u u kontekstu strože monetarne politike od 2022. porasla, što je doprinijelo stvaranju kapitala i financijskoj stabilnosti;</w:t>
            </w:r>
            <w:r>
              <w:t xml:space="preserve"> </w:t>
            </w:r>
            <w:r>
              <w:rPr>
                <w:b/>
                <w:i/>
              </w:rPr>
              <w:t>budući da je profitabilnost banaka i dalje ciklična i podložna cjelokupnom ciklusu kamatnih stopa;</w:t>
            </w:r>
            <w:r>
              <w:t xml:space="preserve"> </w:t>
            </w:r>
            <w:r>
              <w:rPr>
                <w:b/>
                <w:i/>
              </w:rPr>
              <w:t>budući da je nekoliko država članica bankama uvelo privremene namete, koji bi uvijek trebali biti iznimni, proporcionalni i dobro procijenjeni kako bi se izbjegao štetan učinak na kapitalnu poziciju banaka i njihovu sposobnost kreditiranja te na financijsku stabilnost i ravnopravne uvjete unutar bankovne unije;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su banke u EU-u od 2022. zabilježile rekordnu dobit zahvaljujući kašnjenju u prijenosu pooštravanja monetarne politike; budući da je nekoliko država članica uvelo privremene bankovne pristojbe kako bi se osigurao pravedan doprinos uz istodobno očuvanje stabilnosti i socijalne kohezije;</w:t>
            </w:r>
          </w:p>
        </w:tc>
        <w:tc>
          <w:tcPr>
            <w:tcW w:w="4876" w:type="dxa"/>
            <w:tcBorders>
              <w:top w:val="nil"/>
              <w:left w:val="nil"/>
              <w:bottom w:val="nil"/>
              <w:right w:val="nil"/>
            </w:tcBorders>
          </w:tcPr>
          <w:p>
            <w:pPr>
              <w:pStyle w:val="Normal6a"/>
            </w:pPr>
            <w:r>
              <w:t>F.</w:t>
            </w:r>
            <w:r>
              <w:tab/>
            </w:r>
            <w:r>
              <w:t xml:space="preserve">budući da su banke u EU-u od 2022. zabilježile rekordnu dobit zahvaljujući kašnjenju u prijenosu pooštravanja monetarne politike; budući da je nekoliko država članica uvelo privremene bankovne pristojbe kako bi se osigurao pravedan doprinos uz istodobno očuvanje stabilnosti i socijalne kohezije; </w:t>
            </w:r>
            <w:r>
              <w:rPr>
                <w:b/>
                <w:i/>
              </w:rPr>
              <w:t>budući da su sve veći kapitalni zahtjevi i porast troškova usklađivanja, uključujući izvješćivanje o održivosti, u velikoj mjeri apsorbirali visoku zadržanu dobit, što ograničava sposobnost banaka da podupiru realno gospodarstvo, te da je pooštravanje monetarne politike smanjilo neto kamatne marže, što odražava šire makrobonitetne pritiske na profitabilnost;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uvođenje sektorskih poreza za kreditne institucije, čak i ako su predstavljeni kao privremene mjere, može izazvati poremećaje na unutarnjem tržištu, negativno utjecati na sposobnost institucija da odobravaju kredite kućanstvima i poduzećima te smanjiti predvidljivost poreznog okvira;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se Komisija u svojoj Komunikaciji o Uniji za štednju i ulaganja iz ožujka 2025. obvezuje poduzeti „odlučne mjere za daljnji razvoj bankovne unije, što uključuje utvrđivanje daljnjih koraka za europski sustav osiguranja depozita”, ali od tada još nije podnijela nijedan prijedlog povezan s dovršetkom bankovne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su banke temeljni stup našeg gospodarstva i jedan od strateški najvažnijih sektora;</w:t>
            </w:r>
            <w:r>
              <w:t xml:space="preserve"> </w:t>
            </w:r>
            <w:r>
              <w:rPr>
                <w:b/>
                <w:i/>
              </w:rPr>
              <w:t>budući da su stabilnost, otpornost i konkurentnost ključne kako bi se financijski sustav mogao prilagoditi globalnim izazovima, poticati inovacije i učinkovito zadovoljiti potrebe poduzeća i građana;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je 2022. višak likvidnosti u europodručju dosegnuo 4,7 bilijuna EUR, dok danas iznosi 2,8 bilijuna EUR;</w:t>
            </w:r>
            <w:r>
              <w:t xml:space="preserve"> </w:t>
            </w:r>
            <w:r>
              <w:rPr>
                <w:b/>
                <w:i/>
              </w:rPr>
              <w:t>budući da je koeficijent likvidnosne pokrivenosti banaka europodručja također dosegnuo vrhunac 2022. i premašio 170 %, dok je u trećem tromjesečju 2025. iznosio 156 %;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se tokeni e-novca sve više upotrebljavaju i postaju sve povezaniji s bankama u bankovnoj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budući da su banke važan temelj gospodarstva i da predstavljaju jedan od najrelevantnijih strateških sektora, ključno je osigurati da posluju u okruženju koje potiče stabilnost, otpornost, dinamičnost i konkurentnost;</w:t>
            </w:r>
            <w:r>
              <w:t xml:space="preserve"> </w:t>
            </w:r>
            <w:r>
              <w:rPr>
                <w:b/>
                <w:i/>
              </w:rPr>
              <w:t>budući da ta načela nisu temeljna samo za održiv gospodarski rast, nego i kako bi se osiguralo da se financijski sustav može suočiti s globalnim izazovima, omogućiti inovacije i učinkovito odgovoriti na potrebe poduzeća i građana;</w:t>
            </w:r>
            <w:r>
              <w:t xml:space="preserve"> </w:t>
            </w:r>
            <w:r>
              <w:rPr>
                <w:b/>
                <w:i/>
              </w:rPr>
              <w:t>uzimajući u obzir da je za dinamično gospodarstvo potreban bankarski sektor koji stabilnost spaja s fleksibilnošću, koji potiče ulaganje i učinkovito usmjerava kapital te tako jača sposobnost tržišnog natjecanja na globalnom tržištu koje se stalno mijenja;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budući da se Uredbom (EU) 2023/1114 utvrđuju diferencirani zahtjevi za pristup tržištu, obveze iskupa i nadzorni okviri za izdavatelje tokena vezanih uz imovinu i tokena e-novca, što odražava njihove različite profile rizika i monetarne implikacije;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budući da je snažan bankarski sektor ključan za ostvarivanje gospodarskog rasta te financiranje malih i srednjih poduzeća (MSP-ova) i start-up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pozdravlja napredak ostvaren</w:t>
            </w:r>
            <w:r>
              <w:t xml:space="preserve"> u pogledu jedinstvenog nadzornog mehanizma i jedinstvenog sanacijskog mehanizma tijekom proteklog desetljeća; poziva na </w:t>
            </w:r>
            <w:r>
              <w:rPr>
                <w:b/>
                <w:i/>
              </w:rPr>
              <w:t>potpun i brz dovršetak bankovne unije, uključujući potpuno funkcionalni EDIS;</w:t>
            </w:r>
            <w:r>
              <w:t xml:space="preserve"> </w:t>
            </w:r>
            <w:r>
              <w:rPr>
                <w:b/>
                <w:i/>
              </w:rPr>
              <w:t>naglašava da bankovna unija mora podupirati uključiviji i održiviji financijski sustav usklađen sa socijalnom kohezijom i zelenim planom EU-a</w:t>
            </w:r>
            <w:r>
              <w:t>;</w:t>
            </w:r>
          </w:p>
        </w:tc>
        <w:tc>
          <w:tcPr>
            <w:tcW w:w="4876" w:type="dxa"/>
            <w:tcBorders>
              <w:top w:val="nil"/>
              <w:left w:val="nil"/>
              <w:bottom w:val="nil"/>
              <w:right w:val="nil"/>
            </w:tcBorders>
          </w:tcPr>
          <w:p>
            <w:pPr>
              <w:pStyle w:val="Normal6a"/>
            </w:pPr>
            <w:r>
              <w:t>1.</w:t>
            </w:r>
            <w:r>
              <w:tab/>
            </w:r>
            <w:r>
              <w:rPr>
                <w:b/>
                <w:i/>
              </w:rPr>
              <w:t>prima na znanje razvoj događaja</w:t>
            </w:r>
            <w:r>
              <w:t xml:space="preserve"> u pogledu jedinstvenog nadzornog mehanizma i jedinstvenog sanacijskog mehanizma tijekom proteklog desetljeća; poziva na </w:t>
            </w:r>
            <w:r>
              <w:rPr>
                <w:b/>
                <w:i/>
              </w:rPr>
              <w:t>reforme kojima se potiče tržišna disciplina, a ne širenje birokracije;</w:t>
            </w:r>
            <w:r>
              <w:t xml:space="preserve"> </w:t>
            </w:r>
            <w:r>
              <w:rPr>
                <w:b/>
                <w:i/>
              </w:rPr>
              <w:t>ističe da bi prijedloge kojima se rizik dodatno centralizira trebalo kompenzirati razmjernom odgovornošću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w:t>
            </w:r>
            <w:r>
              <w:rPr>
                <w:b/>
                <w:i/>
              </w:rPr>
              <w:t>poziva na potpun i brz dovršetak bankovne unije, uključujući potpuno funkcionalni EDIS;</w:t>
            </w:r>
            <w:r>
              <w:t xml:space="preserve"> </w:t>
            </w:r>
            <w:r>
              <w:rPr>
                <w:b/>
                <w:i/>
              </w:rPr>
              <w:t>naglašava da bankovna unija mora podupirati uključiviji i održiviji financijski sustav usklađen sa socijalnom kohezijom i zelenim planom EU-a;</w:t>
            </w:r>
          </w:p>
        </w:tc>
        <w:tc>
          <w:tcPr>
            <w:tcW w:w="4876" w:type="dxa"/>
            <w:tcBorders>
              <w:top w:val="nil"/>
              <w:left w:val="nil"/>
              <w:bottom w:val="nil"/>
              <w:right w:val="nil"/>
            </w:tcBorders>
          </w:tcPr>
          <w:p>
            <w:pPr>
              <w:pStyle w:val="Normal6a"/>
            </w:pPr>
            <w:r>
              <w:t>1.</w:t>
            </w:r>
            <w:r>
              <w:tab/>
            </w:r>
            <w:r>
              <w:t>pozdravlja napredak ostvaren u pogledu jedinstvenog nadzornog mehanizma i jedinstvenog sanacijskog mehanizma tijekom proteklog desetljeća;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w:t>
            </w:r>
            <w:r>
              <w:rPr>
                <w:b/>
                <w:i/>
              </w:rPr>
              <w:t>potpun i brz dovršetak</w:t>
            </w:r>
            <w:r>
              <w:t xml:space="preserve"> bankovne unije, </w:t>
            </w:r>
            <w:r>
              <w:rPr>
                <w:b/>
                <w:i/>
              </w:rPr>
              <w:t>uključujući potpuno funkcionalni EDIS;</w:t>
            </w:r>
            <w:r>
              <w:t xml:space="preserve"> </w:t>
            </w:r>
            <w:r>
              <w:rPr>
                <w:b/>
                <w:i/>
              </w:rPr>
              <w:t>naglašava da bankovna unija mora podupirati uključiviji i održiviji financijski sustav usklađen sa socijalnom kohezijom i zelenim planom EU-a</w:t>
            </w:r>
            <w:r>
              <w:t>;</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w:t>
            </w:r>
            <w:r>
              <w:rPr>
                <w:b/>
                <w:i/>
              </w:rPr>
              <w:t>daljnji razvoj</w:t>
            </w:r>
            <w:r>
              <w:t xml:space="preserve"> bankovne unije, </w:t>
            </w:r>
            <w:r>
              <w:rPr>
                <w:b/>
                <w:i/>
              </w:rPr>
              <w:t>uzimajući u obzir posebne značajke nacionalnih bankarskih sektora te uz jamstvo autonomije i učinkovitog funkcioniranja institucionalnih sustava zaštite, bez suprotstavljanja posebnim odredbama za institucionalne sustave zaštite dogovorenima u reviziji okvira za upravljanje krizama i osiguranje depozita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w:t>
            </w:r>
            <w:r>
              <w:rPr>
                <w:b/>
                <w:i/>
              </w:rPr>
              <w:t>potpun i brz dovršetak</w:t>
            </w:r>
            <w:r>
              <w:t xml:space="preserve"> bankovne unije, </w:t>
            </w:r>
            <w:r>
              <w:rPr>
                <w:b/>
                <w:i/>
              </w:rPr>
              <w:t>uključujući potpuno funkcionalni EDIS;</w:t>
            </w:r>
            <w:r>
              <w:t xml:space="preserve"> </w:t>
            </w:r>
            <w:r>
              <w:rPr>
                <w:b/>
                <w:i/>
              </w:rPr>
              <w:t>naglašava da bankovna unija mora podupirati uključiviji i održiviji financijski sustav usklađen sa socijalnom kohezijom i zelenim planom EU-a</w:t>
            </w:r>
            <w:r>
              <w:t>;</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w:t>
            </w:r>
            <w:r>
              <w:rPr>
                <w:b/>
                <w:i/>
              </w:rPr>
              <w:t>postupan daljnji razvoj</w:t>
            </w:r>
            <w:r>
              <w:t xml:space="preserve"> bankovne unije, </w:t>
            </w:r>
            <w:r>
              <w:rPr>
                <w:b/>
                <w:i/>
              </w:rPr>
              <w:t>uzimajući u obzir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w:t>
            </w:r>
            <w:r>
              <w:rPr>
                <w:b/>
                <w:i/>
              </w:rPr>
              <w:t>potpuno funkcionalni EDIS;</w:t>
            </w:r>
            <w:r>
              <w:t xml:space="preserve"> </w:t>
            </w:r>
            <w:r>
              <w:rPr>
                <w:b/>
                <w:i/>
              </w:rPr>
              <w:t>naglašava da bankovna unija mora podupirati uključiviji i održiviji financijski sustav usklađen sa socijalnom kohezijom i zelenim planom EU-a</w:t>
            </w:r>
            <w:r>
              <w:t>;</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w:t>
            </w:r>
            <w:r>
              <w:rPr>
                <w:b/>
                <w:i/>
              </w:rPr>
              <w:t>EDIS kojim se uzimaju u obzir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w:t>
            </w:r>
            <w:r>
              <w:rPr>
                <w:b/>
                <w:i/>
              </w:rPr>
              <w:t>poziva na potpun i brz dovršetak bankovne unije, uključujući potpuno funkcionalni EDIS;</w:t>
            </w:r>
            <w:r>
              <w:t xml:space="preserve"> naglašava da bankovna unija mora podupirati uključiviji i održiviji financijski sustav usklađen </w:t>
            </w:r>
            <w:r>
              <w:rPr>
                <w:b/>
                <w:i/>
              </w:rPr>
              <w:t>sa socijalnom kohezijom i zelenim planom EU-a</w:t>
            </w:r>
            <w:r>
              <w:t>;</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naglašava da bankovna unija mora podupirati uključiviji i održiviji financijski sustav usklađen </w:t>
            </w:r>
            <w:r>
              <w:rPr>
                <w:b/>
                <w:i/>
              </w:rPr>
              <w:t>s usporednom tranzicijom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potpuno funkcionalni EDIS; </w:t>
            </w:r>
            <w:r>
              <w:rPr>
                <w:b/>
                <w:i/>
              </w:rPr>
              <w:t>naglašava da bankovna unija mora podupirati uključiviji i održiviji financijski sustav usklađen sa socijalnom kohezijom i zelenim planom EU-a;</w:t>
            </w:r>
          </w:p>
        </w:tc>
        <w:tc>
          <w:tcPr>
            <w:tcW w:w="4876" w:type="dxa"/>
            <w:tcBorders>
              <w:top w:val="nil"/>
              <w:left w:val="nil"/>
              <w:bottom w:val="nil"/>
              <w:right w:val="nil"/>
            </w:tcBorders>
          </w:tcPr>
          <w:p>
            <w:pPr>
              <w:pStyle w:val="Normal6a"/>
            </w:pPr>
            <w:r>
              <w:t>1.</w:t>
            </w:r>
            <w:r>
              <w:tab/>
            </w:r>
            <w:r>
              <w:t>pozdravlja napredak ostvaren u pogledu jedinstvenog nadzornog mehanizma i jedinstvenog sanacijskog mehanizma tijekom proteklog desetljeća; poziva na potpun i brz dovršetak bankovne unije, uključujući potpuno funkcionalni EDIS;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potpuno funkcionalni EDIS; </w:t>
            </w:r>
            <w:r>
              <w:rPr>
                <w:b/>
                <w:i/>
              </w:rPr>
              <w:t>naglašava da bankovna unija mora podupirati uključiviji i održiviji financijski sustav usklađen sa socijalnom kohezijom i zelenim planom EU-a;</w:t>
            </w:r>
          </w:p>
        </w:tc>
        <w:tc>
          <w:tcPr>
            <w:tcW w:w="4876" w:type="dxa"/>
            <w:tcBorders>
              <w:top w:val="nil"/>
              <w:left w:val="nil"/>
              <w:bottom w:val="nil"/>
              <w:right w:val="nil"/>
            </w:tcBorders>
          </w:tcPr>
          <w:p>
            <w:pPr>
              <w:pStyle w:val="Normal6a"/>
            </w:pPr>
            <w:r>
              <w:t>1.</w:t>
            </w:r>
            <w:r>
              <w:tab/>
            </w:r>
            <w:r>
              <w:t>pozdravlja napredak ostvaren u pogledu jedinstvenog nadzornog mehanizma i jedinstvenog sanacijskog mehanizma tijekom proteklog desetljeća; poziva na potpun i brz dovršetak bankovne unije, uključujući potpuno funkcionalni EDIS;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w:t>
            </w:r>
            <w:r>
              <w:rPr>
                <w:b/>
                <w:i/>
              </w:rPr>
              <w:t>poziva na potpun i brz</w:t>
            </w:r>
            <w:r>
              <w:t xml:space="preserve"> dovršetak bankovne unije</w:t>
            </w:r>
            <w:r>
              <w:rPr>
                <w:b/>
                <w:i/>
              </w:rPr>
              <w:t>, uključujući potpuno funkcionalni EDIS</w:t>
            </w:r>
            <w:r>
              <w:t xml:space="preserve">; naglašava da bankovna unija mora podupirati </w:t>
            </w:r>
            <w:r>
              <w:rPr>
                <w:b/>
                <w:i/>
              </w:rPr>
              <w:t>uključiviji i održiviji</w:t>
            </w:r>
            <w:r>
              <w:t xml:space="preserve"> financijski sustav usklađen sa socijalnom kohezijom i zelenim planom EU-a;</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w:t>
            </w:r>
            <w:r>
              <w:rPr>
                <w:b/>
                <w:i/>
              </w:rPr>
              <w:t>potiče</w:t>
            </w:r>
            <w:r>
              <w:t xml:space="preserve"> dovršetak bankovne unije; naglašava da bankovna unija mora podupirati </w:t>
            </w:r>
            <w:r>
              <w:rPr>
                <w:b/>
                <w:i/>
              </w:rPr>
              <w:t>uključiv i održiv</w:t>
            </w:r>
            <w:r>
              <w:t xml:space="preserve"> financijski sustav usklađen sa socijalnom kohezijom i zelenim planom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w:t>
            </w:r>
            <w:r>
              <w:rPr>
                <w:b/>
                <w:i/>
              </w:rPr>
              <w:t>potpuno funkcionalni EDIS</w:t>
            </w:r>
            <w:r>
              <w:t>; naglašava da bankovna unija mora podupirati uključiviji i održiviji financijski sustav usklađen sa socijalnom kohezijom i zelenim planom EU-a;</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w:t>
            </w:r>
            <w:r>
              <w:rPr>
                <w:b/>
                <w:i/>
              </w:rPr>
              <w:t>kontinuirani rad na EDIS-u, te na mjere za produbljivanje integracije tržišta i olakšavanje učinkovitog protoka kapitala i likvidnosti unutar bankarskih grupa</w:t>
            </w:r>
            <w:r>
              <w:t>; naglašava da bankovna unija mora podupirati uključiviji i održiviji financijski sustav usklađen sa socijalnom kohezijom i zelenim planom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w:t>
            </w:r>
            <w:r>
              <w:rPr>
                <w:b/>
                <w:i/>
              </w:rPr>
              <w:t>potpuno funkcionalni</w:t>
            </w:r>
            <w:r>
              <w:t xml:space="preserve"> EDIS; naglašava da bankovna unija mora podupirati uključiviji i održiviji financijski sustav usklađen sa socijalnom kohezijom i zelenim planom EU-a;</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EDIS </w:t>
            </w:r>
            <w:r>
              <w:rPr>
                <w:b/>
                <w:i/>
              </w:rPr>
              <w:t>kojim se uzimaju u obzir nacionalne posebnosti</w:t>
            </w:r>
            <w:r>
              <w:t>; naglašava da bankovna unija mora podupirati uključiviji i održiviji financijski sustav usklađen sa socijalnom kohezijom i zelenim planom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potpuno funkcionalni EDIS; naglašava da bankovna unija mora podupirati uključiviji i održiviji financijski sustav </w:t>
            </w:r>
            <w:r>
              <w:rPr>
                <w:b/>
                <w:i/>
              </w:rPr>
              <w:t>usklađen sa socijalnom kohezijom i zelenim planom EU-a</w:t>
            </w:r>
            <w:r>
              <w:t>;</w:t>
            </w:r>
          </w:p>
        </w:tc>
        <w:tc>
          <w:tcPr>
            <w:tcW w:w="4876" w:type="dxa"/>
            <w:tcBorders>
              <w:top w:val="nil"/>
              <w:left w:val="nil"/>
              <w:bottom w:val="nil"/>
              <w:right w:val="nil"/>
            </w:tcBorders>
          </w:tcPr>
          <w:p>
            <w:pPr>
              <w:pStyle w:val="Normal6a"/>
            </w:pPr>
            <w:r>
              <w:t>1.</w:t>
            </w:r>
            <w:r>
              <w:tab/>
            </w:r>
            <w:r>
              <w:t>pozdravlja napredak ostvaren u pogledu jedinstvenog nadzornog mehanizma i jedinstvenog sanacijskog mehanizma tijekom proteklog desetljeća; poziva na potpun i brz dovršetak bankovne unije, uključujući potpuno funkcionalni</w:t>
            </w:r>
            <w:r>
              <w:rPr>
                <w:b/>
                <w:i/>
              </w:rPr>
              <w:t>, objedinjeni</w:t>
            </w:r>
            <w:r>
              <w:t xml:space="preserve"> EDIS; naglašava da bankovna unija mora podupirati </w:t>
            </w:r>
            <w:r>
              <w:rPr>
                <w:b/>
                <w:i/>
              </w:rPr>
              <w:t>konkurentniji,</w:t>
            </w:r>
            <w:r>
              <w:t xml:space="preserve"> uključiviji i održiviji financijski sustav;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potpuno funkcionalni EDIS; naglašava da bankovna unija mora podupirati uključiviji i održiviji financijski sustav usklađen sa socijalnom kohezijom i </w:t>
            </w:r>
            <w:r>
              <w:rPr>
                <w:b/>
                <w:i/>
              </w:rPr>
              <w:t>zelenim planom EU-a</w:t>
            </w:r>
            <w:r>
              <w:t>;</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potpuno funkcionalni EDIS; naglašava da bankovna unija mora podupirati uključiviji i održiviji financijski sustav usklađen sa socijalnom kohezijom i </w:t>
            </w:r>
            <w:r>
              <w:rPr>
                <w:b/>
                <w:i/>
              </w:rPr>
              <w:t>konkurentnošću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pozdravlja napredak ostvaren u pogledu jedinstvenog nadzornog mehanizma i jedinstvenog sanacijskog mehanizma tijekom proteklog desetljeća; poziva na potpun i brz dovršetak bankovne unije, uključujući potpuno funkcionalni EDIS; naglašava da bankovna unija mora podupirati uključiviji i održiviji financijski sustav usklađen sa socijalnom kohezijom i zelenim planom EU-a;</w:t>
            </w:r>
          </w:p>
        </w:tc>
        <w:tc>
          <w:tcPr>
            <w:tcW w:w="4876" w:type="dxa"/>
            <w:tcBorders>
              <w:top w:val="nil"/>
              <w:left w:val="nil"/>
              <w:bottom w:val="nil"/>
              <w:right w:val="nil"/>
            </w:tcBorders>
          </w:tcPr>
          <w:p>
            <w:pPr>
              <w:pStyle w:val="Normal6a"/>
            </w:pPr>
            <w:r>
              <w:t>1.</w:t>
            </w:r>
            <w:r>
              <w:tab/>
            </w:r>
            <w:r>
              <w:t xml:space="preserve">pozdravlja napredak ostvaren u pogledu jedinstvenog nadzornog mehanizma i jedinstvenog sanacijskog mehanizma tijekom proteklog desetljeća; poziva na potpun i brz dovršetak bankovne unije, uključujući potpuno funkcionalni EDIS </w:t>
            </w:r>
            <w:r>
              <w:rPr>
                <w:b/>
                <w:i/>
              </w:rPr>
              <w:t>koji omogućuje pokriće gubitaka</w:t>
            </w:r>
            <w:r>
              <w:t>; naglašava da bankovna unija mora podupirati uključiviji i održiviji financijski sustav usklađen sa socijalnom kohezijom i zelenim planom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napominje da bi integriranija bankovna unija doprinijela povećanju otpornosti bankarskog sektora EU-a i donijela koristi klijentima;</w:t>
            </w:r>
            <w:r>
              <w:t xml:space="preserve"> </w:t>
            </w:r>
            <w:r>
              <w:rPr>
                <w:b/>
                <w:i/>
              </w:rPr>
              <w:t>s tim u vezi napominje da je potrebno riješiti probleme i izazove povezane sa sporovima između matične države i države domaćina, posebno vjerodostojna jamstva za zemlje domaćine, koja bi trebala biti sadržana u pravu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poziva Komisiju da kao prioritet postavi dovršetak bankovne unije i unije za štednju i ulaganja;</w:t>
            </w:r>
            <w:r>
              <w:t xml:space="preserve"> </w:t>
            </w:r>
            <w:r>
              <w:rPr>
                <w:b/>
                <w:i/>
              </w:rPr>
              <w:t>ističe njihovu važnost za građane, MSP-ove i realno gospodarstvo jer doprinose održivom blagostanju, kvalitetnim radnim mjestima i financijskoj stabilnosti;</w:t>
            </w:r>
            <w:r>
              <w:t xml:space="preserve"> </w:t>
            </w:r>
            <w:r>
              <w:rPr>
                <w:b/>
                <w:i/>
              </w:rPr>
              <w:t>ističe potrebu za snažnim okvirom utemeljenim na solidarnosti kojim se sprječava rizik od masovnog povlačenja sredstava iz banaka;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poziva Komisiju da kao prioritet postavi dovršetak bankovne unije i</w:t>
            </w:r>
            <w:r>
              <w:t xml:space="preserve"> unije za štednju i ulaganja</w:t>
            </w:r>
            <w:r>
              <w:rPr>
                <w:b/>
                <w:i/>
              </w:rPr>
              <w:t>;</w:t>
            </w:r>
            <w:r>
              <w:t xml:space="preserve"> </w:t>
            </w:r>
            <w:r>
              <w:rPr>
                <w:b/>
                <w:i/>
              </w:rPr>
              <w:t>ističe njihovu važnost za građane, MSP-ove i realno gospodarstvo jer doprinose održivom blagostanju, kvalitetnim radnim mjestima i financijskoj stabilnosti;</w:t>
            </w:r>
            <w:r>
              <w:t xml:space="preserve"> </w:t>
            </w:r>
            <w:r>
              <w:rPr>
                <w:b/>
                <w:i/>
              </w:rPr>
              <w:t>ističe potrebu za snažnim okvirom utemeljenim na solidarnosti kojim se sprječava rizik od masovnog povlačenja sredstava iz banaka</w:t>
            </w:r>
            <w:r>
              <w:t>;</w:t>
            </w:r>
          </w:p>
        </w:tc>
        <w:tc>
          <w:tcPr>
            <w:tcW w:w="4876" w:type="dxa"/>
            <w:tcBorders>
              <w:top w:val="nil"/>
              <w:left w:val="nil"/>
              <w:bottom w:val="nil"/>
              <w:right w:val="nil"/>
            </w:tcBorders>
          </w:tcPr>
          <w:p>
            <w:pPr>
              <w:pStyle w:val="Normal6a"/>
            </w:pPr>
            <w:r>
              <w:t>2.</w:t>
            </w:r>
            <w:r>
              <w:tab/>
            </w:r>
            <w:r>
              <w:rPr>
                <w:b/>
                <w:i/>
              </w:rPr>
              <w:t>prima na znanje prijedloge Komisije u vezi s unijom za štednju i ulaganja;</w:t>
            </w:r>
            <w:r>
              <w:t xml:space="preserve"> </w:t>
            </w:r>
            <w:r>
              <w:rPr>
                <w:b/>
                <w:i/>
              </w:rPr>
              <w:t>napominje da se trenutačnim ustrojem</w:t>
            </w:r>
            <w:r>
              <w:t xml:space="preserve"> unije za štednju i ulaganja </w:t>
            </w:r>
            <w:r>
              <w:rPr>
                <w:b/>
                <w:i/>
              </w:rPr>
              <w:t>riskira preusmjeravanje štednje na visokorizična tržišta kapitala bez odgovarajuće zaštite ulagača ili jasnih tržišnih poticaja</w:t>
            </w:r>
            <w:r>
              <w:t xml:space="preserve">; </w:t>
            </w:r>
            <w:r>
              <w:rPr>
                <w:b/>
                <w:i/>
              </w:rPr>
              <w:t>takvo centralno planiranje može narušiti raspodjelu štednje i male ulagatelje izložiti volatilnosti bez čvrstih sigurnosnih mehanizama;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Komisiju da kao prioritet postavi </w:t>
            </w:r>
            <w:r>
              <w:rPr>
                <w:b/>
                <w:i/>
              </w:rPr>
              <w:t>dovršetak</w:t>
            </w:r>
            <w:r>
              <w:t xml:space="preserve"> bankovne unije i unije za štednju i ulaganja; ističe njihovu važnost za građane, MSP-ove i realno gospodarstvo jer doprinose održivom blagostanju, kvalitetnim radnim mjestima i financijskoj stabilnosti; </w:t>
            </w:r>
            <w:r>
              <w:rPr>
                <w:b/>
                <w:i/>
              </w:rPr>
              <w:t>ističe potrebu za snažnim okvirom utemeljenim na solidarnosti kojim se sprječava rizik od masovnog povlačenja sredstava iz banaka;</w:t>
            </w:r>
          </w:p>
        </w:tc>
        <w:tc>
          <w:tcPr>
            <w:tcW w:w="4876" w:type="dxa"/>
            <w:tcBorders>
              <w:top w:val="nil"/>
              <w:left w:val="nil"/>
              <w:bottom w:val="nil"/>
              <w:right w:val="nil"/>
            </w:tcBorders>
          </w:tcPr>
          <w:p>
            <w:pPr>
              <w:pStyle w:val="Normal6a"/>
            </w:pPr>
            <w:r>
              <w:t>2.</w:t>
            </w:r>
            <w:r>
              <w:tab/>
            </w:r>
            <w:r>
              <w:t xml:space="preserve">poziva Komisiju da kao prioritet postavi </w:t>
            </w:r>
            <w:r>
              <w:rPr>
                <w:b/>
                <w:i/>
              </w:rPr>
              <w:t>daljnji razvoj</w:t>
            </w:r>
            <w:r>
              <w:t xml:space="preserve"> bankovne unije i unije za štednju i ulaganja; ističe njihovu važnost za građane, MSP-ove i realno gospodarstvo jer doprinose održivom blagostanju, kvalitetnim radnim mjestima i financijskoj stabilnosti;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Komisiju da </w:t>
            </w:r>
            <w:r>
              <w:rPr>
                <w:b/>
                <w:i/>
              </w:rPr>
              <w:t>kao prioritet postavi dovršetak</w:t>
            </w:r>
            <w:r>
              <w:t xml:space="preserve"> bankovne unije i unije za štednju i ulaganja; ističe njihovu važnost za građane, MSP-ove i </w:t>
            </w:r>
            <w:r>
              <w:rPr>
                <w:b/>
                <w:i/>
              </w:rPr>
              <w:t>realno</w:t>
            </w:r>
            <w:r>
              <w:t xml:space="preserve"> gospodarstvo jer doprinose </w:t>
            </w:r>
            <w:r>
              <w:rPr>
                <w:b/>
                <w:i/>
              </w:rPr>
              <w:t>održivom</w:t>
            </w:r>
            <w:r>
              <w:t xml:space="preserve"> blagostanju, kvalitetnim radnim mjestima i financijskoj stabilnosti; </w:t>
            </w:r>
            <w:r>
              <w:rPr>
                <w:b/>
                <w:i/>
              </w:rPr>
              <w:t>ističe</w:t>
            </w:r>
            <w:r>
              <w:t xml:space="preserve"> potrebu za snažnim okvirom utemeljenim na </w:t>
            </w:r>
            <w:r>
              <w:rPr>
                <w:b/>
                <w:i/>
              </w:rPr>
              <w:t>solidarnosti kojim se sprječava rizik od</w:t>
            </w:r>
            <w:r>
              <w:t xml:space="preserve"> masovnog povlačenja sredstava iz banaka;</w:t>
            </w:r>
          </w:p>
        </w:tc>
        <w:tc>
          <w:tcPr>
            <w:tcW w:w="4876" w:type="dxa"/>
            <w:tcBorders>
              <w:top w:val="nil"/>
              <w:left w:val="nil"/>
              <w:bottom w:val="nil"/>
              <w:right w:val="nil"/>
            </w:tcBorders>
          </w:tcPr>
          <w:p>
            <w:pPr>
              <w:pStyle w:val="Normal6a"/>
            </w:pPr>
            <w:r>
              <w:t>2.</w:t>
            </w:r>
            <w:r>
              <w:tab/>
            </w:r>
            <w:r>
              <w:t xml:space="preserve">poziva Komisiju da </w:t>
            </w:r>
            <w:r>
              <w:rPr>
                <w:b/>
                <w:i/>
              </w:rPr>
              <w:t>prednost da dovršetku</w:t>
            </w:r>
            <w:r>
              <w:t xml:space="preserve"> bankovne unije i unije za štednju i </w:t>
            </w:r>
            <w:r>
              <w:rPr>
                <w:b/>
                <w:i/>
              </w:rPr>
              <w:t>ulaganja kao ključnim alatima za usmjeravanje štednje u</w:t>
            </w:r>
            <w:r>
              <w:t xml:space="preserve"> ulaganja; ističe njihovu važnost za građane, MSP-ove i gospodarstvo jer doprinose blagostanju, kvalitetnim radnim mjestima i financijskoj stabilnosti; </w:t>
            </w:r>
            <w:r>
              <w:rPr>
                <w:b/>
                <w:i/>
              </w:rPr>
              <w:t>naglašava</w:t>
            </w:r>
            <w:r>
              <w:t xml:space="preserve"> potrebu za snažnim okvirom utemeljenim na </w:t>
            </w:r>
            <w:r>
              <w:rPr>
                <w:b/>
                <w:i/>
              </w:rPr>
              <w:t>jasnim pravilima i učinkovitim mehanizmima kojima se jača povjerenje deponenata i sprečavaju slučajevi</w:t>
            </w:r>
            <w:r>
              <w:t xml:space="preserve"> masovnog povlačenja sredstava iz banaka;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Komisiju da kao prioritet postavi dovršetak bankovne unije i unije za štednju i ulaganja; ističe njihovu važnost za građane, MSP-ove i realno gospodarstvo jer doprinose održivom blagostanju, kvalitetnim radnim mjestima i financijskoj stabilnosti; ističe potrebu za snažnim okvirom </w:t>
            </w:r>
            <w:r>
              <w:rPr>
                <w:b/>
                <w:i/>
              </w:rPr>
              <w:t>utemeljenim na solidarnosti kojim se sprječava</w:t>
            </w:r>
            <w:r>
              <w:t xml:space="preserve"> rizik od masovnog povlačenja sredstava iz banaka;</w:t>
            </w:r>
          </w:p>
        </w:tc>
        <w:tc>
          <w:tcPr>
            <w:tcW w:w="4876" w:type="dxa"/>
            <w:tcBorders>
              <w:top w:val="nil"/>
              <w:left w:val="nil"/>
              <w:bottom w:val="nil"/>
              <w:right w:val="nil"/>
            </w:tcBorders>
          </w:tcPr>
          <w:p>
            <w:pPr>
              <w:pStyle w:val="Normal6a"/>
            </w:pPr>
            <w:r>
              <w:t>2.</w:t>
            </w:r>
            <w:r>
              <w:tab/>
            </w:r>
            <w:r>
              <w:t xml:space="preserve">poziva Komisiju da kao prioritet postavi dovršetak bankovne unije i unije za štednju i ulaganja; ističe njihovu važnost za građane, MSP-ove i realno gospodarstvo jer doprinose održivom blagostanju, kvalitetnim radnim mjestima i financijskoj stabilnosti; ističe </w:t>
            </w:r>
            <w:r>
              <w:rPr>
                <w:b/>
                <w:i/>
              </w:rPr>
              <w:t>da bi integriranija bankovna unija podržavala rast i konkurentnost europskih banaka;</w:t>
            </w:r>
            <w:r>
              <w:t xml:space="preserve"> </w:t>
            </w:r>
            <w:r>
              <w:rPr>
                <w:b/>
                <w:i/>
              </w:rPr>
              <w:t>ističe</w:t>
            </w:r>
            <w:r>
              <w:t xml:space="preserve"> potrebu za snažnim okvirom </w:t>
            </w:r>
            <w:r>
              <w:rPr>
                <w:b/>
                <w:i/>
              </w:rPr>
              <w:t>kako bi spriječio</w:t>
            </w:r>
            <w:r>
              <w:t xml:space="preserve"> rizik od masovnog povlačenja sredstava iz banaka;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Komisiju da kao prioritet postavi dovršetak bankovne unije i unije za štednju i ulaganja; ističe njihovu važnost za građane, MSP-ove i realno gospodarstvo jer doprinose održivom blagostanju, kvalitetnim radnim mjestima i financijskoj stabilnosti; ističe potrebu za snažnim okvirom </w:t>
            </w:r>
            <w:r>
              <w:rPr>
                <w:b/>
                <w:i/>
              </w:rPr>
              <w:t>utemeljenim na solidarnosti</w:t>
            </w:r>
            <w:r>
              <w:t xml:space="preserve"> kojim se sprječava rizik od masovnog povlačenja sredstava iz banaka;</w:t>
            </w:r>
          </w:p>
        </w:tc>
        <w:tc>
          <w:tcPr>
            <w:tcW w:w="4876" w:type="dxa"/>
            <w:tcBorders>
              <w:top w:val="nil"/>
              <w:left w:val="nil"/>
              <w:bottom w:val="nil"/>
              <w:right w:val="nil"/>
            </w:tcBorders>
          </w:tcPr>
          <w:p>
            <w:pPr>
              <w:pStyle w:val="Normal6a"/>
            </w:pPr>
            <w:r>
              <w:t>2.</w:t>
            </w:r>
            <w:r>
              <w:tab/>
            </w:r>
            <w:r>
              <w:t xml:space="preserve">poziva Komisiju da kao prioritet postavi dovršetak bankovne unije i unije za štednju i ulaganja; ističe njihovu važnost za građane, MSP-ove i realno gospodarstvo jer doprinose održivom blagostanju, kvalitetnim radnim mjestima i financijskoj stabilnosti; ističe potrebu za snažnim </w:t>
            </w:r>
            <w:r>
              <w:rPr>
                <w:b/>
                <w:i/>
              </w:rPr>
              <w:t>i čvrstim</w:t>
            </w:r>
            <w:r>
              <w:t xml:space="preserve"> okvirom </w:t>
            </w:r>
            <w:r>
              <w:rPr>
                <w:b/>
                <w:i/>
              </w:rPr>
              <w:t>koji se temelji na jasnim pravilima i obvezama te</w:t>
            </w:r>
            <w:r>
              <w:t xml:space="preserve"> kojim se sprječava rizik od masovnog povlačenja sredstava iz banaka</w:t>
            </w:r>
            <w:r>
              <w:rPr>
                <w:b/>
                <w:i/>
              </w:rPr>
              <w:t>, povećava financijska stabilnost i konkurentnost te jača bankarski sektor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Komisiju da kao prioritet postavi dovršetak bankovne unije </w:t>
            </w:r>
            <w:r>
              <w:rPr>
                <w:b/>
                <w:i/>
              </w:rPr>
              <w:t>i</w:t>
            </w:r>
            <w:r>
              <w:t xml:space="preserve"> unije za štednju i ulaganja; ističe njihovu važnost za građane, MSP-ove i realno gospodarstvo jer doprinose održivom blagostanju, kvalitetnim radnim mjestima i financijskoj stabilnosti; ističe potrebu za snažnim okvirom utemeljenim na solidarnosti kojim se sprječava rizik od masovnog povlačenja sredstava iz banaka;</w:t>
            </w:r>
          </w:p>
        </w:tc>
        <w:tc>
          <w:tcPr>
            <w:tcW w:w="4876" w:type="dxa"/>
            <w:tcBorders>
              <w:top w:val="nil"/>
              <w:left w:val="nil"/>
              <w:bottom w:val="nil"/>
              <w:right w:val="nil"/>
            </w:tcBorders>
          </w:tcPr>
          <w:p>
            <w:pPr>
              <w:pStyle w:val="Normal6a"/>
            </w:pPr>
            <w:r>
              <w:t>2.</w:t>
            </w:r>
            <w:r>
              <w:tab/>
            </w:r>
            <w:r>
              <w:t xml:space="preserve">poziva Komisiju da kao prioritet postavi dovršetak bankovne unije </w:t>
            </w:r>
            <w:r>
              <w:rPr>
                <w:b/>
                <w:i/>
              </w:rPr>
              <w:t>kao dijela</w:t>
            </w:r>
            <w:r>
              <w:t xml:space="preserve"> unije za štednju i ulaganja; ističe njihovu važnost za građane, MSP-ove i realno gospodarstvo jer doprinose održivom blagostanju, kvalitetnim radnim mjestima i financijskoj stabilnosti; ističe potrebu za snažnim okvirom utemeljenim na solidarnosti kojim se sprječava rizik od masovnog povlačenja sredstava iz banaka;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poziva Komisiju da kao prioritet postavi dovršetak bankovne unije i unije za štednju i ulaganja; ističe njihovu važnost za građane, MSP-ove i realno gospodarstvo jer doprinose održivom blagostanju, kvalitetnim radnim mjestima i financijskoj stabilnosti; ističe potrebu za snažnim okvirom utemeljenim na solidarnosti kojim se sprječava rizik od masovnog povlačenja sredstava iz banaka;</w:t>
            </w:r>
          </w:p>
        </w:tc>
        <w:tc>
          <w:tcPr>
            <w:tcW w:w="4876" w:type="dxa"/>
            <w:tcBorders>
              <w:top w:val="nil"/>
              <w:left w:val="nil"/>
              <w:bottom w:val="nil"/>
              <w:right w:val="nil"/>
            </w:tcBorders>
          </w:tcPr>
          <w:p>
            <w:pPr>
              <w:pStyle w:val="Normal6a"/>
            </w:pPr>
            <w:r>
              <w:t>2.</w:t>
            </w:r>
            <w:r>
              <w:tab/>
            </w:r>
            <w:r>
              <w:t xml:space="preserve">poziva Komisiju da kao prioritet postavi dovršetak bankovne unije i unije za štednju i ulaganja; ističe njihovu važnost za građane, MSP-ove i realno gospodarstvo jer doprinose </w:t>
            </w:r>
            <w:r>
              <w:rPr>
                <w:b/>
                <w:i/>
              </w:rPr>
              <w:t>otpornosti, konkurentnosti,</w:t>
            </w:r>
            <w:r>
              <w:t xml:space="preserve"> održivom blagostanju, kvalitetnim radnim mjestima i financijskoj stabilnosti; ističe potrebu za snažnim okvirom utemeljenim na solidarnosti kojim se sprječava rizik od masovnog povlačenja sredstava iz banaka;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poziva Komisiju da kao prioritet postavi dovršetak bankovne unije i unije za štednju i ulaganja; ističe njihovu važnost za građane, MSP-ove i realno gospodarstvo jer doprinose održivom blagostanju, kvalitetnim radnim mjestima i financijskoj stabilnosti; ističe potrebu za snažnim okvirom utemeljenim na solidarnosti kojim se sprječava rizik od masovnog povlačenja sredstava iz banaka;</w:t>
            </w:r>
          </w:p>
        </w:tc>
        <w:tc>
          <w:tcPr>
            <w:tcW w:w="4876" w:type="dxa"/>
            <w:tcBorders>
              <w:top w:val="nil"/>
              <w:left w:val="nil"/>
              <w:bottom w:val="nil"/>
              <w:right w:val="nil"/>
            </w:tcBorders>
          </w:tcPr>
          <w:p>
            <w:pPr>
              <w:pStyle w:val="Normal6a"/>
            </w:pPr>
            <w:r>
              <w:t>2.</w:t>
            </w:r>
            <w:r>
              <w:tab/>
            </w:r>
            <w:r>
              <w:t xml:space="preserve">poziva Komisiju da kao prioritet postavi dovršetak bankovne unije i unije za štednju i ulaganja; ističe njihovu važnost za građane, MSP-ove i realno gospodarstvo jer doprinose održivom blagostanju, kvalitetnim radnim mjestima i financijskoj stabilnosti; ističe potrebu za snažnim okvirom utemeljenim na solidarnosti kojim se sprječava rizik od masovnog povlačenja sredstava iz banaka; </w:t>
            </w:r>
            <w:r>
              <w:rPr>
                <w:b/>
                <w:i/>
              </w:rPr>
              <w:t>naglašava da će dovršetak unije tržišta kapitala, zajedno s razvojem bankovne unije, pomoći u postizanju boljih uvjeta za financiranje europskog gospodarstva, i za kućanstva i za poduzeća koja se i dalje uvelike oslanjaju na bankovne kredite, u poticanju ulaganja i otvaranja radnih mjesta, uz doprinos otpornosti europskog gospodarstva;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naglašava da se kamatne stope koje se nude kućanstvima i MSP-ovima izrazito razlikuju po državama članicama;</w:t>
            </w:r>
            <w:r>
              <w:t xml:space="preserve"> </w:t>
            </w:r>
            <w:r>
              <w:rPr>
                <w:b/>
                <w:i/>
              </w:rPr>
              <w:t>potiče Komisiju i nadzorna tijela za bankarstvo da razmotre mjere kojima bi se osiguralo da svi građani i poduzeća imaju pristup prijeko potrebnom kapitalu po poštenim i konkurentnim stopama;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naglašava ulogu bankarskog sektora u financiranju prijelaza na ugljično neutralno gospodarstvo;</w:t>
            </w:r>
            <w:r>
              <w:t xml:space="preserve"> </w:t>
            </w:r>
            <w:r>
              <w:rPr>
                <w:b/>
                <w:i/>
              </w:rPr>
              <w:t>poziva na snažnije nadzorne smjernice kako bi se financijske institucije uskladile s klimatskim ciljevima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naglašava ulogu bankarskog sektora u financiranju prijelaza na ugljično neutralno gospodarstvo;</w:t>
            </w:r>
            <w:r>
              <w:t xml:space="preserve"> </w:t>
            </w:r>
            <w:r>
              <w:rPr>
                <w:b/>
                <w:i/>
              </w:rPr>
              <w:t>poziva na snažnije nadzorne smjernice kako bi se financijske institucije uskladile s klimatskim ciljevima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naglašava ulogu bankarskog sektora u financiranju prijelaza na ugljično neutralno gospodarstvo;</w:t>
            </w:r>
            <w:r>
              <w:t xml:space="preserve"> </w:t>
            </w:r>
            <w:r>
              <w:rPr>
                <w:b/>
                <w:i/>
              </w:rPr>
              <w:t>poziva na snažnije nadzorne smjernice kako bi se financijske institucije uskladile s klimatskim ciljevima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naglašava ulogu bankarskog sektora u financiranju prijelaza na ugljično neutralno gospodarstvo;</w:t>
            </w:r>
            <w:r>
              <w:t xml:space="preserve"> </w:t>
            </w:r>
            <w:r>
              <w:rPr>
                <w:b/>
                <w:i/>
              </w:rPr>
              <w:t>poziva na snažnije nadzorne smjernice kako bi se financijske institucije uskladile s klimatskim ciljevima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ulogu bankarskog sektora u financiranju </w:t>
            </w:r>
            <w:r>
              <w:rPr>
                <w:b/>
                <w:i/>
              </w:rPr>
              <w:t>prijelaza na ugljično neutralno gospodarstvo</w:t>
            </w:r>
            <w:r>
              <w:t xml:space="preserve">; </w:t>
            </w:r>
            <w:r>
              <w:rPr>
                <w:b/>
                <w:i/>
              </w:rPr>
              <w:t>poziva na snažnije nadzorne smjernice kako bi se financijske institucije uskladile s klimatskim ciljevima EU-a;</w:t>
            </w:r>
          </w:p>
        </w:tc>
        <w:tc>
          <w:tcPr>
            <w:tcW w:w="4876" w:type="dxa"/>
            <w:tcBorders>
              <w:top w:val="nil"/>
              <w:left w:val="nil"/>
              <w:bottom w:val="nil"/>
              <w:right w:val="nil"/>
            </w:tcBorders>
          </w:tcPr>
          <w:p>
            <w:pPr>
              <w:pStyle w:val="Normal6a"/>
            </w:pPr>
            <w:r>
              <w:t>3.</w:t>
            </w:r>
            <w:r>
              <w:tab/>
            </w:r>
            <w:r>
              <w:t xml:space="preserve">naglašava ulogu bankarskog sektora u financiranju </w:t>
            </w:r>
            <w:r>
              <w:rPr>
                <w:b/>
                <w:i/>
              </w:rPr>
              <w:t>digitalne tranzicije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w:t>
            </w:r>
            <w:r>
              <w:rPr>
                <w:b/>
                <w:i/>
              </w:rPr>
              <w:t>ulogu bankarskog sektora u financiranju prijelaza na ugljično neutralno gospodarstvo;</w:t>
            </w:r>
            <w:r>
              <w:t xml:space="preserve"> </w:t>
            </w:r>
            <w:r>
              <w:rPr>
                <w:b/>
                <w:i/>
              </w:rPr>
              <w:t>poziva na snažnije nadzorne smjernice kako bi se financijske institucije uskladile s klimatskim ciljevima EU-a</w:t>
            </w:r>
            <w:r>
              <w:t>;</w:t>
            </w:r>
          </w:p>
        </w:tc>
        <w:tc>
          <w:tcPr>
            <w:tcW w:w="4876" w:type="dxa"/>
            <w:tcBorders>
              <w:top w:val="nil"/>
              <w:left w:val="nil"/>
              <w:bottom w:val="nil"/>
              <w:right w:val="nil"/>
            </w:tcBorders>
          </w:tcPr>
          <w:p>
            <w:pPr>
              <w:pStyle w:val="Normal6a"/>
            </w:pPr>
            <w:r>
              <w:t>3.</w:t>
            </w:r>
            <w:r>
              <w:tab/>
            </w:r>
            <w:r>
              <w:t xml:space="preserve">naglašava </w:t>
            </w:r>
            <w:r>
              <w:rPr>
                <w:b/>
                <w:i/>
              </w:rPr>
              <w:t>da zeleno financijsko zakonodavstvo ne bi smjelo zamijeniti kreditnu sposobnost, tradicionalne procjene rizika ili mehanizme utvrđivanja cijena na kojima se temelje dobre odluke o kreditiranju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ulogu bankarskog sektora u financiranju </w:t>
            </w:r>
            <w:r>
              <w:rPr>
                <w:b/>
                <w:i/>
              </w:rPr>
              <w:t>prijelaza na ugljično neutralno gospodarstvo;</w:t>
            </w:r>
            <w:r>
              <w:t xml:space="preserve"> </w:t>
            </w:r>
            <w:r>
              <w:rPr>
                <w:b/>
                <w:i/>
              </w:rPr>
              <w:t>poziva na snažnije nadzorne smjernice</w:t>
            </w:r>
            <w:r>
              <w:t xml:space="preserve"> kako bi se </w:t>
            </w:r>
            <w:r>
              <w:rPr>
                <w:b/>
                <w:i/>
              </w:rPr>
              <w:t>financijske institucije uskladile s klimatskim ciljevima EU-a</w:t>
            </w:r>
            <w:r>
              <w:t>;</w:t>
            </w:r>
          </w:p>
        </w:tc>
        <w:tc>
          <w:tcPr>
            <w:tcW w:w="4876" w:type="dxa"/>
            <w:tcBorders>
              <w:top w:val="nil"/>
              <w:left w:val="nil"/>
              <w:bottom w:val="nil"/>
              <w:right w:val="nil"/>
            </w:tcBorders>
          </w:tcPr>
          <w:p>
            <w:pPr>
              <w:pStyle w:val="Normal6a"/>
            </w:pPr>
            <w:r>
              <w:t>3.</w:t>
            </w:r>
            <w:r>
              <w:tab/>
            </w:r>
            <w:r>
              <w:t xml:space="preserve">naglašava ulogu bankarskog sektora u financiranju </w:t>
            </w:r>
            <w:r>
              <w:rPr>
                <w:b/>
                <w:i/>
              </w:rPr>
              <w:t>usporedne tranzicije;</w:t>
            </w:r>
            <w:r>
              <w:t xml:space="preserve"> </w:t>
            </w:r>
            <w:r>
              <w:rPr>
                <w:b/>
                <w:i/>
              </w:rPr>
              <w:t>ističe da okvir EU-a za održivo financiranje treba pojednostaviti</w:t>
            </w:r>
            <w:r>
              <w:t xml:space="preserve"> kako bi se </w:t>
            </w:r>
            <w:r>
              <w:rPr>
                <w:b/>
                <w:i/>
              </w:rPr>
              <w:t>osigurala usklađenost, smanjila udvostručavanja i ujednačile obveze u okviru pravila o bankarstvu, objavljivanju informacija i upravljanju rizicima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ulogu bankarskog sektora u financiranju </w:t>
            </w:r>
            <w:r>
              <w:rPr>
                <w:b/>
                <w:i/>
              </w:rPr>
              <w:t>prijelaza na ugljično neutralno gospodarstvo</w:t>
            </w:r>
            <w:r>
              <w:t xml:space="preserve">; </w:t>
            </w:r>
            <w:r>
              <w:rPr>
                <w:b/>
                <w:i/>
              </w:rPr>
              <w:t>poziva na snažnije nadzorne smjernice kako bi se financijske institucije uskladile s klimatskim ciljevima EU-a;</w:t>
            </w:r>
          </w:p>
        </w:tc>
        <w:tc>
          <w:tcPr>
            <w:tcW w:w="4876" w:type="dxa"/>
            <w:tcBorders>
              <w:top w:val="nil"/>
              <w:left w:val="nil"/>
              <w:bottom w:val="nil"/>
              <w:right w:val="nil"/>
            </w:tcBorders>
          </w:tcPr>
          <w:p>
            <w:pPr>
              <w:pStyle w:val="Normal6a"/>
            </w:pPr>
            <w:r>
              <w:t>3.</w:t>
            </w:r>
            <w:r>
              <w:tab/>
            </w:r>
            <w:r>
              <w:t xml:space="preserve">naglašava ulogu bankarskog sektora u financiranju </w:t>
            </w:r>
            <w:r>
              <w:rPr>
                <w:b/>
                <w:i/>
              </w:rPr>
              <w:t>usporedne tranzicije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naglašava</w:t>
            </w:r>
            <w:r>
              <w:t xml:space="preserve"> ulogu bankarskog sektora u </w:t>
            </w:r>
            <w:r>
              <w:rPr>
                <w:b/>
                <w:i/>
              </w:rPr>
              <w:t>financiranju prijelaza na ugljično neutralno</w:t>
            </w:r>
            <w:r>
              <w:t xml:space="preserve"> gospodarstvo; poziva na snažnije nadzorne smjernice kako bi se financijske institucije uskladile s </w:t>
            </w:r>
            <w:r>
              <w:rPr>
                <w:b/>
                <w:i/>
              </w:rPr>
              <w:t>klimatskim ciljevima EU-a</w:t>
            </w:r>
            <w:r>
              <w:t>;</w:t>
            </w:r>
          </w:p>
        </w:tc>
        <w:tc>
          <w:tcPr>
            <w:tcW w:w="4876" w:type="dxa"/>
            <w:tcBorders>
              <w:top w:val="nil"/>
              <w:left w:val="nil"/>
              <w:bottom w:val="nil"/>
              <w:right w:val="nil"/>
            </w:tcBorders>
          </w:tcPr>
          <w:p>
            <w:pPr>
              <w:pStyle w:val="Normal6a"/>
            </w:pPr>
            <w:r>
              <w:t>3.</w:t>
            </w:r>
            <w:r>
              <w:tab/>
            </w:r>
            <w:r>
              <w:rPr>
                <w:b/>
                <w:i/>
              </w:rPr>
              <w:t>prepoznaje</w:t>
            </w:r>
            <w:r>
              <w:t xml:space="preserve"> ulogu bankarskog sektora u </w:t>
            </w:r>
            <w:r>
              <w:rPr>
                <w:b/>
                <w:i/>
              </w:rPr>
              <w:t>podupiranju financijskih potreba realnog gospodarstva, uključujući ulaganja povezana s prelaskom na konkurentnije</w:t>
            </w:r>
            <w:r>
              <w:t xml:space="preserve"> gospodarstvo; poziva na snažnije nadzorne smjernice kako bi se financijske institucije uskladile s </w:t>
            </w:r>
            <w:r>
              <w:rPr>
                <w:b/>
                <w:i/>
              </w:rPr>
              <w:t>programom EU-a za gospodarsku konkurentnost</w:t>
            </w:r>
            <w:r>
              <w:t xml:space="preserve">; </w:t>
            </w:r>
            <w:r>
              <w:rPr>
                <w:b/>
                <w:i/>
              </w:rPr>
              <w:t>naglašava da bi se nadzorno djelovanje u području održivosti trebalo i dalje čvrsto zasnivati na pristupu koji se temelji na riziku i biti u okviru bonitetnih ovlasti, s naglaskom na utvrđivanju i procjeni značajnih financijskih rizika povezanih s klimom te upravljanju njima, bez ugrožavanja tržišne neutralnosti ili primarnih ciljeva financijske stabilnosti i dobrog upravljanja rizicima;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naglašava ulogu bankarskog sektora u financiranju prijelaza na ugljično neutralno gospodarstvo; poziva na snažnije nadzorne smjernice kako bi se financijske institucije uskladile s klimatskim ciljevima EU-a;</w:t>
            </w:r>
          </w:p>
        </w:tc>
        <w:tc>
          <w:tcPr>
            <w:tcW w:w="4876" w:type="dxa"/>
            <w:tcBorders>
              <w:top w:val="nil"/>
              <w:left w:val="nil"/>
              <w:bottom w:val="nil"/>
              <w:right w:val="nil"/>
            </w:tcBorders>
          </w:tcPr>
          <w:p>
            <w:pPr>
              <w:pStyle w:val="Normal6a"/>
            </w:pPr>
            <w:r>
              <w:t>3.</w:t>
            </w:r>
            <w:r>
              <w:tab/>
            </w:r>
            <w:r>
              <w:t>naglašava ulogu bankarskog sektora u financiranju prijelaza na ugljično neutralno gospodarstvo</w:t>
            </w:r>
            <w:r>
              <w:rPr>
                <w:b/>
                <w:i/>
              </w:rPr>
              <w:t>;</w:t>
            </w:r>
            <w:r>
              <w:t xml:space="preserve"> </w:t>
            </w:r>
            <w:r>
              <w:rPr>
                <w:b/>
                <w:i/>
              </w:rPr>
              <w:t>poziva Komisiju da podnese prijedlog za potpuno uključivanje rizika za održivost u bonitetni okvir, među ostalim utvrđivanjem viših kapitalnih zahtjeva za izloženost fosilnim gorivima u skladu s preporukom Europskog nadzornog tijela za osiguranje i strukovno mirovinsko osiguranje</w:t>
            </w:r>
            <w:r>
              <w:t>; poziva na snažnije nadzorne smjernice kako bi se financijske institucije uskladile s klimatskim ciljevima EU-a</w:t>
            </w:r>
            <w:r>
              <w:rPr>
                <w:b/>
                <w:i/>
              </w:rPr>
              <w:t>, uključujući zahtjeve u 2 stupa</w:t>
            </w:r>
            <w:r>
              <w:t xml:space="preserve">; </w:t>
            </w:r>
            <w:r>
              <w:rPr>
                <w:b/>
                <w:i/>
              </w:rPr>
              <w:t>ističe da je vjerodostojan okvir taksonomije neophodan za postizanje tih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smatra da integrirana bankovna unija mora ovisiti o jedinstvenom tržištu maloprodajnih financijskih usluga koje dobro funkcionira;</w:t>
            </w:r>
            <w:r>
              <w:t xml:space="preserve"> </w:t>
            </w:r>
            <w:r>
              <w:rPr>
                <w:b/>
                <w:i/>
              </w:rPr>
              <w:t>poziva Komisiju da procijeni prepreke i poteškoće koje nastaju za potrošače kad prekogranično koriste proizvode namijenjene potrošačima poput hipotekarnih zajmova i da predloži rješenja kako bi se osiguralo da potrošači imaju koristi od prekograničnih maloprodajnih financijskih usluga;</w:t>
            </w:r>
            <w:r>
              <w:t xml:space="preserve"> </w:t>
            </w:r>
            <w:r>
              <w:rPr>
                <w:b/>
                <w:i/>
              </w:rPr>
              <w:t>nadalje, ističe veliku razliku u kamatnim stopama hipotekarnih kredita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ističe ključnu ulogu bankarskog sektora, kao glavnog zajmodavca u EU-u, u premošćivanju sve većeg jaza u konkurentnosti u odnosu na druge regije;</w:t>
            </w:r>
            <w:r>
              <w:t xml:space="preserve"> </w:t>
            </w:r>
            <w:r>
              <w:rPr>
                <w:b/>
                <w:i/>
              </w:rPr>
              <w:t>podsjeća na važnost bankarskog sektora u financiranju europskih MSP-ova dok se tržišta kapitala i dalje razvijaju;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žali zbog preostalih prepreka prekograničnim uslugama bankarskog poslovanja sa stanovništvom;</w:t>
            </w:r>
            <w:r>
              <w:t xml:space="preserve"> </w:t>
            </w:r>
            <w:r>
              <w:rPr>
                <w:b/>
                <w:i/>
              </w:rPr>
              <w:t>naglašava potencijal koji integrirana bankovna unija ima za poboljšanje tržišnog natjecanja i izbora potrošača u području bankarskog poslovanja sa stanovništvom, među ostalim preko boljih mogućnosti za pružanje prekograničnih usluga bankarskog poslovanja sa stanovništvom;</w:t>
            </w:r>
            <w:r>
              <w:t xml:space="preserve"> </w:t>
            </w:r>
            <w:r>
              <w:rPr>
                <w:b/>
                <w:i/>
              </w:rPr>
              <w:t>ističe prednosti diversificiranog i konkurentnog bankarskog sektora u Europi;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pozdravlja napredak u pogledu</w:t>
            </w:r>
            <w:r>
              <w:t xml:space="preserve"> digitalnog eura </w:t>
            </w:r>
            <w:r>
              <w:rPr>
                <w:b/>
                <w:i/>
              </w:rPr>
              <w:t>i njegov potencijal za nadopunjavanje gotovine uz istodobno jačanje financijske suverenosti i autonomije EU-a</w:t>
            </w:r>
            <w:r>
              <w:t>;</w:t>
            </w:r>
          </w:p>
        </w:tc>
        <w:tc>
          <w:tcPr>
            <w:tcW w:w="4876" w:type="dxa"/>
            <w:tcBorders>
              <w:top w:val="nil"/>
              <w:left w:val="nil"/>
              <w:bottom w:val="nil"/>
              <w:right w:val="nil"/>
            </w:tcBorders>
          </w:tcPr>
          <w:p>
            <w:pPr>
              <w:pStyle w:val="Normal6a"/>
            </w:pPr>
            <w:r>
              <w:t>4.</w:t>
            </w:r>
            <w:r>
              <w:tab/>
            </w:r>
            <w:r>
              <w:rPr>
                <w:b/>
                <w:i/>
              </w:rPr>
              <w:t>izražava duboku skepsu zbog utjecaja</w:t>
            </w:r>
            <w:r>
              <w:t xml:space="preserve"> digitalnog eura </w:t>
            </w:r>
            <w:r>
              <w:rPr>
                <w:b/>
                <w:i/>
              </w:rPr>
              <w:t>na bankovne depozitne baze i financijsko posredovanje;</w:t>
            </w:r>
            <w:r>
              <w:t xml:space="preserve"> </w:t>
            </w:r>
            <w:r>
              <w:rPr>
                <w:b/>
                <w:i/>
              </w:rPr>
              <w:t>poziva na stroga ograničenja držanja i zaštitne mjere kako bi se spriječilo premještanje depozita privatnih banaka i očuvao kapacitet banaka za kreditno posredovanje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pozdravlja</w:t>
            </w:r>
            <w:r>
              <w:t xml:space="preserve"> napredak u pogledu digitalnog eura i </w:t>
            </w:r>
            <w:r>
              <w:rPr>
                <w:b/>
                <w:i/>
              </w:rPr>
              <w:t>njegov potencijal za nadopunjavanje gotovine uz istodobno jačanje financijske suverenosti i autonomije</w:t>
            </w:r>
            <w:r>
              <w:t xml:space="preserve"> EU-a;</w:t>
            </w:r>
          </w:p>
        </w:tc>
        <w:tc>
          <w:tcPr>
            <w:tcW w:w="4876" w:type="dxa"/>
            <w:tcBorders>
              <w:top w:val="nil"/>
              <w:left w:val="nil"/>
              <w:bottom w:val="nil"/>
              <w:right w:val="nil"/>
            </w:tcBorders>
          </w:tcPr>
          <w:p>
            <w:pPr>
              <w:pStyle w:val="Normal6a"/>
            </w:pPr>
            <w:r>
              <w:t>4.</w:t>
            </w:r>
            <w:r>
              <w:tab/>
            </w:r>
            <w:r>
              <w:rPr>
                <w:b/>
                <w:i/>
              </w:rPr>
              <w:t>prima na znanje</w:t>
            </w:r>
            <w:r>
              <w:t xml:space="preserve"> napredak u pogledu digitalnog eura i </w:t>
            </w:r>
            <w:r>
              <w:rPr>
                <w:b/>
                <w:i/>
              </w:rPr>
              <w:t>svjestan je izazova i potencijalnih prijetnji koje taj projekt može predstavljati za likvidnost i stabilnost bankarskog sektora</w:t>
            </w:r>
            <w:r>
              <w:t xml:space="preserv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pozdravlja</w:t>
            </w:r>
            <w:r>
              <w:t xml:space="preserve"> napredak u pogledu digitalnog eura i njegov potencijal za nadopunjavanje gotovine uz istodobno jačanje financijske suverenosti i autonomije EU-a;</w:t>
            </w:r>
          </w:p>
        </w:tc>
        <w:tc>
          <w:tcPr>
            <w:tcW w:w="4876" w:type="dxa"/>
            <w:tcBorders>
              <w:top w:val="nil"/>
              <w:left w:val="nil"/>
              <w:bottom w:val="nil"/>
              <w:right w:val="nil"/>
            </w:tcBorders>
          </w:tcPr>
          <w:p>
            <w:pPr>
              <w:pStyle w:val="Normal6a"/>
            </w:pPr>
            <w:r>
              <w:t>4.</w:t>
            </w:r>
            <w:r>
              <w:tab/>
            </w:r>
            <w:r>
              <w:rPr>
                <w:b/>
                <w:i/>
              </w:rPr>
              <w:t>prima na znanje</w:t>
            </w:r>
            <w:r>
              <w:t xml:space="preserve"> napredak u pogledu digitalnog eura i njegov potencijal za nadopunjavanje gotovine uz istodobno jačanje financijske suverenosti i autonomije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pozdravlja napredak u pogledu digitalnog eura </w:t>
            </w:r>
            <w:r>
              <w:rPr>
                <w:b/>
                <w:i/>
              </w:rPr>
              <w:t>i njegov potencijal za nadopunjavanje gotovine</w:t>
            </w:r>
            <w:r>
              <w:t xml:space="preserve"> uz istodobno jačanje financijske suverenosti i autonomije EU-a;</w:t>
            </w:r>
          </w:p>
        </w:tc>
        <w:tc>
          <w:tcPr>
            <w:tcW w:w="4876" w:type="dxa"/>
            <w:tcBorders>
              <w:top w:val="nil"/>
              <w:left w:val="nil"/>
              <w:bottom w:val="nil"/>
              <w:right w:val="nil"/>
            </w:tcBorders>
          </w:tcPr>
          <w:p>
            <w:pPr>
              <w:pStyle w:val="Normal6a"/>
            </w:pPr>
            <w:r>
              <w:t>4.</w:t>
            </w:r>
            <w:r>
              <w:tab/>
            </w:r>
            <w:r>
              <w:t xml:space="preserve">pozdravlja napredak u pogledu digitalnog eura </w:t>
            </w:r>
            <w:r>
              <w:rPr>
                <w:b/>
                <w:i/>
              </w:rPr>
              <w:t>za plaćanje velikih vrijednosti zbog njegovih koristi u smislu učinkovitosti, prekogranične namire i integracije financijskog tržišta;</w:t>
            </w:r>
            <w:r>
              <w:t xml:space="preserve"> </w:t>
            </w:r>
            <w:r>
              <w:rPr>
                <w:b/>
                <w:i/>
              </w:rPr>
              <w:t>naglašava da bi svaki digitalni euro za male ulagatelje trebao strogo dopunjavati gotovinu, poštovati postojeću strukturu tržišta i izbjegavati istiskivanje privatnih rješenja za plaćanje koja već pružaju inovacije i učinkovitost diljem Unije</w:t>
            </w:r>
            <w:r>
              <w:t xml:space="preserve"> uz istodobno jačanje financijske suverenosti i autonomije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pozdravlja napredak u pogledu digitalnog eura </w:t>
            </w:r>
            <w:r>
              <w:rPr>
                <w:b/>
                <w:i/>
              </w:rPr>
              <w:t>i njegov potencijal</w:t>
            </w:r>
            <w:r>
              <w:t xml:space="preserve"> za nadopunjavanje gotovine uz istodobno jačanje financijske suverenosti i autonomije EU-a;</w:t>
            </w:r>
          </w:p>
        </w:tc>
        <w:tc>
          <w:tcPr>
            <w:tcW w:w="4876" w:type="dxa"/>
            <w:tcBorders>
              <w:top w:val="nil"/>
              <w:left w:val="nil"/>
              <w:bottom w:val="nil"/>
              <w:right w:val="nil"/>
            </w:tcBorders>
          </w:tcPr>
          <w:p>
            <w:pPr>
              <w:pStyle w:val="Normal6a"/>
            </w:pPr>
            <w:r>
              <w:t>4.</w:t>
            </w:r>
            <w:r>
              <w:tab/>
            </w:r>
            <w:r>
              <w:t xml:space="preserve">pozdravlja napredak u pogledu </w:t>
            </w:r>
            <w:r>
              <w:rPr>
                <w:b/>
                <w:i/>
              </w:rPr>
              <w:t>digitalnih eura za veleprodaju i maloprodaju;</w:t>
            </w:r>
            <w:r>
              <w:t xml:space="preserve"> </w:t>
            </w:r>
            <w:r>
              <w:rPr>
                <w:b/>
                <w:i/>
              </w:rPr>
              <w:t>pozdravlja potencijal pogledu</w:t>
            </w:r>
            <w:r>
              <w:t xml:space="preserve"> digitalnog eura </w:t>
            </w:r>
            <w:r>
              <w:rPr>
                <w:b/>
                <w:i/>
              </w:rPr>
              <w:t>za maloprodaju i</w:t>
            </w:r>
            <w:r>
              <w:t xml:space="preserve"> za nadopunjavanje gotovine uz istodobno jačanje financijske suverenosti i autonomije EU-a; </w:t>
            </w:r>
            <w:r>
              <w:rPr>
                <w:b/>
                <w:i/>
              </w:rPr>
              <w:t>pozdravlja dovršetak općeg pristupa Vijeća o maloprodajnom digitalnom euru u prosincu 2025. i poziva Parlament da što prije dovrši svoje ambiciozno stajalište;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pozdravlja napredak u pogledu digitalnog eura i njegov potencijal za nadopunjavanje gotovine uz istodobno jačanje financijske suverenosti i autonomije EU-a;</w:t>
            </w:r>
          </w:p>
        </w:tc>
        <w:tc>
          <w:tcPr>
            <w:tcW w:w="4876" w:type="dxa"/>
            <w:tcBorders>
              <w:top w:val="nil"/>
              <w:left w:val="nil"/>
              <w:bottom w:val="nil"/>
              <w:right w:val="nil"/>
            </w:tcBorders>
          </w:tcPr>
          <w:p>
            <w:pPr>
              <w:pStyle w:val="Normal6a"/>
            </w:pPr>
            <w:r>
              <w:t>4.</w:t>
            </w:r>
            <w:r>
              <w:tab/>
            </w:r>
            <w:r>
              <w:t xml:space="preserve">pozdravlja napredak u pogledu digitalnog eura i njegov potencijal za nadopunjavanje gotovine uz istodobno jačanje financijske suverenosti i autonomije EU-a </w:t>
            </w:r>
            <w:r>
              <w:rPr>
                <w:b/>
                <w:i/>
              </w:rPr>
              <w:t>i doprinošenje financijskoj uključivosti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pozdravlja činjenicu da se bankarski sektor prilagođava izazovima i mogućnostima digitalizacije, što će bankama omogućiti da bolje služe svojim klijentima;</w:t>
            </w:r>
            <w:r>
              <w:t xml:space="preserve"> </w:t>
            </w:r>
            <w:r>
              <w:rPr>
                <w:b/>
                <w:i/>
              </w:rPr>
              <w:t>potiče banke da dodatno iskoriste mogućnosti koje nudi digitalizacija, uz istodobno održavanje visoke razine zaštite potrošača i ulagatelja ulaganjem u informatičke sustave, istraživanje i razvoj, potpunu provedbu zahtjeva u okviru DORA-e i razvoj regulatornog okvira koji je primjeren svrsi kako bi se odgovorilo na trendove digitalizacije i koji se temelji na tehnološkoj neutralnosti;</w:t>
            </w:r>
            <w:r>
              <w:t xml:space="preserve"> </w:t>
            </w:r>
            <w:r>
              <w:rPr>
                <w:b/>
                <w:i/>
              </w:rPr>
              <w:t>pozdravlja napredak postignut u pogledu paketa o digitalnim financijama;</w:t>
            </w:r>
            <w:r>
              <w:t xml:space="preserve"> </w:t>
            </w:r>
            <w:r>
              <w:rPr>
                <w:b/>
                <w:i/>
              </w:rPr>
              <w:t>smatra da se zaštita potrošača u digitalnom kontekstu mora ojačati i da bi financijska uključenost trebala biti prioritet, što se može postići naročito poboljšanjem digitalne i financijske pismenosti;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žali zbog stalne rodne neravnoteže u financijskim institucijama, posebno u rukovodstvu;</w:t>
            </w:r>
            <w:r>
              <w:t xml:space="preserve"> </w:t>
            </w:r>
            <w:r>
              <w:rPr>
                <w:b/>
                <w:i/>
              </w:rPr>
              <w:t>naglašava da raznoliko vodstvo i bolji pristup financiranju za poduzeća pod vodstvom žena</w:t>
            </w:r>
            <w:r>
              <w:rPr>
                <w:b/>
                <w:i/>
                <w:vertAlign w:val="superscript"/>
              </w:rPr>
              <w:t>13</w:t>
            </w:r>
            <w:r>
              <w:rPr>
                <w:b/>
                <w:i/>
              </w:rPr>
              <w:t>poboljšavaju upravljanje, inovacije i ekonomske rezultate;</w:t>
            </w:r>
            <w:r>
              <w:t xml:space="preserve"> </w:t>
            </w:r>
            <w:r>
              <w:rPr>
                <w:b/>
                <w:i/>
              </w:rPr>
              <w:t>poziva financijske institucije, dionike, Komisiju i države članice da donesu učinkovite strategije za raznolikost, prate rodne razlike i uključe rodnu ravnopravnost u nadzorne i investicijske okvire kako bi se osigurao uključiv pristup kapitalu u cijelom EU-u;</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Europski institut za ravnopravnost spolova, Gender in entrepreneurship (Rod u poduzetništvu), 2017., str. 5.</w:t>
            </w:r>
            <w:r>
              <w:t xml:space="preserve"> </w:t>
            </w:r>
            <w:r>
              <w:rPr>
                <w:b/>
                <w:i/>
              </w:rPr>
              <w:t>–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žali zbog stalne rodne neravnoteže u financijskim institucijama, posebno u rukovodstvu;</w:t>
            </w:r>
            <w:r>
              <w:t xml:space="preserve"> </w:t>
            </w:r>
            <w:r>
              <w:rPr>
                <w:b/>
                <w:i/>
              </w:rPr>
              <w:t>naglašava da raznoliko vodstvo i bolji pristup financiranju za poduzeća pod vodstvom žena</w:t>
            </w:r>
            <w:r>
              <w:rPr>
                <w:b/>
                <w:i/>
                <w:vertAlign w:val="superscript"/>
              </w:rPr>
              <w:t>13</w:t>
            </w:r>
            <w:r>
              <w:rPr>
                <w:b/>
                <w:i/>
              </w:rPr>
              <w:t>poboljšavaju upravljanje, inovacije i ekonomske rezultate;</w:t>
            </w:r>
            <w:r>
              <w:t xml:space="preserve"> </w:t>
            </w:r>
            <w:r>
              <w:rPr>
                <w:b/>
                <w:i/>
              </w:rPr>
              <w:t>poziva financijske institucije, dionike, Komisiju i države članice da donesu učinkovite strategije za raznolikost, prate rodne razlike i uključe rodnu ravnopravnost u nadzorne i investicijske okvire kako bi se osigurao uključiv pristup kapitalu u cijelom EU-u;</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Europski institut za ravnopravnost spolova, Gender in entrepreneurship (Rod u poduzetništvu), 2017., str. 5.</w:t>
            </w:r>
            <w:r>
              <w:t xml:space="preserve"> </w:t>
            </w:r>
            <w:r>
              <w:rPr>
                <w:b/>
                <w:i/>
              </w:rPr>
              <w:t>–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žali zbog stalne rodne neravnoteže u financijskim institucijama, posebno u rukovodstvu;</w:t>
            </w:r>
            <w:r>
              <w:t xml:space="preserve"> </w:t>
            </w:r>
            <w:r>
              <w:rPr>
                <w:b/>
                <w:i/>
              </w:rPr>
              <w:t>naglašava da raznoliko vodstvo i bolji pristup financiranju za poduzeća pod vodstvom žena</w:t>
            </w:r>
            <w:r>
              <w:rPr>
                <w:b/>
                <w:i/>
                <w:vertAlign w:val="superscript"/>
              </w:rPr>
              <w:t>13</w:t>
            </w:r>
            <w:r>
              <w:rPr>
                <w:b/>
                <w:i/>
              </w:rPr>
              <w:t>poboljšavaju upravljanje, inovacije i ekonomske rezultate;</w:t>
            </w:r>
            <w:r>
              <w:t xml:space="preserve"> </w:t>
            </w:r>
            <w:r>
              <w:rPr>
                <w:b/>
                <w:i/>
              </w:rPr>
              <w:t>poziva financijske institucije, dionike, Komisiju i države članice da donesu učinkovite strategije za raznolikost, prate rodne razlike i uključe rodnu ravnopravnost u nadzorne i investicijske okvire kako bi se osigurao uključiv pristup kapitalu u cijelom EU-u;</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Europski institut za ravnopravnost spolova, Gender in entrepreneurship (Rod u poduzetništvu), 2017., str. 5.</w:t>
            </w:r>
            <w:r>
              <w:t xml:space="preserve"> </w:t>
            </w:r>
            <w:r>
              <w:rPr>
                <w:b/>
                <w:i/>
              </w:rPr>
              <w:t>–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žali zbog stalne rodne neravnoteže u financijskim institucijama, posebno u rukovodstvu;</w:t>
            </w:r>
            <w:r>
              <w:t xml:space="preserve"> </w:t>
            </w:r>
            <w:r>
              <w:rPr>
                <w:b/>
                <w:i/>
              </w:rPr>
              <w:t>naglašava da raznoliko vodstvo i bolji pristup financiranju za poduzeća pod vodstvom žena</w:t>
            </w:r>
            <w:r>
              <w:rPr>
                <w:b/>
                <w:i/>
                <w:vertAlign w:val="superscript"/>
              </w:rPr>
              <w:t>13</w:t>
            </w:r>
            <w:r>
              <w:rPr>
                <w:b/>
                <w:i/>
              </w:rPr>
              <w:t>poboljšavaju upravljanje, inovacije i ekonomske rezultate;</w:t>
            </w:r>
            <w:r>
              <w:t xml:space="preserve"> </w:t>
            </w:r>
            <w:r>
              <w:rPr>
                <w:b/>
                <w:i/>
              </w:rPr>
              <w:t>poziva financijske institucije, dionike, Komisiju i države članice da donesu učinkovite strategije za raznolikost, prate rodne razlike i uključe rodnu ravnopravnost u nadzorne i investicijske okvire kako bi se osigurao uključiv pristup kapitalu u cijelom EU-u;</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Europski institut za ravnopravnost spolova, Gender in entrepreneurship (Rod u poduzetništvu), 2017., str. 5.</w:t>
            </w:r>
            <w:r>
              <w:t xml:space="preserve"> </w:t>
            </w:r>
            <w:r>
              <w:rPr>
                <w:b/>
                <w:i/>
              </w:rPr>
              <w:t>–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žali zbog stalne rodne neravnoteže u financijskim institucijama, posebno u rukovodstvu;</w:t>
            </w:r>
            <w:r>
              <w:t xml:space="preserve"> </w:t>
            </w:r>
            <w:r>
              <w:rPr>
                <w:b/>
                <w:i/>
              </w:rPr>
              <w:t>naglašava da raznoliko vodstvo i bolji pristup financiranju za poduzeća pod vodstvom žena</w:t>
            </w:r>
            <w:r>
              <w:rPr>
                <w:b/>
                <w:i/>
                <w:vertAlign w:val="superscript"/>
              </w:rPr>
              <w:t>13</w:t>
            </w:r>
            <w:r>
              <w:rPr>
                <w:b/>
                <w:i/>
              </w:rPr>
              <w:t>poboljšavaju upravljanje, inovacije i ekonomske rezultate;</w:t>
            </w:r>
            <w:r>
              <w:t xml:space="preserve"> </w:t>
            </w:r>
            <w:r>
              <w:rPr>
                <w:b/>
                <w:i/>
              </w:rPr>
              <w:t>poziva financijske institucije, dionike, Komisiju i države članice da donesu učinkovite strategije za raznolikost, prate rodne razlike i uključe rodnu ravnopravnost u nadzorne i investicijske okvire kako bi se osigurao uključiv pristup kapitalu u cijelom EU-u;</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Europski institut za ravnopravnost spolova, Gender in entrepreneurship (Rod u poduzetništvu), 2017., str. 5.</w:t>
            </w:r>
            <w:r>
              <w:t xml:space="preserve"> </w:t>
            </w:r>
            <w:r>
              <w:rPr>
                <w:b/>
                <w:i/>
              </w:rPr>
              <w:t>–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žali zbog stalne rodne neravnoteže u financijskim institucijama, posebno u rukovodstvu;</w:t>
            </w:r>
            <w:r>
              <w:t xml:space="preserve"> naglašava da raznoliko vodstvo </w:t>
            </w:r>
            <w:r>
              <w:rPr>
                <w:b/>
                <w:i/>
              </w:rPr>
              <w:t>i bolji pristup financiranju za poduzeća pod vodstvom žena</w:t>
            </w:r>
            <w:r>
              <w:rPr>
                <w:b/>
                <w:i/>
                <w:vertAlign w:val="superscript"/>
              </w:rPr>
              <w:t>13</w:t>
            </w:r>
            <w:r>
              <w:rPr>
                <w:b/>
                <w:i/>
              </w:rPr>
              <w:t>poboljšavaju</w:t>
            </w:r>
            <w:r>
              <w:t xml:space="preserve"> upravljanje, inovacije i ekonomske rezultate; poziva financijske institucije, dionike, Komisiju i države članice da donesu učinkovite strategije za raznolikost, prate rodne razlike i uključe rodnu ravnopravnost u nadzorne i investicijske okvire kako bi se osigurao uključiv pristup kapitalu u cijelom EU-u;</w:t>
            </w:r>
          </w:p>
        </w:tc>
        <w:tc>
          <w:tcPr>
            <w:tcW w:w="4876" w:type="dxa"/>
            <w:tcBorders>
              <w:top w:val="nil"/>
              <w:left w:val="nil"/>
              <w:bottom w:val="nil"/>
              <w:right w:val="nil"/>
            </w:tcBorders>
          </w:tcPr>
          <w:p>
            <w:pPr>
              <w:pStyle w:val="Normal6a"/>
            </w:pPr>
            <w:r>
              <w:t>5.</w:t>
            </w:r>
            <w:r>
              <w:tab/>
            </w:r>
            <w:r>
              <w:t xml:space="preserve">Naglašava da raznoliko vodstvo </w:t>
            </w:r>
            <w:r>
              <w:rPr>
                <w:b/>
                <w:i/>
              </w:rPr>
              <w:t>poboljšava</w:t>
            </w:r>
            <w:r>
              <w:t xml:space="preserve"> upravljanje, inovacije i ekonomske rezultate; poziva financijske institucije, dionike, Komisiju i države članice da donesu učinkovite strategije za raznolikost, prate rodne razlike i uključe rodnu ravnopravnost u nadzorne i investicijske okvire kako bi se osigurao uključiv pristup kapitalu u cijelom EU-u;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Europski institut za ravnopravnost spolova, Gender in entrepreneurship (Rod u poduzetništvu), 2017., str. 5.</w:t>
            </w:r>
            <w:r>
              <w:t xml:space="preserve"> </w:t>
            </w:r>
            <w:r>
              <w:rPr>
                <w:b/>
                <w:i/>
              </w:rPr>
              <w:t>– 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žali zbog stalne</w:t>
            </w:r>
            <w:r>
              <w:t xml:space="preserve"> rodne neravnoteže u financijskim institucijama, posebno u rukovodstvu; naglašava da raznoliko vodstvo i bolji pristup financiranju za poduzeća pod vodstvom žena</w:t>
            </w:r>
            <w:r>
              <w:rPr>
                <w:vertAlign w:val="superscript"/>
              </w:rPr>
              <w:t>13</w:t>
            </w:r>
            <w:r>
              <w:t>poboljšavaju upravljanje, inovacije i ekonomske rezultate; poziva financijske institucije, dionike, Komisiju i države članice da donesu učinkovite strategije za raznolikost, prate rodne razlike i uključe rodnu ravnopravnost u nadzorne i investicijske okvire kako bi se osigurao uključiv pristup kapitalu u cijelom EU-u;</w:t>
            </w:r>
          </w:p>
        </w:tc>
        <w:tc>
          <w:tcPr>
            <w:tcW w:w="4876" w:type="dxa"/>
            <w:tcBorders>
              <w:top w:val="nil"/>
              <w:left w:val="nil"/>
              <w:bottom w:val="nil"/>
              <w:right w:val="nil"/>
            </w:tcBorders>
          </w:tcPr>
          <w:p>
            <w:pPr>
              <w:pStyle w:val="Normal6a"/>
            </w:pPr>
            <w:r>
              <w:t>5.</w:t>
            </w:r>
            <w:r>
              <w:tab/>
            </w:r>
            <w:r>
              <w:rPr>
                <w:b/>
                <w:i/>
              </w:rPr>
              <w:t>uzima u obzir ograničen napredak u pogledu</w:t>
            </w:r>
            <w:r>
              <w:t xml:space="preserve"> rodne neravnoteže u financijskim institucijama, posebno u rukovodstvu; naglašava da raznoliko vodstvo i bolji pristup financiranju za poduzeća</w:t>
            </w:r>
            <w:r>
              <w:rPr>
                <w:vertAlign w:val="superscript"/>
              </w:rPr>
              <w:t>13</w:t>
            </w:r>
            <w:r>
              <w:t xml:space="preserve"> pod vodstvom žena poboljšavaju upravljanje, inovacije i ekonomske rezultate; poziva financijske institucije, dionike, Komisiju i države članice da donesu učinkovite strategije za raznolikost, prate rodne razlike i uključe rodnu ravnopravnost u nadzorne i investicijske okvire kako bi se osigurao uključiv pristup kapitalu u cijelom EU-u;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Europski institut za ravnopravnost spolova, Gender in entrepreneurship (Rod u poduzetništvu), 2017., str. 5. </w:t>
            </w:r>
            <w:r>
              <w:rPr>
                <w:b/>
                <w:i/>
              </w:rPr>
              <w:t>– 6.</w:t>
            </w:r>
          </w:p>
        </w:tc>
        <w:tc>
          <w:tcPr>
            <w:tcW w:w="4876" w:type="dxa"/>
            <w:tcBorders>
              <w:top w:val="nil"/>
              <w:left w:val="nil"/>
              <w:bottom w:val="nil"/>
              <w:right w:val="nil"/>
            </w:tcBorders>
          </w:tcPr>
          <w:p>
            <w:pPr>
              <w:pStyle w:val="Normal6a"/>
            </w:pPr>
            <w:r>
              <w:rPr>
                <w:vertAlign w:val="superscript"/>
              </w:rPr>
              <w:t>13</w:t>
            </w:r>
            <w:r>
              <w:t xml:space="preserve"> </w:t>
            </w:r>
            <w:r>
              <w:t>Europski institut za ravnopravnost spolova, Gender in entrepreneurship (Rod u poduzetništvu), 2017., str.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žali zbog stalne rodne neravnoteže u financijskim institucijama, posebno u rukovodstvu; naglašava da raznoliko vodstvo i bolji pristup financiranju za poduzeća pod vodstvom žena</w:t>
            </w:r>
            <w:r>
              <w:rPr>
                <w:vertAlign w:val="superscript"/>
              </w:rPr>
              <w:t>13</w:t>
            </w:r>
            <w:r>
              <w:t xml:space="preserve">poboljšavaju upravljanje, inovacije i ekonomske rezultate; poziva financijske institucije, dionike, Komisiju i države članice da donesu učinkovite strategije za raznolikost, prate rodne razlike i uključe rodnu ravnopravnost </w:t>
            </w:r>
            <w:r>
              <w:rPr>
                <w:b/>
                <w:i/>
              </w:rPr>
              <w:t>u nadzorne i investicijske okvire kako bi se osigurao uključiv pristup kapitalu u cijelom EU-u</w:t>
            </w:r>
            <w:r>
              <w:t>;</w:t>
            </w:r>
          </w:p>
        </w:tc>
        <w:tc>
          <w:tcPr>
            <w:tcW w:w="4876" w:type="dxa"/>
            <w:tcBorders>
              <w:top w:val="nil"/>
              <w:left w:val="nil"/>
              <w:bottom w:val="nil"/>
              <w:right w:val="nil"/>
            </w:tcBorders>
          </w:tcPr>
          <w:p>
            <w:pPr>
              <w:pStyle w:val="Normal6a"/>
            </w:pPr>
            <w:r>
              <w:t>5.</w:t>
            </w:r>
            <w:r>
              <w:tab/>
            </w:r>
            <w:r>
              <w:t>žali zbog stalne rodne neravnoteže u financijskim institucijama, posebno u rukovodstvu; naglašava da raznoliko vodstvo i bolji pristup financiranju za poduzeća</w:t>
            </w:r>
            <w:r>
              <w:rPr>
                <w:vertAlign w:val="superscript"/>
              </w:rPr>
              <w:t>13</w:t>
            </w:r>
            <w:r>
              <w:t xml:space="preserve"> pod vodstvom žena poboljšavaju upravljanje, inovacije i ekonomske rezultate; poziva financijske institucije, dionike, Komisiju i države članice da donesu učinkovite strategije za raznolikost, prate rodne razlike i uključe rodnu ravnopravnost;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Europski institut za ravnopravnost spolova, Gender in entrepreneurship (Rod u poduzetništvu), 2017., str. 5. </w:t>
            </w:r>
            <w:r>
              <w:rPr>
                <w:b/>
                <w:i/>
              </w:rPr>
              <w:t>– 6.</w:t>
            </w:r>
          </w:p>
        </w:tc>
        <w:tc>
          <w:tcPr>
            <w:tcW w:w="4876" w:type="dxa"/>
            <w:tcBorders>
              <w:top w:val="nil"/>
              <w:left w:val="nil"/>
              <w:bottom w:val="nil"/>
              <w:right w:val="nil"/>
            </w:tcBorders>
          </w:tcPr>
          <w:p>
            <w:pPr>
              <w:pStyle w:val="Normal6a"/>
            </w:pPr>
            <w:r>
              <w:rPr>
                <w:vertAlign w:val="superscript"/>
              </w:rPr>
              <w:t>13</w:t>
            </w:r>
            <w:r>
              <w:t xml:space="preserve"> </w:t>
            </w:r>
            <w:r>
              <w:t>Europski institut za ravnopravnost spolova, Gender in entrepreneurship (Rod u poduzetništvu), 2017., str.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žali zbog stalne rodne neravnoteže u financijskim institucijama, posebno u rukovodstvu; naglašava da raznoliko vodstvo i bolji pristup financiranju za poduzeća pod vodstvom žena</w:t>
            </w:r>
            <w:r>
              <w:rPr>
                <w:vertAlign w:val="superscript"/>
              </w:rPr>
              <w:t>13</w:t>
            </w:r>
            <w:r>
              <w:t>poboljšavaju upravljanje, inovacije i ekonomske rezultate; poziva financijske institucije, dionike, Komisiju i države članice da donesu učinkovite strategije za raznolikost, prate rodne razlike i uključe rodnu ravnopravnost u nadzorne i investicijske okvire kako bi se osigurao uključiv pristup kapitalu u cijelom EU-u;</w:t>
            </w:r>
          </w:p>
        </w:tc>
        <w:tc>
          <w:tcPr>
            <w:tcW w:w="4876" w:type="dxa"/>
            <w:tcBorders>
              <w:top w:val="nil"/>
              <w:left w:val="nil"/>
              <w:bottom w:val="nil"/>
              <w:right w:val="nil"/>
            </w:tcBorders>
          </w:tcPr>
          <w:p>
            <w:pPr>
              <w:pStyle w:val="Normal6a"/>
            </w:pPr>
            <w:r>
              <w:t>5.</w:t>
            </w:r>
            <w:r>
              <w:tab/>
            </w:r>
            <w:r>
              <w:t>žali zbog stalne rodne neravnoteže u financijskim institucijama, posebno u rukovodstvu; naglašava da raznoliko vodstvo i bolji pristup financiranju za poduzeća</w:t>
            </w:r>
            <w:r>
              <w:rPr>
                <w:vertAlign w:val="superscript"/>
              </w:rPr>
              <w:t>13</w:t>
            </w:r>
            <w:r>
              <w:t xml:space="preserve"> pod vodstvom žena poboljšavaju upravljanje, inovacije i ekonomske rezultate; poziva financijske institucije, dionike, Komisiju i države članice da donesu učinkovite strategije za raznolikost, prate rodne razlike i uključe rodnu ravnopravnost u nadzorne i investicijske okvire kako bi se osigurao uključiv pristup kapitalu u cijelom EU-u; </w:t>
            </w:r>
            <w:r>
              <w:rPr>
                <w:b/>
                <w:i/>
              </w:rPr>
              <w:t>duboko žali zbog nedostatka rodne ravnoteže u užem izboru za mjesto predsjednika EBA-e;</w:t>
            </w:r>
            <w:r>
              <w:t xml:space="preserve"> </w:t>
            </w:r>
            <w:r>
              <w:rPr>
                <w:b/>
                <w:i/>
              </w:rPr>
              <w:t>podsjeća na obvezu Parlamenta da ne uzima u obzir popise kandidata kod kojih se nije poštovalo načelo rodne ravnoteže;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Europski institut za ravnopravnost spolova, Gender in entrepreneurship (Rod u poduzetništvu), 2017., str. 5. </w:t>
            </w:r>
            <w:r>
              <w:rPr>
                <w:b/>
                <w:i/>
              </w:rPr>
              <w:t>– 6.</w:t>
            </w:r>
          </w:p>
        </w:tc>
        <w:tc>
          <w:tcPr>
            <w:tcW w:w="4876" w:type="dxa"/>
            <w:tcBorders>
              <w:top w:val="nil"/>
              <w:left w:val="nil"/>
              <w:bottom w:val="nil"/>
              <w:right w:val="nil"/>
            </w:tcBorders>
          </w:tcPr>
          <w:p>
            <w:pPr>
              <w:pStyle w:val="Normal6a"/>
            </w:pPr>
            <w:r>
              <w:rPr>
                <w:vertAlign w:val="superscript"/>
              </w:rPr>
              <w:t>13</w:t>
            </w:r>
            <w:r>
              <w:t xml:space="preserve"> </w:t>
            </w:r>
            <w:r>
              <w:t>Europski institut za ravnopravnost spolova, Gender in entrepreneurship (Rod u poduzetništvu), 2017., str.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podsjeća da bi se financijskim institucijama trebalo upravljati na temelju zasluga, iskustva i profesionalne prikladnosti, osiguravajući da se imenovanja i odluke o upravljanju temelje na objektivnim kriterijima te su povezane s rizikom, bez uvođenja dodatnih kriterija koji nisu povezani s dobrim korporativnim upravljanjem i financijskom stabilnošću;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žali zbog toga što je sposobnost banaka u EU-u da financiraju velika ulaganja ograničena višim troškovima, manjim opsegom i manjom profitabilnošću koja nije dovoljna za osiguravanje njihove konkurentnosti;</w:t>
            </w:r>
            <w:r>
              <w:t xml:space="preserve"> </w:t>
            </w:r>
            <w:r>
              <w:rPr>
                <w:b/>
                <w:i/>
              </w:rPr>
              <w:t>napominje, međutim, da posebna priroda bankarskog sustava EU-a, s velikim brojem manjih banaka, zahtijeva posebna rješenja prilagođena njegovim značajkama;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napominje da su se nakon povećanja stopa ESB-a profitabilnost i otpornost banaka u EU-u znatno poboljšale</w:t>
            </w:r>
            <w:r>
              <w:rPr>
                <w:b/>
                <w:i/>
                <w:vertAlign w:val="superscript"/>
              </w:rPr>
              <w:t>14</w:t>
            </w:r>
            <w:r>
              <w:rPr>
                <w:b/>
                <w:i/>
              </w:rPr>
              <w:t>;</w:t>
            </w:r>
            <w:r>
              <w:t xml:space="preserve"> </w:t>
            </w:r>
            <w:r>
              <w:rPr>
                <w:b/>
                <w:i/>
              </w:rPr>
              <w:t>naglašava da se time mogu poduprijeti ključna ulaganja i da se institucije koje primaju državnu potporu moraju suočiti sa strogim ograničenjima u pogledu dividendi, otkupa i varijabilnih primitaka;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IMF, srpanj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napominje</w:t>
            </w:r>
            <w:r>
              <w:t xml:space="preserve"> da su </w:t>
            </w:r>
            <w:r>
              <w:rPr>
                <w:b/>
                <w:i/>
              </w:rPr>
              <w:t>se nakon povećanja stopa ESB-a profitabilnost i otpornost</w:t>
            </w:r>
            <w:r>
              <w:t xml:space="preserve"> banaka </w:t>
            </w:r>
            <w:r>
              <w:rPr>
                <w:b/>
                <w:i/>
              </w:rPr>
              <w:t>u EU-u znatno poboljšale</w:t>
            </w:r>
            <w:r>
              <w:rPr>
                <w:b/>
                <w:i/>
                <w:vertAlign w:val="superscript"/>
              </w:rPr>
              <w:t>14</w:t>
            </w:r>
            <w:r>
              <w:rPr>
                <w:b/>
                <w:i/>
              </w:rPr>
              <w:t>;</w:t>
            </w:r>
            <w:r>
              <w:t xml:space="preserve"> </w:t>
            </w:r>
            <w:r>
              <w:rPr>
                <w:b/>
                <w:i/>
              </w:rPr>
              <w:t>naglašava da se time mogu poduprijeti ključna ulaganja i da se institucije koje primaju državnu potporu moraju suočiti sa strogim ograničenjima u pogledu dividendi, otkupa i varijabilnih primitaka</w:t>
            </w:r>
            <w:r>
              <w:t>;</w:t>
            </w:r>
          </w:p>
        </w:tc>
        <w:tc>
          <w:tcPr>
            <w:tcW w:w="4876" w:type="dxa"/>
            <w:tcBorders>
              <w:top w:val="nil"/>
              <w:left w:val="nil"/>
              <w:bottom w:val="nil"/>
              <w:right w:val="nil"/>
            </w:tcBorders>
          </w:tcPr>
          <w:p>
            <w:pPr>
              <w:pStyle w:val="Normal6a"/>
            </w:pPr>
            <w:r>
              <w:t>6.</w:t>
            </w:r>
            <w:r>
              <w:tab/>
            </w:r>
            <w:r>
              <w:rPr>
                <w:b/>
                <w:i/>
              </w:rPr>
              <w:t>priznaje</w:t>
            </w:r>
            <w:r>
              <w:t xml:space="preserve"> da su </w:t>
            </w:r>
            <w:r>
              <w:rPr>
                <w:b/>
                <w:i/>
              </w:rPr>
              <w:t>dugotrajne restriktivne monetarne politike smanjile neto kamatne marže i povećale troškove financiranja, čime se smanjila sposobnost</w:t>
            </w:r>
            <w:r>
              <w:t xml:space="preserve"> banaka </w:t>
            </w:r>
            <w:r>
              <w:rPr>
                <w:b/>
                <w:i/>
              </w:rPr>
              <w:t>da podupiru održivi rast zajmova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IMF, srpanj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napominje</w:t>
            </w:r>
            <w:r>
              <w:t xml:space="preserve"> da su se </w:t>
            </w:r>
            <w:r>
              <w:rPr>
                <w:b/>
                <w:i/>
              </w:rPr>
              <w:t>nakon povećanja stopa ESB-a</w:t>
            </w:r>
            <w:r>
              <w:t xml:space="preserve"> profitabilnost i otpornost banaka u EU-u znatno poboljšale</w:t>
            </w:r>
            <w:r>
              <w:rPr>
                <w:vertAlign w:val="superscript"/>
              </w:rPr>
              <w:t>14</w:t>
            </w:r>
            <w:r>
              <w:t xml:space="preserve">; </w:t>
            </w:r>
            <w:r>
              <w:rPr>
                <w:b/>
                <w:i/>
              </w:rPr>
              <w:t>naglašava da se time mogu poduprijeti ključna ulaganja i da se institucije koje primaju državnu potporu moraju suočiti sa strogim ograničenjima u pogledu dividendi, otkupa i varijabilnih primitaka</w:t>
            </w:r>
            <w:r>
              <w:t>;</w:t>
            </w:r>
          </w:p>
        </w:tc>
        <w:tc>
          <w:tcPr>
            <w:tcW w:w="4876" w:type="dxa"/>
            <w:tcBorders>
              <w:top w:val="nil"/>
              <w:left w:val="nil"/>
              <w:bottom w:val="nil"/>
              <w:right w:val="nil"/>
            </w:tcBorders>
          </w:tcPr>
          <w:p>
            <w:pPr>
              <w:pStyle w:val="Normal6a"/>
            </w:pPr>
            <w:r>
              <w:t>6.</w:t>
            </w:r>
            <w:r>
              <w:tab/>
            </w:r>
            <w:r>
              <w:rPr>
                <w:b/>
                <w:i/>
              </w:rPr>
              <w:t>pozdravlja činjenicu</w:t>
            </w:r>
            <w:r>
              <w:t xml:space="preserve"> da su se profitabilnost i otpornost banaka u EU-u znatno poboljšale</w:t>
            </w:r>
            <w:r>
              <w:rPr>
                <w:vertAlign w:val="superscript"/>
              </w:rPr>
              <w:t>14</w:t>
            </w:r>
            <w:r>
              <w:t xml:space="preserve">; </w:t>
            </w:r>
            <w:r>
              <w:rPr>
                <w:b/>
                <w:i/>
              </w:rPr>
              <w:t>napominje, međutim, da i dalje postoji jaz u profitabilnosti u usporedbi s drugim jurisdikcijama, posebno SAD-om;</w:t>
            </w:r>
            <w:r>
              <w:t xml:space="preserve"> </w:t>
            </w:r>
            <w:r>
              <w:rPr>
                <w:b/>
                <w:i/>
              </w:rPr>
              <w:t>smatra da je razlika u profitabilnosti u usporedbi s drugim jurisdikcijama posljedica strukturnih i regulatornih razloga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napominje da su </w:t>
            </w:r>
            <w:r>
              <w:rPr>
                <w:b/>
                <w:i/>
              </w:rPr>
              <w:t>se nakon povećanja stopa ESB-a</w:t>
            </w:r>
            <w:r>
              <w:t xml:space="preserve"> profitabilnost i otpornost </w:t>
            </w:r>
            <w:r>
              <w:rPr>
                <w:b/>
                <w:i/>
              </w:rPr>
              <w:t>banaka u EU-u znatno poboljšale</w:t>
            </w:r>
            <w:r>
              <w:rPr>
                <w:b/>
                <w:i/>
                <w:vertAlign w:val="superscript"/>
              </w:rPr>
              <w:t>14</w:t>
            </w:r>
            <w:r>
              <w:t xml:space="preserve">; naglašava da se </w:t>
            </w:r>
            <w:r>
              <w:rPr>
                <w:b/>
                <w:i/>
              </w:rPr>
              <w:t>time mogu</w:t>
            </w:r>
            <w:r>
              <w:t xml:space="preserve"> poduprijeti </w:t>
            </w:r>
            <w:r>
              <w:rPr>
                <w:b/>
                <w:i/>
              </w:rPr>
              <w:t>ključna ulaganja i da se institucije koje primaju državnu potporu moraju suočiti sa strogim ograničenjima u pogledu dividendi, otkupa i varijabilnih primitaka</w:t>
            </w:r>
            <w:r>
              <w:t>;</w:t>
            </w:r>
          </w:p>
        </w:tc>
        <w:tc>
          <w:tcPr>
            <w:tcW w:w="4876" w:type="dxa"/>
            <w:tcBorders>
              <w:top w:val="nil"/>
              <w:left w:val="nil"/>
              <w:bottom w:val="nil"/>
              <w:right w:val="nil"/>
            </w:tcBorders>
          </w:tcPr>
          <w:p>
            <w:pPr>
              <w:pStyle w:val="Normal6a"/>
            </w:pPr>
            <w:r>
              <w:t>6.</w:t>
            </w:r>
            <w:r>
              <w:tab/>
            </w:r>
            <w:r>
              <w:t xml:space="preserve">napominje da su profitabilnost i otpornost </w:t>
            </w:r>
            <w:r>
              <w:rPr>
                <w:b/>
                <w:i/>
              </w:rPr>
              <w:t>2025. ostale visoke</w:t>
            </w:r>
            <w:r>
              <w:t xml:space="preserve">; naglašava da se </w:t>
            </w:r>
            <w:r>
              <w:rPr>
                <w:b/>
                <w:i/>
              </w:rPr>
              <w:t>tom profitabilnošću može</w:t>
            </w:r>
            <w:r>
              <w:t xml:space="preserve"> poduprijeti </w:t>
            </w:r>
            <w:r>
              <w:rPr>
                <w:b/>
                <w:i/>
              </w:rPr>
              <w:t>financiranje kućanstava i poduzeća, posebno MSP-ova i novoosnovanih poduzeća, kao i mladih stručnjaka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IMF, srpanj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xml:space="preserve">; naglašava da se time mogu poduprijeti ključna ulaganja </w:t>
            </w:r>
            <w:r>
              <w:rPr>
                <w:b/>
                <w:i/>
              </w:rPr>
              <w:t>i da se institucije koje primaju državnu potporu moraju suočiti sa strogim ograničenjima u pogledu dividendi, otkupa i varijabilnih primitaka</w:t>
            </w:r>
            <w:r>
              <w:t>;</w:t>
            </w:r>
          </w:p>
        </w:tc>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naglašava da se time mogu poduprijeti ključna ulaganja</w:t>
            </w:r>
            <w:r>
              <w:rPr>
                <w:b/>
                <w:i/>
              </w:rPr>
              <w:t>;</w:t>
            </w:r>
            <w:r>
              <w:t xml:space="preserve"> </w:t>
            </w:r>
            <w:r>
              <w:rPr>
                <w:b/>
                <w:i/>
              </w:rPr>
              <w:t>podsjeća da je to povećanje profitabilnosti uglavnom cikličko i da konkurentnost banaka i dalje ovisi o napretku strukturnih reformi bankovne unije, unije za štednju i ulaganja i jedinstvenog tržišta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xml:space="preserve">; naglašava da se time mogu poduprijeti ključna ulaganja </w:t>
            </w:r>
            <w:r>
              <w:rPr>
                <w:b/>
                <w:i/>
              </w:rPr>
              <w:t>i da se institucije koje primaju državnu potporu moraju suočiti sa strogim ograničenjima u pogledu dividendi, otkupa i varijabilnih primitaka</w:t>
            </w:r>
            <w:r>
              <w:t>;</w:t>
            </w:r>
          </w:p>
        </w:tc>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naglašava da se time mogu poduprijeti ključna ulaganja;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xml:space="preserve">; naglašava da se time mogu poduprijeti ključna ulaganja </w:t>
            </w:r>
            <w:r>
              <w:rPr>
                <w:b/>
                <w:i/>
              </w:rPr>
              <w:t>i da se institucije koje primaju državnu potporu moraju suočiti sa strogim ograničenjima u pogledu dividendi, otkupa i varijabilnih primitaka</w:t>
            </w:r>
            <w:r>
              <w:t>;</w:t>
            </w:r>
          </w:p>
        </w:tc>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naglašava da se time mogu poduprijeti ključna ulaganja;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xml:space="preserve">; naglašava da se time mogu poduprijeti ključna ulaganja </w:t>
            </w:r>
            <w:r>
              <w:rPr>
                <w:b/>
                <w:i/>
              </w:rPr>
              <w:t>i da se institucije koje primaju državnu potporu moraju suočiti sa strogim ograničenjima u pogledu dividendi, otkupa i varijabilnih primitaka</w:t>
            </w:r>
            <w:r>
              <w:t>;</w:t>
            </w:r>
          </w:p>
        </w:tc>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naglašava da se time mogu poduprijeti ključna ulaganja;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napominje</w:t>
            </w:r>
            <w:r>
              <w:t xml:space="preserve"> da su se nakon </w:t>
            </w:r>
            <w:r>
              <w:rPr>
                <w:b/>
                <w:i/>
              </w:rPr>
              <w:t>povećanja</w:t>
            </w:r>
            <w:r>
              <w:t xml:space="preserve"> stopa ESB-a profitabilnost i otpornost banaka u EU-u znatno poboljšale</w:t>
            </w:r>
            <w:r>
              <w:rPr>
                <w:vertAlign w:val="superscript"/>
              </w:rPr>
              <w:t>14</w:t>
            </w:r>
            <w:r>
              <w:t>; naglašava da se time mogu poduprijeti ključna ulaganja i da se institucije koje primaju državnu potporu moraju suočiti sa strogim ograničenjima u pogledu dividendi, otkupa i varijabilnih primitaka;</w:t>
            </w:r>
          </w:p>
        </w:tc>
        <w:tc>
          <w:tcPr>
            <w:tcW w:w="4876" w:type="dxa"/>
            <w:tcBorders>
              <w:top w:val="nil"/>
              <w:left w:val="nil"/>
              <w:bottom w:val="nil"/>
              <w:right w:val="nil"/>
            </w:tcBorders>
          </w:tcPr>
          <w:p>
            <w:pPr>
              <w:pStyle w:val="Normal6a"/>
            </w:pPr>
            <w:r>
              <w:t>6.</w:t>
            </w:r>
            <w:r>
              <w:tab/>
            </w:r>
            <w:r>
              <w:rPr>
                <w:b/>
                <w:i/>
              </w:rPr>
              <w:t>ističe</w:t>
            </w:r>
            <w:r>
              <w:t xml:space="preserve"> da su se nakon </w:t>
            </w:r>
            <w:r>
              <w:rPr>
                <w:b/>
                <w:i/>
              </w:rPr>
              <w:t>rasta</w:t>
            </w:r>
            <w:r>
              <w:t xml:space="preserve"> stopa ESB-a profitabilnost i otpornost banaka u EU-u znatno poboljšale</w:t>
            </w:r>
            <w:r>
              <w:rPr>
                <w:vertAlign w:val="superscript"/>
              </w:rPr>
              <w:t>14</w:t>
            </w:r>
            <w:r>
              <w:t xml:space="preserve">; naglašava da se time mogu poduprijeti ključna ulaganja i da se institucije koje primaju državnu potporu moraju suočiti sa strogim ograničenjima u pogledu dividendi, otkupa i varijabilnih primitaka; </w:t>
            </w:r>
            <w:r>
              <w:rPr>
                <w:b/>
                <w:i/>
              </w:rPr>
              <w:t>naglašava da se održivom profitabilnošću podupire akumulacija kapitala, sposobnost apsorpcije šokova i financiranje realnog gospodarstva;</w:t>
            </w:r>
            <w:r>
              <w:t xml:space="preserve"> </w:t>
            </w:r>
            <w:r>
              <w:rPr>
                <w:b/>
                <w:i/>
              </w:rPr>
              <w:t>podsjeća da, kako je istaknuto u nedavnim mišljenjima ESB-a o nacionalnim bankovnim nametima, porezi koji se temelje na prihodima banaka mogu dovesti do smanjenja zadržane dobiti i ograničenja sposobnosti kreditnih institucija da stvore ili nadopune zaštitne slojeve kapitala;</w:t>
            </w:r>
            <w:r>
              <w:t xml:space="preserve"> </w:t>
            </w:r>
            <w:r>
              <w:rPr>
                <w:b/>
                <w:i/>
              </w:rPr>
              <w:t>naglašava da bi svaka porezna mjera koja utječe na banke trebala biti iznimna, razmjerna i privremena;</w:t>
            </w:r>
            <w:r>
              <w:t xml:space="preserve"> </w:t>
            </w:r>
            <w:r>
              <w:rPr>
                <w:b/>
                <w:i/>
              </w:rPr>
              <w:t>usto ne bi smjela biti na štetu financijske stabilnosti i sposobnosti banaka da financiraju realno gospodarstvo;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naglašava da se time mogu poduprijeti ključna ulaganja i da se institucije koje primaju državnu potporu moraju suočiti sa strogim ograničenjima u pogledu dividendi, otkupa i varijabilnih primitaka;</w:t>
            </w:r>
          </w:p>
        </w:tc>
        <w:tc>
          <w:tcPr>
            <w:tcW w:w="4876" w:type="dxa"/>
            <w:tcBorders>
              <w:top w:val="nil"/>
              <w:left w:val="nil"/>
              <w:bottom w:val="nil"/>
              <w:right w:val="nil"/>
            </w:tcBorders>
          </w:tcPr>
          <w:p>
            <w:pPr>
              <w:pStyle w:val="Normal6a"/>
            </w:pPr>
            <w:r>
              <w:t>6.</w:t>
            </w:r>
            <w:r>
              <w:tab/>
            </w:r>
            <w:r>
              <w:t>napominje da su se nakon povećanja stopa ESB-a profitabilnost i otpornost banaka u EU-u znatno poboljšale</w:t>
            </w:r>
            <w:r>
              <w:rPr>
                <w:vertAlign w:val="superscript"/>
              </w:rPr>
              <w:t>14</w:t>
            </w:r>
            <w:r>
              <w:t xml:space="preserve">; naglašava da se time mogu poduprijeti ključna ulaganja i </w:t>
            </w:r>
            <w:r>
              <w:rPr>
                <w:b/>
                <w:i/>
              </w:rPr>
              <w:t>financiranje europskog gospodarstva i</w:t>
            </w:r>
            <w:r>
              <w:t xml:space="preserve"> da se institucije koje primaju državnu potporu moraju suočiti sa strogim ograničenjima u pogledu dividendi, otkupa i varijabilnih primitaka;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srpanj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Ističe znatnu izloženost banaka u EU-u dugoročnom državnom dugu, posebno domaćoj izloženosti;</w:t>
            </w:r>
            <w:r>
              <w:t xml:space="preserve"> </w:t>
            </w:r>
            <w:r>
              <w:rPr>
                <w:b/>
                <w:i/>
              </w:rPr>
              <w:t>podsjeća na važnost veće diversifikacije tih izloženosti kako bi europski sektor bio otporniji na asimetrične fiskalne šokove;</w:t>
            </w:r>
            <w:r>
              <w:t xml:space="preserve"> </w:t>
            </w:r>
            <w:r>
              <w:rPr>
                <w:b/>
                <w:i/>
              </w:rPr>
              <w:t>naglašava važnost provedbe fiskalnih pravila EU-a čiji je cilj zajamčiti povjerenje u državni dug država članica, diversifikaciju, a time i smanjenje sistemskog rizika u europodručju;</w:t>
            </w:r>
            <w:r>
              <w:t xml:space="preserve"> </w:t>
            </w:r>
            <w:r>
              <w:rPr>
                <w:b/>
                <w:i/>
              </w:rPr>
              <w:t>podsjeća da nedostatak zajedničke sigurne imovine kao referentne vrijednosti smanjuje učinkovitost na tržištima kapitala i u bankarskom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Komisiju da izradi smjernice za ciljani doprinos banaka za solidarnost kojim bi se odražavala nedavna dobit te osiguravao pravedan doprinos javnim financijama uz istodobno podupiranje otpornosti i financijske stabilnosti;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naglašava da pravilno funkcioniranje i vjerodostojnost bankovne unije također ovise o potpunom poštovanju i učinkovitoj provedbi prava Unije o zaštiti potrošača u bankarskom sektoru;</w:t>
            </w:r>
            <w:r>
              <w:t xml:space="preserve"> </w:t>
            </w:r>
            <w:r>
              <w:rPr>
                <w:b/>
                <w:i/>
              </w:rPr>
              <w:t>ističe da se kreditne institucije moraju suzdržati od primjene nepoštenih ugovornih uvjeta i poslovnih praksi, posebno u hipotekarnom i maloprodajnom kreditiranju;</w:t>
            </w:r>
            <w:r>
              <w:t xml:space="preserve"> </w:t>
            </w:r>
            <w:r>
              <w:rPr>
                <w:b/>
                <w:i/>
              </w:rPr>
              <w:t>ističe da potrošači, uključujući zajmoprimce, moraju imati koristi od učinkovite zaštite, pravne sigurnosti i pristupa učinkovitoj pravnoj zaštiti;</w:t>
            </w:r>
            <w:r>
              <w:t xml:space="preserve"> </w:t>
            </w:r>
            <w:r>
              <w:rPr>
                <w:b/>
                <w:i/>
              </w:rPr>
              <w:t>u tom pogledu poziva države članice i nadležna tijela da osiguraju snažne mjere nadzora i provedbe u slučajevima kršenja;</w:t>
            </w:r>
            <w:r>
              <w:t xml:space="preserve"> </w:t>
            </w:r>
            <w:r>
              <w:rPr>
                <w:b/>
                <w:i/>
              </w:rPr>
              <w:t>nadalje naglašava važnost osiguravanja odgovarajuće zaštite primarnog boravišta manjeg od 250 m², posebno u slučajevima u kojima su zajmoprimci već otplatili znatan dio svojeg zajma, kao što je 50 % početnog zajma;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naglašava da bi sve nacionalne mjere koje utječu na bankarski sektor, uključujući solidarne doprinose, trebale biti iznimne i razmjerne te da ne bi smjele ugroziti sposobnost banaka da financiraju realno gospodarstvo, podupiru ulaganja ili održavaju financijsku stabilnost;</w:t>
            </w:r>
            <w:r>
              <w:t xml:space="preserve"> </w:t>
            </w:r>
            <w:r>
              <w:rPr>
                <w:b/>
                <w:i/>
              </w:rPr>
              <w:t>poziva Komisiju da prati njihov učinak na konkurentnost i prekograničnu integraciju na unutarnjem tržištu;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prima na znanje ulogu AMLA-e u jačanju borbe EU-a protiv pranja novca i financiranja terorizma;</w:t>
            </w:r>
            <w:r>
              <w:t xml:space="preserve"> </w:t>
            </w:r>
            <w:r>
              <w:rPr>
                <w:b/>
                <w:i/>
              </w:rPr>
              <w:t>poziva na dosljednu provedbu, pojačanu suradnju, razmjenu informacija i koordiniranu provedbu diljem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prima na znanje ulogu</w:t>
            </w:r>
            <w:r>
              <w:t xml:space="preserve"> AMLA-e u jačanju borbe EU-a protiv pranja novca i financiranja terorizma; poziva na dosljednu provedbu, pojačanu suradnju, razmjenu informacija i koordiniranu provedbu diljem EU-a;</w:t>
            </w:r>
          </w:p>
        </w:tc>
        <w:tc>
          <w:tcPr>
            <w:tcW w:w="4876" w:type="dxa"/>
            <w:tcBorders>
              <w:top w:val="nil"/>
              <w:left w:val="nil"/>
              <w:bottom w:val="nil"/>
              <w:right w:val="nil"/>
            </w:tcBorders>
          </w:tcPr>
          <w:p>
            <w:pPr>
              <w:pStyle w:val="Normal6a"/>
            </w:pPr>
            <w:r>
              <w:t>8.</w:t>
            </w:r>
            <w:r>
              <w:tab/>
            </w:r>
            <w:r>
              <w:rPr>
                <w:b/>
                <w:i/>
              </w:rPr>
              <w:t>veseli se ulozi</w:t>
            </w:r>
            <w:r>
              <w:t xml:space="preserve"> AMLA-e u jačanju borbe EU-a protiv pranja novca i financiranja terorizma; poziva na dosljednu provedbu, pojačanu suradnju, razmjenu informacija i koordiniranu provedbu diljem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ulogu AMLA-e u jačanju borbe EU-a protiv pranja novca i financiranja terorizma; poziva na dosljednu provedbu, pojačanu suradnju, razmjenu informacija i koordiniranu provedbu diljem EU-a;</w:t>
            </w:r>
          </w:p>
        </w:tc>
        <w:tc>
          <w:tcPr>
            <w:tcW w:w="4876" w:type="dxa"/>
            <w:tcBorders>
              <w:top w:val="nil"/>
              <w:left w:val="nil"/>
              <w:bottom w:val="nil"/>
              <w:right w:val="nil"/>
            </w:tcBorders>
          </w:tcPr>
          <w:p>
            <w:pPr>
              <w:pStyle w:val="Normal6a"/>
            </w:pPr>
            <w:r>
              <w:t>8.</w:t>
            </w:r>
            <w:r>
              <w:tab/>
            </w:r>
            <w:r>
              <w:t xml:space="preserve">prima na znanje ulogu AMLA-e u jačanju borbe EU-a protiv pranja novca i financiranja terorizma; poziva na dosljednu provedbu, pojačanu suradnju, razmjenu informacija i koordiniranu provedbu diljem EU-a; </w:t>
            </w:r>
            <w:r>
              <w:rPr>
                <w:b/>
                <w:i/>
              </w:rPr>
              <w:t>ističe potrebu da se AMLA u svojem nadzornom i regulatornom radu pridržava načela proporcionalnosti;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ulogu AMLA-e u jačanju borbe EU-a protiv pranja novca i financiranja terorizma; poziva na dosljednu provedbu, pojačanu suradnju, razmjenu informacija i koordiniranu provedbu diljem EU-a;</w:t>
            </w:r>
          </w:p>
        </w:tc>
        <w:tc>
          <w:tcPr>
            <w:tcW w:w="4876" w:type="dxa"/>
            <w:tcBorders>
              <w:top w:val="nil"/>
              <w:left w:val="nil"/>
              <w:bottom w:val="nil"/>
              <w:right w:val="nil"/>
            </w:tcBorders>
          </w:tcPr>
          <w:p>
            <w:pPr>
              <w:pStyle w:val="Normal6a"/>
            </w:pPr>
            <w:r>
              <w:t>8.</w:t>
            </w:r>
            <w:r>
              <w:tab/>
            </w:r>
            <w:r>
              <w:t xml:space="preserve">prima na znanje ulogu AMLA-e u jačanju borbe EU-a protiv pranja novca i financiranja terorizma; poziva na dosljednu provedbu, pojačanu suradnju, razmjenu informacija i koordiniranu provedbu diljem EU-a; </w:t>
            </w:r>
            <w:r>
              <w:rPr>
                <w:b/>
                <w:i/>
              </w:rPr>
              <w:t>podsjeća da bi koordinirani, pojednostavnjeni i razmjerni pristup trebao ostati temeljno vodeće načelo u radu AMLA-e na razini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ulogu AMLA-e u jačanju borbe EU-a protiv pranja novca i financiranja terorizma; poziva na dosljednu </w:t>
            </w:r>
            <w:r>
              <w:rPr>
                <w:b/>
                <w:i/>
              </w:rPr>
              <w:t>provedbu</w:t>
            </w:r>
            <w:r>
              <w:t xml:space="preserve">, pojačanu suradnju, razmjenu informacija i koordiniranu provedbu </w:t>
            </w:r>
            <w:r>
              <w:rPr>
                <w:b/>
                <w:i/>
              </w:rPr>
              <w:t>diljem EU-a</w:t>
            </w:r>
            <w:r>
              <w:t>;</w:t>
            </w:r>
          </w:p>
        </w:tc>
        <w:tc>
          <w:tcPr>
            <w:tcW w:w="4876" w:type="dxa"/>
            <w:tcBorders>
              <w:top w:val="nil"/>
              <w:left w:val="nil"/>
              <w:bottom w:val="nil"/>
              <w:right w:val="nil"/>
            </w:tcBorders>
          </w:tcPr>
          <w:p>
            <w:pPr>
              <w:pStyle w:val="Normal6a"/>
            </w:pPr>
            <w:r>
              <w:t>8.</w:t>
            </w:r>
            <w:r>
              <w:tab/>
            </w:r>
            <w:r>
              <w:t xml:space="preserve">prima na znanje ulogu AMLA-e u jačanju borbe EU-a protiv pranja novca i financiranja terorizma; poziva na dosljednu </w:t>
            </w:r>
            <w:r>
              <w:rPr>
                <w:b/>
                <w:i/>
              </w:rPr>
              <w:t>primjenu</w:t>
            </w:r>
            <w:r>
              <w:t xml:space="preserve">, pojačanu suradnju, razmjenu informacija i koordiniranu provedbu </w:t>
            </w:r>
            <w:r>
              <w:rPr>
                <w:b/>
                <w:i/>
              </w:rPr>
              <w:t>u cijeloj Uniji, uz izbjegavanje nepotrebnih regulatornih preklapanja i prekomjernog administrativnog opterećenja za financijske institucije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ulogu AMLA-e u jačanju borbe EU-a protiv pranja novca i financiranja terorizma; poziva na dosljednu provedbu, pojačanu suradnju, razmjenu informacija i koordiniranu provedbu diljem EU-a;</w:t>
            </w:r>
          </w:p>
        </w:tc>
        <w:tc>
          <w:tcPr>
            <w:tcW w:w="4876" w:type="dxa"/>
            <w:tcBorders>
              <w:top w:val="nil"/>
              <w:left w:val="nil"/>
              <w:bottom w:val="nil"/>
              <w:right w:val="nil"/>
            </w:tcBorders>
          </w:tcPr>
          <w:p>
            <w:pPr>
              <w:pStyle w:val="Normal6a"/>
            </w:pPr>
            <w:r>
              <w:t>8.</w:t>
            </w:r>
            <w:r>
              <w:tab/>
            </w:r>
            <w:r>
              <w:t xml:space="preserve">prima na znanje ulogu AMLA-e u jačanju borbe EU-a protiv pranja novca i financiranja terorizma; poziva na dosljednu provedbu, pojačanu suradnju, razmjenu informacija i koordiniranu provedbu diljem EU-a; </w:t>
            </w:r>
            <w:r>
              <w:rPr>
                <w:b/>
                <w:i/>
              </w:rPr>
              <w:t>naglašava potrebu za učinkovitom suradnjom između AMLA-e i europskih nadzornih tijela i bonitetnih tijela;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naglašava potrebu za pojednostavljenjem europskog regulatornog i nadzornog okvira te okvira za izvješćivanje za banke kako bi se uklonila složenost koja nepotrebno utječe na konkurentnost europskih banaka i njihovu sposobnost učinkovitog pružanja usluga realnom gospodarstvu;</w:t>
            </w:r>
            <w:r>
              <w:t xml:space="preserve"> </w:t>
            </w:r>
            <w:r>
              <w:rPr>
                <w:b/>
                <w:i/>
              </w:rPr>
              <w:t>ističe da napori za pojednostavnjenje ne bi trebali utjecati na otpornost banaka, financijsku stabilnost ili učinkovitost okvira za sanaciju;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ističe da je pouzdano, dosljedno i pravodobno financijsko izvješćivanje ključno za nadzor i stabilnost;</w:t>
            </w:r>
            <w:r>
              <w:t xml:space="preserve"> naglašava da </w:t>
            </w:r>
            <w:r>
              <w:rPr>
                <w:b/>
                <w:i/>
              </w:rPr>
              <w:t>se pojednostavnjenjem ne smiju</w:t>
            </w:r>
            <w:r>
              <w:t xml:space="preserve"> oslabiti </w:t>
            </w:r>
            <w:r>
              <w:rPr>
                <w:b/>
                <w:i/>
              </w:rPr>
              <w:t>bonitetni standardi, standardi</w:t>
            </w:r>
            <w:r>
              <w:t xml:space="preserve"> zaštite potrošača </w:t>
            </w:r>
            <w:r>
              <w:rPr>
                <w:b/>
                <w:i/>
              </w:rPr>
              <w:t>i standardi</w:t>
            </w:r>
            <w:r>
              <w:t xml:space="preserve"> stabilnosti; poziva na </w:t>
            </w:r>
            <w:r>
              <w:rPr>
                <w:b/>
                <w:i/>
              </w:rPr>
              <w:t>uravnotežen i integriraniji pristup sa zajedničkim rječnikom</w:t>
            </w:r>
            <w:r>
              <w:t xml:space="preserve"> podataka </w:t>
            </w:r>
            <w:r>
              <w:rPr>
                <w:b/>
                <w:i/>
              </w:rPr>
              <w:t>i repozitorijem zahtjeva kako bi se smanjila nepotrebna složenost uz istodobno očuvanje otpornosti okvira bankovne unije</w:t>
            </w:r>
            <w:r>
              <w:t>;</w:t>
            </w:r>
          </w:p>
        </w:tc>
        <w:tc>
          <w:tcPr>
            <w:tcW w:w="4876" w:type="dxa"/>
            <w:tcBorders>
              <w:top w:val="nil"/>
              <w:left w:val="nil"/>
              <w:bottom w:val="nil"/>
              <w:right w:val="nil"/>
            </w:tcBorders>
          </w:tcPr>
          <w:p>
            <w:pPr>
              <w:pStyle w:val="Normal6a"/>
            </w:pPr>
            <w:r>
              <w:t>9.</w:t>
            </w:r>
            <w:r>
              <w:tab/>
            </w:r>
            <w:r>
              <w:t xml:space="preserve">naglašava da </w:t>
            </w:r>
            <w:r>
              <w:rPr>
                <w:b/>
                <w:i/>
              </w:rPr>
              <w:t>regulatorno pojednostavnjenje ne smije</w:t>
            </w:r>
            <w:r>
              <w:t xml:space="preserve"> oslabiti </w:t>
            </w:r>
            <w:r>
              <w:rPr>
                <w:b/>
                <w:i/>
              </w:rPr>
              <w:t>bonitetne standarde, standarde</w:t>
            </w:r>
            <w:r>
              <w:t xml:space="preserve"> zaštite potrošača </w:t>
            </w:r>
            <w:r>
              <w:rPr>
                <w:b/>
                <w:i/>
              </w:rPr>
              <w:t>ili standarde</w:t>
            </w:r>
            <w:r>
              <w:t xml:space="preserve"> stabilnosti</w:t>
            </w:r>
            <w:r>
              <w:rPr>
                <w:b/>
                <w:i/>
              </w:rPr>
              <w:t>, već ih učiniti učinkovitijima i proporcionalnijima za krajnju svrhu</w:t>
            </w:r>
            <w:r>
              <w:t xml:space="preserve">; poziva na </w:t>
            </w:r>
            <w:r>
              <w:rPr>
                <w:b/>
                <w:i/>
              </w:rPr>
              <w:t>jačanje digitalnog razvoja, posebno umjetne inteligencije, za nadzorne dužnosti;</w:t>
            </w:r>
            <w:r>
              <w:t xml:space="preserve"> </w:t>
            </w:r>
            <w:r>
              <w:rPr>
                <w:b/>
                <w:i/>
              </w:rPr>
              <w:t>potiče nadzorna i regulatorna tijela da smanje troškove usklađivanja i izvješćivanja za regulirane subjekte većom razmjenom</w:t>
            </w:r>
            <w:r>
              <w:t xml:space="preserve"> podataka </w:t>
            </w:r>
            <w:r>
              <w:rPr>
                <w:b/>
                <w:i/>
              </w:rPr>
              <w:t>među različitim tijelima i istraživanjem mogućnosti da umjetna inteligencija prijeđe s modela „push”, kojim se reguliraju podaci iz nadziranih institucija, na model „pull”, kojim se nadzornim tijelima omogućuje pristup granularnoj razini podataka od strane nadziranih institucija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ističe da je pouzdano, dosljedno i pravodobno financijsko izvješćivanje ključno za nadzor i stabilnost; naglašava </w:t>
            </w:r>
            <w:r>
              <w:rPr>
                <w:b/>
                <w:i/>
              </w:rPr>
              <w:t>da se pojednostavnjenjem ne smiju oslabiti bonitetni standardi, standardi</w:t>
            </w:r>
            <w:r>
              <w:t xml:space="preserve"> zaštite potrošača </w:t>
            </w:r>
            <w:r>
              <w:rPr>
                <w:b/>
                <w:i/>
              </w:rPr>
              <w:t>i standardi</w:t>
            </w:r>
            <w:r>
              <w:t xml:space="preserve"> stabilnosti; poziva na uravnotežen i integriraniji pristup </w:t>
            </w:r>
            <w:r>
              <w:rPr>
                <w:b/>
                <w:i/>
              </w:rPr>
              <w:t>sa zajedničkim rječnikom podataka i repozitorijem zahtjeva</w:t>
            </w:r>
            <w:r>
              <w:t xml:space="preserve"> kako bi se </w:t>
            </w:r>
            <w:r>
              <w:rPr>
                <w:b/>
                <w:i/>
              </w:rPr>
              <w:t>smanjila nepotrebna složenost uz istodobno očuvanje otpornosti okvira bankovne unije</w:t>
            </w:r>
            <w:r>
              <w:t>;</w:t>
            </w:r>
          </w:p>
        </w:tc>
        <w:tc>
          <w:tcPr>
            <w:tcW w:w="4876" w:type="dxa"/>
            <w:tcBorders>
              <w:top w:val="nil"/>
              <w:left w:val="nil"/>
              <w:bottom w:val="nil"/>
              <w:right w:val="nil"/>
            </w:tcBorders>
          </w:tcPr>
          <w:p>
            <w:pPr>
              <w:pStyle w:val="Normal6a"/>
            </w:pPr>
            <w:r>
              <w:t>9.</w:t>
            </w:r>
            <w:r>
              <w:tab/>
            </w:r>
            <w:r>
              <w:t xml:space="preserve">ističe da je pouzdano, dosljedno i pravodobno financijsko izvješćivanje ključno za nadzor i stabilnost; naglašava </w:t>
            </w:r>
            <w:r>
              <w:rPr>
                <w:b/>
                <w:i/>
              </w:rPr>
              <w:t>važnost pravne sigurnosti, predvidljivosti i stabilnosti za bankarski sektor;</w:t>
            </w:r>
            <w:r>
              <w:t xml:space="preserve"> </w:t>
            </w:r>
            <w:r>
              <w:rPr>
                <w:b/>
                <w:i/>
              </w:rPr>
              <w:t>u tom pogledu ističe potrebu za daljnjim mjerama kojima se promiču digitalizacija i pojednostavnjenje uz istodobno održavanje bonitetnih standarda, standarda</w:t>
            </w:r>
            <w:r>
              <w:t xml:space="preserve"> zaštite potrošača </w:t>
            </w:r>
            <w:r>
              <w:rPr>
                <w:b/>
                <w:i/>
              </w:rPr>
              <w:t>ili standarda</w:t>
            </w:r>
            <w:r>
              <w:t xml:space="preserve"> stabilnosti; poziva na uravnotežen i integriraniji pristup </w:t>
            </w:r>
            <w:r>
              <w:rPr>
                <w:b/>
                <w:i/>
              </w:rPr>
              <w:t>kao što je centralizirani podatkovni centar, koji se temelji na standardiziranim definicijama i dijeli među tijelima</w:t>
            </w:r>
            <w:r>
              <w:t xml:space="preserve"> kako bi se </w:t>
            </w:r>
            <w:r>
              <w:rPr>
                <w:b/>
                <w:i/>
              </w:rPr>
              <w:t>smanjilo udvostručavanje, poboljšala kvaliteta podataka i smanjilo administrativno opterećenje banaka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ističe da je pouzdano, dosljedno i pravodobno financijsko izvješćivanje ključno za nadzor i stabilnost; </w:t>
            </w:r>
            <w:r>
              <w:rPr>
                <w:b/>
                <w:i/>
              </w:rPr>
              <w:t>naglašava da se</w:t>
            </w:r>
            <w:r>
              <w:t xml:space="preserve"> pojednostavnjenjem </w:t>
            </w:r>
            <w:r>
              <w:rPr>
                <w:b/>
                <w:i/>
              </w:rPr>
              <w:t>ne smiju oslabiti bonitetni standardi, standardi zaštite potrošača i standardi stabilnosti;</w:t>
            </w:r>
            <w:r>
              <w:t xml:space="preserve"> </w:t>
            </w:r>
            <w:r>
              <w:rPr>
                <w:b/>
                <w:i/>
              </w:rPr>
              <w:t>poziva na uravnotežen i integriraniji pristup sa zajedničkim rječnikom podataka i repozitorijem zahtjeva kako bi se smanjila nepotrebna složenost uz istodobno očuvanje otpornosti okvira bankovne unije</w:t>
            </w:r>
            <w:r>
              <w:t>;</w:t>
            </w:r>
          </w:p>
        </w:tc>
        <w:tc>
          <w:tcPr>
            <w:tcW w:w="4876" w:type="dxa"/>
            <w:tcBorders>
              <w:top w:val="nil"/>
              <w:left w:val="nil"/>
              <w:bottom w:val="nil"/>
              <w:right w:val="nil"/>
            </w:tcBorders>
          </w:tcPr>
          <w:p>
            <w:pPr>
              <w:pStyle w:val="Normal6a"/>
            </w:pPr>
            <w:r>
              <w:t>9.</w:t>
            </w:r>
            <w:r>
              <w:tab/>
            </w:r>
            <w:r>
              <w:t xml:space="preserve">ističe da je pouzdano, dosljedno i pravodobno financijsko izvješćivanje ključno za nadzor i stabilnost; </w:t>
            </w:r>
            <w:r>
              <w:rPr>
                <w:b/>
                <w:i/>
              </w:rPr>
              <w:t>napominje, međutim, potrebu za</w:t>
            </w:r>
            <w:r>
              <w:t xml:space="preserve"> pojednostavnjenjem</w:t>
            </w:r>
            <w:r>
              <w:rPr>
                <w:b/>
                <w:i/>
              </w:rPr>
              <w:t>, posebno za manje subjekte;</w:t>
            </w:r>
            <w:r>
              <w:t xml:space="preserve"> </w:t>
            </w:r>
            <w:r>
              <w:rPr>
                <w:b/>
                <w:i/>
              </w:rPr>
              <w:t>smatra da bi zahtjevi u tom području trebali biti razmjerni i prilagođeni posebnostima europskog bankarskog sektora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ističe da je pouzdano, dosljedno i pravodobno financijsko izvješćivanje ključno za nadzor i stabilnost; naglašava da </w:t>
            </w:r>
            <w:r>
              <w:rPr>
                <w:b/>
                <w:i/>
              </w:rPr>
              <w:t>se pojednostavnjenjem ne smiju oslabiti bonitetni standardi, standardi zaštite</w:t>
            </w:r>
            <w:r>
              <w:t xml:space="preserve"> potrošača </w:t>
            </w:r>
            <w:r>
              <w:rPr>
                <w:b/>
                <w:i/>
              </w:rPr>
              <w:t>i standardi</w:t>
            </w:r>
            <w:r>
              <w:t xml:space="preserve"> stabilnosti; </w:t>
            </w:r>
            <w:r>
              <w:rPr>
                <w:b/>
                <w:i/>
              </w:rPr>
              <w:t>poziva na uravnotežen i integriraniji pristup sa zajedničkim rječnikom podataka i repozitorijem zahtjeva kako bi se smanjila nepotrebna složenost uz istodobno očuvanje otpornosti okvira bankovne unije;</w:t>
            </w:r>
          </w:p>
        </w:tc>
        <w:tc>
          <w:tcPr>
            <w:tcW w:w="4876" w:type="dxa"/>
            <w:tcBorders>
              <w:top w:val="nil"/>
              <w:left w:val="nil"/>
              <w:bottom w:val="nil"/>
              <w:right w:val="nil"/>
            </w:tcBorders>
          </w:tcPr>
          <w:p>
            <w:pPr>
              <w:pStyle w:val="Normal6a"/>
            </w:pPr>
            <w:r>
              <w:t>9.</w:t>
            </w:r>
            <w:r>
              <w:tab/>
            </w:r>
            <w:r>
              <w:t xml:space="preserve">ističe da je pouzdano, dosljedno i pravodobno financijsko izvješćivanje ključno za nadzor i stabilnost; naglašava da </w:t>
            </w:r>
            <w:r>
              <w:rPr>
                <w:b/>
                <w:i/>
              </w:rPr>
              <w:t>bi pojednostavnjenje trebalo biti usmjereno na uklanjanje udvostručavanja i nepotrebne složenosti, a da se pritom ne oslabe bonitetna pravila, pravila o zaštiti</w:t>
            </w:r>
            <w:r>
              <w:t xml:space="preserve"> potrošača </w:t>
            </w:r>
            <w:r>
              <w:rPr>
                <w:b/>
                <w:i/>
              </w:rPr>
              <w:t>ili pravila o</w:t>
            </w:r>
            <w:r>
              <w:t xml:space="preserve"> stabilnosti;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ističe da je pouzdano, dosljedno i pravodobno financijsko izvješćivanje ključno za nadzor i stabilnost; </w:t>
            </w:r>
            <w:r>
              <w:rPr>
                <w:b/>
                <w:i/>
              </w:rPr>
              <w:t>naglašava da se pojednostavnjenjem ne smiju oslabiti bonitetni standardi, standardi zaštite potrošača i standardi stabilnosti;</w:t>
            </w:r>
            <w:r>
              <w:t xml:space="preserve"> poziva na uravnotežen i integriraniji pristup sa zajedničkim rječnikom podataka i repozitorijem zahtjeva kako bi se smanjila nepotrebna složenost uz istodobno očuvanje otpornosti okvira bankovne unije;</w:t>
            </w:r>
          </w:p>
        </w:tc>
        <w:tc>
          <w:tcPr>
            <w:tcW w:w="4876" w:type="dxa"/>
            <w:tcBorders>
              <w:top w:val="nil"/>
              <w:left w:val="nil"/>
              <w:bottom w:val="nil"/>
              <w:right w:val="nil"/>
            </w:tcBorders>
          </w:tcPr>
          <w:p>
            <w:pPr>
              <w:pStyle w:val="Normal6a"/>
            </w:pPr>
            <w:r>
              <w:t>9.</w:t>
            </w:r>
            <w:r>
              <w:tab/>
            </w:r>
            <w:r>
              <w:t>ističe da je pouzdano, dosljedno i pravodobno financijsko izvješćivanje ključno za nadzor i stabilnost; poziva na uravnotežen</w:t>
            </w:r>
            <w:r>
              <w:rPr>
                <w:b/>
                <w:i/>
              </w:rPr>
              <w:t>, manje opterećujuć</w:t>
            </w:r>
            <w:r>
              <w:t xml:space="preserve"> i integriraniji pristup </w:t>
            </w:r>
            <w:r>
              <w:rPr>
                <w:b/>
                <w:i/>
              </w:rPr>
              <w:t>nadzornom izvješćivanju</w:t>
            </w:r>
            <w:r>
              <w:t xml:space="preserve"> sa zajedničkim rječnikom podataka i repozitorijem zahtjeva kako bi se smanjila nepotrebna složenost uz istodobno očuvanje otpornosti okvira bankovne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ističe da je pouzdano, dosljedno i pravodobno financijsko izvješćivanje ključno za nadzor i stabilnost; naglašava da se pojednostavnjenjem ne smiju oslabiti bonitetni standardi, standardi zaštite potrošača i standardi stabilnosti; poziva na uravnotežen i integriraniji pristup sa zajedničkim rječnikom podataka i repozitorijem zahtjeva kako bi se smanjila nepotrebna složenost uz istodobno očuvanje otpornosti okvira bankovne unije;</w:t>
            </w:r>
          </w:p>
        </w:tc>
        <w:tc>
          <w:tcPr>
            <w:tcW w:w="4876" w:type="dxa"/>
            <w:tcBorders>
              <w:top w:val="nil"/>
              <w:left w:val="nil"/>
              <w:bottom w:val="nil"/>
              <w:right w:val="nil"/>
            </w:tcBorders>
          </w:tcPr>
          <w:p>
            <w:pPr>
              <w:pStyle w:val="Normal6a"/>
            </w:pPr>
            <w:r>
              <w:t>9.</w:t>
            </w:r>
            <w:r>
              <w:tab/>
            </w:r>
            <w:r>
              <w:t xml:space="preserve">ističe da je pouzdano, dosljedno i pravodobno financijsko izvješćivanje ključno za nadzor i stabilnost; naglašava da se pojednostavnjenjem ne smiju oslabiti bonitetni standardi </w:t>
            </w:r>
            <w:r>
              <w:rPr>
                <w:b/>
                <w:i/>
              </w:rPr>
              <w:t>i otpornost</w:t>
            </w:r>
            <w:r>
              <w:t>, standardi zaštite potrošača i standardi stabilnosti; poziva na uravnotežen i integriraniji pristup sa zajedničkim rječnikom podataka i repozitorijem zahtjeva kako bi se smanjila nepotrebna složenost uz istodobno očuvanje otpornosti okvira bankovne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napominje da se bankarski sektor suočava s brojnim preklapajućim, fragmentiranim i ponekad proturječnim pravilima;</w:t>
            </w:r>
            <w:r>
              <w:t xml:space="preserve"> </w:t>
            </w:r>
            <w:r>
              <w:rPr>
                <w:b/>
                <w:i/>
              </w:rPr>
              <w:t>pozdravlja predstojeću sveobuhvatnu reviziju konkurentnosti bankarskog sektora EU-a 2026. koju će provesti Komisija;</w:t>
            </w:r>
            <w:r>
              <w:t xml:space="preserve"> </w:t>
            </w:r>
            <w:r>
              <w:rPr>
                <w:b/>
                <w:i/>
              </w:rPr>
              <w:t>poziva Komisiju da smanji nepotrebna regulatorna opterećenja za bankarski sektor kako se ne bi ugrozila njegova konkurentnost;</w:t>
            </w:r>
            <w:r>
              <w:t xml:space="preserve"> </w:t>
            </w:r>
            <w:r>
              <w:rPr>
                <w:b/>
                <w:i/>
              </w:rPr>
              <w:t>u tom pogledu poziva Komisiju da uvede provjere konkurentnosti za sve novo zakonodavstvo, da pojednostavni zakonodavne postupke kao što su smanjenje broja klauzula o automatskom preispitivanju i moratorij na nova pravila koja nisu ključna, kao i sustavno ukidanje suvišnih obveza izvješćivanja ili objavljivanja;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poziva na to da se nadzornim tijelima olakša izbjegavanje nepotrebnih ograničenja u primjeni digitalnih inovativnih alata kojima se općenito mogu povećati produktivnost i konkurentnost;</w:t>
            </w:r>
            <w:r>
              <w:t xml:space="preserve"> </w:t>
            </w:r>
            <w:r>
              <w:rPr>
                <w:b/>
                <w:i/>
              </w:rPr>
              <w:t>potiče na primjenu proporcionalnog pristupa koji se temelji na načelima i kojim se izbjegava stvaranje prepreka inovacijama;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pozdravlja radnu skupinu Europske središnje banke na visokoj razini za pojednostavnjenje;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naglašava važnost osiguravanja proporcionalnosti u bankovnom regulatornom okviru EU-a, uzimajući u obzir veličinu i složenost različitih institucija;</w:t>
            </w:r>
            <w:r>
              <w:t xml:space="preserve"> </w:t>
            </w:r>
            <w:r>
              <w:rPr>
                <w:b/>
                <w:i/>
              </w:rPr>
              <w:t>naglašava važnost malih banaka u podupiranju MSP-ova i lokalnih gospodarstava te poziva Komisiju da svaka uredba ostane osjetljiva na rizik, uravnotežena i da podupire raznolik i konkurentan bankarski sektor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prepoznaje </w:t>
            </w:r>
            <w:r>
              <w:rPr>
                <w:b/>
                <w:i/>
              </w:rPr>
              <w:t>institucionalni i regulatorni napredak zahvaljujući kojem je ojačana otpornost banaka europodručja</w:t>
            </w:r>
            <w:r>
              <w:t xml:space="preserve">; napominje da i dalje </w:t>
            </w:r>
            <w:r>
              <w:rPr>
                <w:b/>
                <w:i/>
              </w:rPr>
              <w:t>postoje prepreke za oslobađanje punog potencijala jedinstvenog tržišta EU-a za financijske usluge</w:t>
            </w:r>
            <w:r>
              <w:t xml:space="preserve">; </w:t>
            </w:r>
            <w:r>
              <w:rPr>
                <w:b/>
                <w:i/>
              </w:rPr>
              <w:t>poziva Komisiju, države članice i tijela EU-a da usklade ambicije s konkretnim koracima za dovršetak unije za štednju i ulaganja i jedinstvenog tržišta, čime bi se potaknuli pojednostavnjenje i konkurentnost;</w:t>
            </w:r>
          </w:p>
        </w:tc>
        <w:tc>
          <w:tcPr>
            <w:tcW w:w="4876" w:type="dxa"/>
            <w:tcBorders>
              <w:top w:val="nil"/>
              <w:left w:val="nil"/>
              <w:bottom w:val="nil"/>
              <w:right w:val="nil"/>
            </w:tcBorders>
          </w:tcPr>
          <w:p>
            <w:pPr>
              <w:pStyle w:val="Normal6a"/>
            </w:pPr>
            <w:r>
              <w:t>10.</w:t>
            </w:r>
            <w:r>
              <w:tab/>
            </w:r>
            <w:r>
              <w:t xml:space="preserve">prepoznaje </w:t>
            </w:r>
            <w:r>
              <w:rPr>
                <w:b/>
                <w:i/>
              </w:rPr>
              <w:t>institucionalna kretanja u pogledu otpornosti</w:t>
            </w:r>
            <w:r>
              <w:t xml:space="preserve">; napominje da </w:t>
            </w:r>
            <w:r>
              <w:rPr>
                <w:b/>
                <w:i/>
              </w:rPr>
              <w:t>aktualno regulatorno širenje</w:t>
            </w:r>
            <w:r>
              <w:t xml:space="preserve"> i dalje </w:t>
            </w:r>
            <w:r>
              <w:rPr>
                <w:b/>
                <w:i/>
              </w:rPr>
              <w:t>ugrožava stvarni potencijal europskog bankarskog sektora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prepoznaje institucionalni i regulatorni napredak zahvaljujući kojem je ojačana otpornost banaka </w:t>
            </w:r>
            <w:r>
              <w:rPr>
                <w:b/>
                <w:i/>
              </w:rPr>
              <w:t>europodručja</w:t>
            </w:r>
            <w:r>
              <w:t xml:space="preserve">; napominje da i dalje postoje prepreke za oslobađanje punog potencijala jedinstvenog tržišta EU-a za financijske usluge; poziva Komisiju, države članice i tijela EU-a da usklade ambicije s konkretnim koracima za dovršetak unije za štednju i ulaganja i jedinstvenog tržišta, </w:t>
            </w:r>
            <w:r>
              <w:rPr>
                <w:b/>
                <w:i/>
              </w:rPr>
              <w:t>čime bi se potaknuli pojednostavnjenje i konkurentnost</w:t>
            </w:r>
            <w:r>
              <w:t>;</w:t>
            </w:r>
          </w:p>
        </w:tc>
        <w:tc>
          <w:tcPr>
            <w:tcW w:w="4876" w:type="dxa"/>
            <w:tcBorders>
              <w:top w:val="nil"/>
              <w:left w:val="nil"/>
              <w:bottom w:val="nil"/>
              <w:right w:val="nil"/>
            </w:tcBorders>
          </w:tcPr>
          <w:p>
            <w:pPr>
              <w:pStyle w:val="Normal6a"/>
            </w:pPr>
            <w:r>
              <w:t>10.</w:t>
            </w:r>
            <w:r>
              <w:tab/>
            </w:r>
            <w:r>
              <w:t xml:space="preserve">prepoznaje institucionalni i regulatorni napredak zahvaljujući kojem je ojačana otpornost banaka </w:t>
            </w:r>
            <w:r>
              <w:rPr>
                <w:b/>
                <w:i/>
              </w:rPr>
              <w:t>EU-a</w:t>
            </w:r>
            <w:r>
              <w:t xml:space="preserve">; napominje da i dalje postoje prepreke za oslobađanje punog potencijala jedinstvenog tržišta EU-a za financijske usluge; poziva Komisiju, države članice i tijela EU-a da usklade ambicije s konkretnim koracima za dovršetak unije za štednju i ulaganja i jedinstvenog tržišta, </w:t>
            </w:r>
            <w:r>
              <w:rPr>
                <w:b/>
                <w:i/>
              </w:rPr>
              <w:t>u cilju otključavanja potrebnih ulaganja u pravednu zelenu tranziciju</w:t>
            </w:r>
            <w:r>
              <w:t xml:space="preserve">; </w:t>
            </w:r>
            <w:r>
              <w:rPr>
                <w:b/>
                <w:i/>
              </w:rPr>
              <w:t>ističe važnost Uredbe o taksonomiji za takav pothvat;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prepoznaje institucionalni i regulatorni napredak zahvaljujući kojem je ojačana otpornost banaka europodručja; napominje da i dalje postoje prepreke za oslobađanje punog potencijala jedinstvenog tržišta EU-a za financijske usluge; poziva Komisiju, države članice i tijela EU-a da usklade ambicije s konkretnim koracima za dovršetak unije za štednju i ulaganja i jedinstvenog tržišta, čime bi se potaknuli pojednostavnjenje i konkurentnost;</w:t>
            </w:r>
          </w:p>
        </w:tc>
        <w:tc>
          <w:tcPr>
            <w:tcW w:w="4876" w:type="dxa"/>
            <w:tcBorders>
              <w:top w:val="nil"/>
              <w:left w:val="nil"/>
              <w:bottom w:val="nil"/>
              <w:right w:val="nil"/>
            </w:tcBorders>
          </w:tcPr>
          <w:p>
            <w:pPr>
              <w:pStyle w:val="Normal6a"/>
            </w:pPr>
            <w:r>
              <w:t>10.</w:t>
            </w:r>
            <w:r>
              <w:tab/>
            </w:r>
            <w:r>
              <w:t xml:space="preserve">prepoznaje institucionalni i regulatorni napredak zahvaljujući kojem je ojačana otpornost banaka europodručja; napominje da i dalje postoje </w:t>
            </w:r>
            <w:r>
              <w:rPr>
                <w:b/>
                <w:i/>
              </w:rPr>
              <w:t>značajne</w:t>
            </w:r>
            <w:r>
              <w:t xml:space="preserve"> prepreke za oslobađanje punog potencijala jedinstvenog tržišta EU-a za financijske usluge; poziva Komisiju, države članice i tijela EU-a da usklade ambicije s konkretnim koracima za dovršetak unije za štednju i ulaganja i jedinstvenog tržišta, čime bi se potaknuli pojednostavnjenje i konkurentnost; </w:t>
            </w:r>
            <w:r>
              <w:rPr>
                <w:b/>
                <w:i/>
              </w:rPr>
              <w:t>poziva Komisiju da bude ambiciozna i odvažna u svojem izvješću za 2026. o konkurentnosti bankarskog sektora EU-a, da nadilazi samo pojednostavnjenje i iznese konkretne i provedive prijedloge za jačanje integracije tržišta, jednakih uvjeta na međunarodnoj razini i konkurentnosti europskih banaka;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naglašava da bi, s obzirom na aktualnu geopolitičku nesigurnost, potencijalno precijenjena tržišta dionica i nedavne slučajeve previranja u SAD-u nakon netransparentnog kreditiranja u nebankarskom (privatnom) sektoru, nadzorna tijela trebala zadržati perspektivu usmjerenu na budućnost i u dovoljnoj mjeri pratiti rizike te da bi banke trebale održavati odgovarajuće zaštitne slojeve kapitala i biti operativno otporne;</w:t>
            </w:r>
            <w:r>
              <w:t xml:space="preserve"> </w:t>
            </w:r>
            <w:r>
              <w:rPr>
                <w:b/>
                <w:i/>
              </w:rPr>
              <w:t>u tom pogledu ističe potrebu za poboljšanjem nadzora i otpornosti nebankarskih financijskih posrednika;</w:t>
            </w:r>
            <w:r>
              <w:t xml:space="preserve"> </w:t>
            </w:r>
            <w:r>
              <w:rPr>
                <w:b/>
                <w:i/>
              </w:rPr>
              <w:t>ističe da razborit nadzor danas može zaštititi porezne obveznike, deponente i realno gospodarstvo od budućih gubitaka;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potiče sve veću upotrebu umjetne inteligencije u bankarskom sektoru, prepoznajući njezin potencijal za poboljšanje učinkovitosti, inovacija i potrošačkih usluga te za jačanje sprečavanja prijevara;</w:t>
            </w:r>
            <w:r>
              <w:t xml:space="preserve"> </w:t>
            </w:r>
            <w:r>
              <w:rPr>
                <w:b/>
                <w:i/>
              </w:rPr>
              <w:t>naglašava da regulacija na razini EU-a ne smije postati prepreka tehnološkim inovacijama i prihvaćanju u bankarskom sektoru stvaranjem nesigurnosti i zbunjenosti među sudionicima na tržištu u pogledu usklađene upotrebe umjetne inteligencije;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pozdravlja izvješće ESB-a o pojednostavnjenju europskog bonitetnog regulatornog i nadzornog okvira te okvira za izvješćivanje iz prosinca 2025. i izvješće EBA-e o učinkovitosti regulatornog i nadzornog okvira;</w:t>
            </w:r>
            <w:r>
              <w:t xml:space="preserve"> </w:t>
            </w:r>
            <w:r>
              <w:rPr>
                <w:b/>
                <w:i/>
              </w:rPr>
              <w:t>poziva Komisiju da poduzme daljnje mjere i dodatno razradi prijedloge sadržane u tim izvješćima u okviru svoje predstojeće revizije konkurentnosti bankovne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ESB da poduzme prikladne mjere za uklanjanje svih prepreka koje ometaju oporavak kratkoročnih neosiguranih međubankovnih tržišta koja su znatno smanjena od velike financijske krize;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smatra da temeljno pitanje institucija koje su prevelike da bi se dopustilo njihovo propadanje nije riješeno na odgovarajući način te da je strukturna reforma i dalje opravdana;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pozdravlja ambiciju Komisije da 2026. razmotri konkurentnost europskog bankarskog sektora;</w:t>
            </w:r>
            <w:r>
              <w:t xml:space="preserve"> </w:t>
            </w:r>
            <w:r>
              <w:rPr>
                <w:b/>
                <w:i/>
              </w:rPr>
              <w:t>poziva Komisiju da predstavi ambiciozno izvješće popraćeno zakonodavnim prijedlozima za materijalno poboljšanje konkurentnosti europskog bankarskog sektora;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potiče ESB da ukloni sve postojeće prepreke koje ometaju prekogranična spajanja banaka kojima se, uz jamčenje financijske stabilnosti, pomaže u integraciji europskog bankarskog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naglašava da se europska bankovna pravila moraju bolje prilagoditi veličini, poslovnom modelu, složenosti i profilu rizičnosti institucija;</w:t>
            </w:r>
            <w:r>
              <w:t xml:space="preserve"> </w:t>
            </w:r>
            <w:r>
              <w:rPr>
                <w:b/>
                <w:i/>
              </w:rPr>
              <w:t>ističe da su se druge velike jurisdikcije odlučile za poseban i proporcionalniji režim za male banke;</w:t>
            </w:r>
            <w:r>
              <w:t xml:space="preserve"> </w:t>
            </w:r>
            <w:r>
              <w:rPr>
                <w:b/>
                <w:i/>
              </w:rPr>
              <w:t>poziva Komisiju da predstojeću reviziju bankovne konkurentnosti iskoristi kao priliku za razvoj istinskog malog bankarskog sustava za male banke koje nisu međunarodno aktivne, koji je znatno blaži od vrlo složenih bonitetnih i nadzornih zahtjeva koji se trenutačno primjenjuju na sve europske banke i koji su prvenstveno osmišljeni za velike, međunarodno aktivne i sistemski relevantne bankarske grupe;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napominje da bi propisi koji utječu na bankarski sektor mogli biti proporcionalniji i žali zbog preopterećenja koje male banke snose zbog sprečavanja rasta i povećanja konkurentnosti; potiče na osmišljavanje potpuno istinskog skupa pravila za male banke koje bi mogle sudjelovati;</w:t>
            </w:r>
            <w:r>
              <w:t xml:space="preserve"> </w:t>
            </w:r>
            <w:r>
              <w:rPr>
                <w:b/>
                <w:i/>
              </w:rPr>
              <w:t>smatra da se predloženim „režimom malih banaka” odgovara na potrebe tih banaka proporcionalnijom regulativom, kao što su to već učinile druge jurisdikcije i globalni financijski centri;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sa zabrinutošću napominje da je izloženost banaka domaćem državnom dugu i dalje vrlo visoka;</w:t>
            </w:r>
            <w:r>
              <w:t xml:space="preserve"> </w:t>
            </w:r>
            <w:r>
              <w:rPr>
                <w:b/>
                <w:i/>
              </w:rPr>
              <w:t>podsjeća na to da je prekid veze između bankovnog i državnog rizika i dalje izazov za bankovnu uniju;</w:t>
            </w:r>
            <w:r>
              <w:t xml:space="preserve"> </w:t>
            </w:r>
            <w:r>
              <w:rPr>
                <w:b/>
                <w:i/>
              </w:rPr>
              <w:t>naglašava da se rizik u bilancama banaka može dodatno smanjiti prikladnijim regulatornim tretmanom izloženosti javnom dugu;</w:t>
            </w:r>
            <w:r>
              <w:t xml:space="preserve"> </w:t>
            </w:r>
            <w:r>
              <w:rPr>
                <w:b/>
                <w:i/>
              </w:rPr>
              <w:t>poziva Komisiju da predstavi zakonodavni prijedlog kojim se uvode odgovarajući ponderi rizika za izloženost javnom dugu;</w:t>
            </w:r>
            <w:r>
              <w:t xml:space="preserve"> </w:t>
            </w:r>
            <w:r>
              <w:rPr>
                <w:b/>
                <w:i/>
              </w:rPr>
              <w:t>ističe da sve veće razine javnog duga zahtijevaju hitniji primjeren tretman izloženosti javnom dugu;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potiče daljnji napredak u sveobuhvatnom pojednostavnjenju financijskih pravila EU-a uklanjanjem suvišnih obveza izvješćivanja ili objavljivanja;</w:t>
            </w:r>
            <w:r>
              <w:t xml:space="preserve"> </w:t>
            </w:r>
            <w:r>
              <w:rPr>
                <w:b/>
                <w:i/>
              </w:rPr>
              <w:t>poziva na pojednostavljeni skup kapitala kojim se smanjuje broj preklapanja zaštitnih slojeva i nadzornih dodataka kako bi se stvorila jasnija i transparentnija hijerarhija kapitalnih zahtjeva;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ističe rascjepkanost europskog tržišta za banke koja otežava učinkovitost i stvara propise koji se preklapaju i dvostruke zahtjeve, također u području zaštite potrošača;</w:t>
            </w:r>
            <w:r>
              <w:t xml:space="preserve"> </w:t>
            </w:r>
            <w:r>
              <w:rPr>
                <w:b/>
                <w:i/>
              </w:rPr>
              <w:t>naglašava potrebu za dovršetkom jedinstvenog tržišta za banke i smanjenjem trenutačnog strukturnog izdvajanja koje prisiljava društva kćeri da drže kapital i likvidnost na lokalnoj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poziva Komisiju da razmotri mogu li se uloga i zadaće Europskog nadzornog tijela za bankarstvo dodatno razviti kako bi se bolje uzeo u obzir učinak regulatornih i nadzornih standarda na inovacije i međunarodnu konkurentnost bankarskog sektora EU-a, ne dovodeći u pitanje njegov temeljni bonitetni mandat;</w:t>
            </w:r>
            <w:r>
              <w:t xml:space="preserve"> </w:t>
            </w:r>
            <w:r>
              <w:rPr>
                <w:b/>
                <w:i/>
              </w:rPr>
              <w:t>naglašava da je poticanje razmjernih nadzornih praksi koje pogoduju inovacijama ključno kako bi se osiguralo da bankovna unija ostane otporna, konkurentna i sposobna podupirati rast u realnom gospodarstvu;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napominje da je ukupni udio redovnog osnovnog kapitala (CET1) banaka u okviru jedinstvenog nadzornog mehanizma dosegnuo </w:t>
            </w:r>
            <w:r>
              <w:rPr>
                <w:b/>
                <w:i/>
              </w:rPr>
              <w:t>16,12 % u drugom</w:t>
            </w:r>
            <w:r>
              <w:t xml:space="preserve"> tromjesečju 2025., uz povrat na kapital (ROE) od </w:t>
            </w:r>
            <w:r>
              <w:rPr>
                <w:b/>
                <w:i/>
              </w:rPr>
              <w:t>10,11</w:t>
            </w:r>
            <w:r>
              <w:t> %, dok se udio neprihodonosnih kredita smanjio na 2,22 %, dok krediti u 2. fazi iznose 9,59 %</w:t>
            </w:r>
            <w:r>
              <w:rPr>
                <w:vertAlign w:val="superscript"/>
              </w:rPr>
              <w:t>15</w:t>
            </w:r>
            <w:r>
              <w:t>; naglašava potrebu za praćenjem kreditnog rizika uz istodobno održavanje dostatnog kapitala i likvidnosti za otpornost bankarskog sektora;</w:t>
            </w:r>
          </w:p>
        </w:tc>
        <w:tc>
          <w:tcPr>
            <w:tcW w:w="4876" w:type="dxa"/>
            <w:tcBorders>
              <w:top w:val="nil"/>
              <w:left w:val="nil"/>
              <w:bottom w:val="nil"/>
              <w:right w:val="nil"/>
            </w:tcBorders>
          </w:tcPr>
          <w:p>
            <w:pPr>
              <w:pStyle w:val="Normal6a"/>
            </w:pPr>
            <w:r>
              <w:t>11.</w:t>
            </w:r>
            <w:r>
              <w:tab/>
            </w:r>
            <w:r>
              <w:t xml:space="preserve">napominje da je ukupni udio redovnog osnovnog kapitala (CET1) banaka u okviru jedinstvenog nadzornog mehanizma dosegnuo </w:t>
            </w:r>
            <w:r>
              <w:rPr>
                <w:b/>
                <w:i/>
              </w:rPr>
              <w:t>16,10 % u trećem</w:t>
            </w:r>
            <w:r>
              <w:t xml:space="preserve"> tromjesečju 2025., uz povrat na kapital (ROE) od </w:t>
            </w:r>
            <w:r>
              <w:rPr>
                <w:b/>
                <w:i/>
              </w:rPr>
              <w:t>9,88</w:t>
            </w:r>
            <w:r>
              <w:t xml:space="preserve"> %, dok se udio neprihodonosnih kredita smanjio na 2,22 %, dok krediti u 2. fazi iznose 9,59 %</w:t>
            </w:r>
            <w:r>
              <w:rPr>
                <w:vertAlign w:val="superscript"/>
              </w:rPr>
              <w:t>15</w:t>
            </w:r>
            <w:r>
              <w:t>; naglašava potrebu za praćenjem kreditnog rizika uz istodobno održavanje dostatnog kapitala i likvidnosti za otpornost bankarskog sektora;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ESB, nadzorni bankovni statistički podaci (</w:t>
            </w:r>
            <w:r>
              <w:rPr>
                <w:b/>
                <w:i/>
              </w:rPr>
              <w:t>drugo</w:t>
            </w:r>
            <w:r>
              <w:t xml:space="preserve"> tromjesečje 2025.).</w:t>
            </w:r>
          </w:p>
        </w:tc>
        <w:tc>
          <w:tcPr>
            <w:tcW w:w="4876" w:type="dxa"/>
            <w:tcBorders>
              <w:top w:val="nil"/>
              <w:left w:val="nil"/>
              <w:bottom w:val="nil"/>
              <w:right w:val="nil"/>
            </w:tcBorders>
          </w:tcPr>
          <w:p>
            <w:pPr>
              <w:pStyle w:val="Normal6a"/>
            </w:pPr>
            <w:r>
              <w:rPr>
                <w:vertAlign w:val="superscript"/>
              </w:rPr>
              <w:t>15</w:t>
            </w:r>
            <w:r>
              <w:t xml:space="preserve"> </w:t>
            </w:r>
            <w:r>
              <w:t>ESB, nadzorni bankovni statistički podaci (</w:t>
            </w:r>
            <w:r>
              <w:rPr>
                <w:b/>
                <w:i/>
              </w:rPr>
              <w:t>treće</w:t>
            </w:r>
            <w:r>
              <w:t xml:space="preserve"> tromjesečje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napominje da je ukupni udio redovnog osnovnog kapitala (CET1) banaka u okviru jedinstvenog nadzornog mehanizma dosegnuo 16,12 % u drugom tromjesečju 2025., uz povrat na kapital (ROE) od 10,11 %, dok se udio neprihodonosnih kredita smanjio na 2,22 %, dok krediti u 2. fazi iznose 9,59 %</w:t>
            </w:r>
            <w:r>
              <w:rPr>
                <w:b/>
                <w:i/>
                <w:vertAlign w:val="superscript"/>
              </w:rPr>
              <w:t>15</w:t>
            </w:r>
            <w:r>
              <w:t>; naglašava potrebu za praćenjem kreditnog rizika uz istodobno održavanje dostatnog kapitala i likvidnosti za otpornost bankarskog sektora;</w:t>
            </w:r>
          </w:p>
        </w:tc>
        <w:tc>
          <w:tcPr>
            <w:tcW w:w="4876" w:type="dxa"/>
            <w:tcBorders>
              <w:top w:val="nil"/>
              <w:left w:val="nil"/>
              <w:bottom w:val="nil"/>
              <w:right w:val="nil"/>
            </w:tcBorders>
          </w:tcPr>
          <w:p>
            <w:pPr>
              <w:pStyle w:val="Normal6a"/>
            </w:pPr>
            <w:r>
              <w:t>11.</w:t>
            </w:r>
            <w:r>
              <w:tab/>
            </w:r>
            <w:r>
              <w:t xml:space="preserve">napominje da je ukupni udio redovnog osnovnog kapitala (CET1) banaka u okviru jedinstvenog nadzornog mehanizma dosegnuo 16,12 % u drugom tromjesečju 2025., uz povrat na kapital (ROE) od 10,11 %, dok se udio neprihodonosnih kredita smanjio na 2,22 %, dok krediti u 2. fazi iznose 9,59 %; naglašava potrebu za praćenjem kreditnog rizika uz istodobno održavanje dostatnog kapitala i likvidnosti za otpornost bankarskog sektora; </w:t>
            </w:r>
            <w:r>
              <w:rPr>
                <w:b/>
                <w:i/>
              </w:rPr>
              <w:t>ističe da taj napredak u smanjenju rizika nije popraćen razmjernim napretkom u podjeli rizika;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ESB, nadzorni bankovni statistički podaci (drugo tromjesečje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ističe nepovoljne makroekonomske uvjete i geopolitičke poteškoće koji bi mogli dovesti do pogoršanja kvalitete imovine;</w:t>
            </w:r>
            <w:r>
              <w:t xml:space="preserve"> </w:t>
            </w:r>
            <w:r>
              <w:rPr>
                <w:b/>
                <w:i/>
              </w:rPr>
              <w:t>naglašava stoga važnost opreznog upravljanja rizicima i primjerenog rezerviranja;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naglašava da je izloženost banaka europodručja nacionalnom državnom dugu i dalje visoka te skreće pozornost na povezane rizike;</w:t>
            </w:r>
            <w:r>
              <w:t xml:space="preserve"> </w:t>
            </w:r>
            <w:r>
              <w:rPr>
                <w:b/>
                <w:i/>
              </w:rPr>
              <w:t>podsjeća da je jedan od glavnih ciljeva bankovne unije prekidanje veze između banaka i državnog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ističe da su Odbor za financijsku stabilnost, Europski odbor za sistemske rizike (ESRB) i druga međunarodna i europska tijela u više navrata istaknuli rizik koji proizlazi iz nebankarskog financijskog sektora, posebno zbog njegove povećane međusobne povezanosti s tradicionalnim bankarskim sektorom;</w:t>
            </w:r>
            <w:r>
              <w:t xml:space="preserve"> </w:t>
            </w:r>
            <w:r>
              <w:rPr>
                <w:b/>
                <w:i/>
              </w:rPr>
              <w:t>podržava preporuku Eurosustava o uvođenju testiranja otpornosti na stres na razini cijelog sustava radi utvrđivanja i kvantificiranja rizika za otpornost ključnih tržišta;</w:t>
            </w:r>
            <w:r>
              <w:t xml:space="preserve"> </w:t>
            </w:r>
            <w:r>
              <w:rPr>
                <w:b/>
                <w:i/>
              </w:rPr>
              <w:t>poziva Komisiju da istraži postoje li nedostaci u nadzornim alatima, među ostalim u vezi s mogućim krizama likvidnosti i implikacijama za sistemski rizik;</w:t>
            </w:r>
            <w:r>
              <w:t xml:space="preserve"> </w:t>
            </w:r>
            <w:r>
              <w:rPr>
                <w:b/>
                <w:i/>
              </w:rPr>
              <w:t>poziva Komisiju da predloži odgovarajuće zakonodavne prijedloge za zaštitu financijske stabilnosti;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w:t>
            </w:r>
            <w:r>
              <w:rPr>
                <w:b/>
                <w:i/>
              </w:rPr>
              <w:t>pravodobnu, potpunu i vjernu provedbu standarda</w:t>
            </w:r>
            <w:r>
              <w:t xml:space="preserve"> Basel III </w:t>
            </w:r>
            <w:r>
              <w:rPr>
                <w:b/>
                <w:i/>
              </w:rPr>
              <w:t>kako bi se ojačala otpornost i konkurentnost;</w:t>
            </w:r>
            <w:r>
              <w:t xml:space="preserve"> </w:t>
            </w:r>
            <w:r>
              <w:rPr>
                <w:b/>
                <w:i/>
              </w:rPr>
              <w:t>žali zbog odstupanja i poziva Komisiju da preispita odluke o istovjetnosti s jurisdikcijama koje ne provode te standarde</w:t>
            </w:r>
            <w:r>
              <w:t>;</w:t>
            </w:r>
          </w:p>
        </w:tc>
        <w:tc>
          <w:tcPr>
            <w:tcW w:w="4876" w:type="dxa"/>
            <w:tcBorders>
              <w:top w:val="nil"/>
              <w:left w:val="nil"/>
              <w:bottom w:val="nil"/>
              <w:right w:val="nil"/>
            </w:tcBorders>
          </w:tcPr>
          <w:p>
            <w:pPr>
              <w:pStyle w:val="Normal6a"/>
            </w:pPr>
            <w:r>
              <w:t>12.</w:t>
            </w:r>
            <w:r>
              <w:tab/>
            </w:r>
            <w:r>
              <w:t xml:space="preserve">naglašava </w:t>
            </w:r>
            <w:r>
              <w:rPr>
                <w:b/>
                <w:i/>
              </w:rPr>
              <w:t>da bi pravila</w:t>
            </w:r>
            <w:r>
              <w:t xml:space="preserve"> Basel III </w:t>
            </w:r>
            <w:r>
              <w:rPr>
                <w:b/>
                <w:i/>
              </w:rPr>
              <w:t>trebalo prilagoditi posebnostima europskog bankarskog sektora, uzimajući u obzir kriterij proporcionalnosti i uvođenje pojednostavnjenja za manje banke, što je u skladu sa zaključcima radne skupine ESB-a na visokoj razini za pojednostavnjenje, koju podupire Upravno vijeće ESB-a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w:t>
            </w:r>
            <w:r>
              <w:rPr>
                <w:b/>
                <w:i/>
              </w:rPr>
              <w:t>pravodobnu, potpunu i vjernu provedbu</w:t>
            </w:r>
            <w:r>
              <w:t xml:space="preserve"> standarda Basel III kako bi se </w:t>
            </w:r>
            <w:r>
              <w:rPr>
                <w:b/>
                <w:i/>
              </w:rPr>
              <w:t>ojačala otpornost i</w:t>
            </w:r>
            <w:r>
              <w:t xml:space="preserve"> konkurentnost</w:t>
            </w:r>
            <w:r>
              <w:rPr>
                <w:b/>
                <w:i/>
              </w:rPr>
              <w:t>;</w:t>
            </w:r>
            <w:r>
              <w:t xml:space="preserve"> </w:t>
            </w:r>
            <w:r>
              <w:rPr>
                <w:b/>
                <w:i/>
              </w:rPr>
              <w:t>žali zbog odstupanja i poziva Komisiju da preispita odluke o istovjetnosti s jurisdikcijama koje ne provode te standarde</w:t>
            </w:r>
            <w:r>
              <w:t>;</w:t>
            </w:r>
          </w:p>
        </w:tc>
        <w:tc>
          <w:tcPr>
            <w:tcW w:w="4876" w:type="dxa"/>
            <w:tcBorders>
              <w:top w:val="nil"/>
              <w:left w:val="nil"/>
              <w:bottom w:val="nil"/>
              <w:right w:val="nil"/>
            </w:tcBorders>
          </w:tcPr>
          <w:p>
            <w:pPr>
              <w:pStyle w:val="Normal6a"/>
            </w:pPr>
            <w:r>
              <w:t>12.</w:t>
            </w:r>
            <w:r>
              <w:tab/>
            </w:r>
            <w:r>
              <w:t xml:space="preserve">naglašava </w:t>
            </w:r>
            <w:r>
              <w:rPr>
                <w:b/>
                <w:i/>
              </w:rPr>
              <w:t>potrebu za provedbom</w:t>
            </w:r>
            <w:r>
              <w:t xml:space="preserve"> standarda Basel III </w:t>
            </w:r>
            <w:r>
              <w:rPr>
                <w:b/>
                <w:i/>
              </w:rPr>
              <w:t>na način kojim se uzimaju u obzir globalna kretanja i potreba za očuvanjem međunarodne konkurentnosti europskih banaka;</w:t>
            </w:r>
            <w:r>
              <w:t xml:space="preserve"> </w:t>
            </w:r>
            <w:r>
              <w:rPr>
                <w:b/>
                <w:i/>
              </w:rPr>
              <w:t>sa zabrinutošću primjećuje da druge jurisdikcije provode manje ambiciozan plan;</w:t>
            </w:r>
            <w:r>
              <w:t xml:space="preserve"> </w:t>
            </w:r>
            <w:r>
              <w:rPr>
                <w:b/>
                <w:i/>
              </w:rPr>
              <w:t>naglašava da bi Komisija trebala pažljivo razmotriti je li potrebna odgoda provedbe</w:t>
            </w:r>
            <w:r>
              <w:t xml:space="preserve"> kako bi se </w:t>
            </w:r>
            <w:r>
              <w:rPr>
                <w:b/>
                <w:i/>
              </w:rPr>
              <w:t>očuvala međunarodna</w:t>
            </w:r>
            <w:r>
              <w:t xml:space="preserve"> konkurentnost </w:t>
            </w:r>
            <w:r>
              <w:rPr>
                <w:b/>
                <w:i/>
              </w:rPr>
              <w:t>banaka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w:t>
            </w:r>
            <w:r>
              <w:rPr>
                <w:b/>
                <w:i/>
              </w:rPr>
              <w:t>pravodobnu, potpunu i vjernu provedbu</w:t>
            </w:r>
            <w:r>
              <w:t xml:space="preserve"> standarda Basel III kako bi se ojačala otpornost i konkurentnost; </w:t>
            </w:r>
            <w:r>
              <w:rPr>
                <w:b/>
                <w:i/>
              </w:rPr>
              <w:t>žali zbog odstupanja i poziva Komisiju da preispita odluke o istovjetnosti s</w:t>
            </w:r>
            <w:r>
              <w:t xml:space="preserve"> jurisdikcijama </w:t>
            </w:r>
            <w:r>
              <w:rPr>
                <w:b/>
                <w:i/>
              </w:rPr>
              <w:t>koje ne provode te standarde</w:t>
            </w:r>
            <w:r>
              <w:t>;</w:t>
            </w:r>
          </w:p>
        </w:tc>
        <w:tc>
          <w:tcPr>
            <w:tcW w:w="4876" w:type="dxa"/>
            <w:tcBorders>
              <w:top w:val="nil"/>
              <w:left w:val="nil"/>
              <w:bottom w:val="nil"/>
              <w:right w:val="nil"/>
            </w:tcBorders>
          </w:tcPr>
          <w:p>
            <w:pPr>
              <w:pStyle w:val="Normal6a"/>
            </w:pPr>
            <w:r>
              <w:t>12.</w:t>
            </w:r>
            <w:r>
              <w:tab/>
            </w:r>
            <w:r>
              <w:t xml:space="preserve">naglašava </w:t>
            </w:r>
            <w:r>
              <w:rPr>
                <w:b/>
                <w:i/>
              </w:rPr>
              <w:t>potrebu za osiguranjem provedbe</w:t>
            </w:r>
            <w:r>
              <w:t xml:space="preserve"> standarda Basel III kako bi se ojačala otpornost i </w:t>
            </w:r>
            <w:r>
              <w:rPr>
                <w:b/>
                <w:i/>
              </w:rPr>
              <w:t>globalna</w:t>
            </w:r>
            <w:r>
              <w:t xml:space="preserve"> konkurentnost; </w:t>
            </w:r>
            <w:r>
              <w:rPr>
                <w:b/>
                <w:i/>
              </w:rPr>
              <w:t>prima na znanje kontinuirani nedostatak jasnoće u pogledu provedbe u nekim velikim</w:t>
            </w:r>
            <w:r>
              <w:t xml:space="preserve"> jurisdikcijama </w:t>
            </w:r>
            <w:r>
              <w:rPr>
                <w:b/>
                <w:i/>
              </w:rPr>
              <w:t>izvan EU-a i naglašava da je održavanje financijske stabilnosti, integriteta bazelskog okvira i jednakih uvjeta ključno za osiguravanje dugoročne konkurentnosti u međunarodnom kontekstu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pravodobnu, potpunu i vjernu provedbu standarda Basel III </w:t>
            </w:r>
            <w:r>
              <w:rPr>
                <w:b/>
                <w:i/>
              </w:rPr>
              <w:t>kako bi se ojačala</w:t>
            </w:r>
            <w:r>
              <w:t xml:space="preserve"> otpornost i konkurentnost; </w:t>
            </w:r>
            <w:r>
              <w:rPr>
                <w:b/>
                <w:i/>
              </w:rPr>
              <w:t>žali zbog odstupanja i</w:t>
            </w:r>
            <w:r>
              <w:t xml:space="preserve"> poziva Komisiju da </w:t>
            </w:r>
            <w:r>
              <w:rPr>
                <w:b/>
                <w:i/>
              </w:rPr>
              <w:t>preispita odluke o istovjetnosti s jurisdikcijama koje ne provode te standarde</w:t>
            </w:r>
            <w:r>
              <w:t>;</w:t>
            </w:r>
          </w:p>
        </w:tc>
        <w:tc>
          <w:tcPr>
            <w:tcW w:w="4876" w:type="dxa"/>
            <w:tcBorders>
              <w:top w:val="nil"/>
              <w:left w:val="nil"/>
              <w:bottom w:val="nil"/>
              <w:right w:val="nil"/>
            </w:tcBorders>
          </w:tcPr>
          <w:p>
            <w:pPr>
              <w:pStyle w:val="Normal6a"/>
            </w:pPr>
            <w:r>
              <w:t>12.</w:t>
            </w:r>
            <w:r>
              <w:tab/>
            </w:r>
            <w:r>
              <w:t xml:space="preserve">naglašava pravodobnu, potpunu i vjernu provedbu standarda Basel III </w:t>
            </w:r>
            <w:r>
              <w:rPr>
                <w:b/>
                <w:i/>
              </w:rPr>
              <w:t>dok god oni jačaju</w:t>
            </w:r>
            <w:r>
              <w:t xml:space="preserve"> otpornost i konkurentnost; </w:t>
            </w:r>
            <w:r>
              <w:rPr>
                <w:b/>
                <w:i/>
              </w:rPr>
              <w:t>sa zabrinutošću napominje da su druge jurisdikcije slijedile manje ambiciozan program, čime bi se mogli ugroziti jednaki uvjeti na međunarodnoj razini;</w:t>
            </w:r>
            <w:r>
              <w:t xml:space="preserve"> poziva Komisiju da </w:t>
            </w:r>
            <w:r>
              <w:rPr>
                <w:b/>
                <w:i/>
              </w:rPr>
              <w:t>ocijeni i osigura međunarodnu konkurentnost banaka EU-a bez slabljenja njihove otpornosti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pravodobnu, potpunu i vjernu </w:t>
            </w:r>
            <w:r>
              <w:rPr>
                <w:b/>
                <w:i/>
              </w:rPr>
              <w:t>provedbu</w:t>
            </w:r>
            <w:r>
              <w:t xml:space="preserve"> standarda Basel III kako bi se ojačala otpornost i konkurentnost; žali zbog odstupanja </w:t>
            </w:r>
            <w:r>
              <w:rPr>
                <w:b/>
                <w:i/>
              </w:rPr>
              <w:t>i poziva Komisiju da preispita odluke o istovjetnosti s jurisdikcijama koje ne provode te standarde</w:t>
            </w:r>
            <w:r>
              <w:t>;</w:t>
            </w:r>
          </w:p>
        </w:tc>
        <w:tc>
          <w:tcPr>
            <w:tcW w:w="4876" w:type="dxa"/>
            <w:tcBorders>
              <w:top w:val="nil"/>
              <w:left w:val="nil"/>
              <w:bottom w:val="nil"/>
              <w:right w:val="nil"/>
            </w:tcBorders>
          </w:tcPr>
          <w:p>
            <w:pPr>
              <w:pStyle w:val="Normal6a"/>
            </w:pPr>
            <w:r>
              <w:t>12.</w:t>
            </w:r>
            <w:r>
              <w:tab/>
            </w:r>
            <w:r>
              <w:t xml:space="preserve">naglašava pravodobnu, potpunu i vjernu </w:t>
            </w:r>
            <w:r>
              <w:rPr>
                <w:b/>
                <w:i/>
              </w:rPr>
              <w:t>primjenu</w:t>
            </w:r>
            <w:r>
              <w:t xml:space="preserve"> standarda Basel III </w:t>
            </w:r>
            <w:r>
              <w:rPr>
                <w:b/>
                <w:i/>
              </w:rPr>
              <w:t>isključivo na banke koje posluju međunarodno za koje su ti standardi osmišljeni</w:t>
            </w:r>
            <w:r>
              <w:t xml:space="preserve"> kako bi se ojačala otpornost i konkurentnost; žali zbog odstupanja;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naglašava pravodobnu</w:t>
            </w:r>
            <w:r>
              <w:rPr>
                <w:b/>
                <w:i/>
              </w:rPr>
              <w:t>, potpunu</w:t>
            </w:r>
            <w:r>
              <w:t xml:space="preserve"> i vjernu provedbu standarda Basel III kako bi se ojačala otpornost i konkurentnost; </w:t>
            </w:r>
            <w:r>
              <w:rPr>
                <w:b/>
                <w:i/>
              </w:rPr>
              <w:t>žali zbog odstupanja i</w:t>
            </w:r>
            <w:r>
              <w:t xml:space="preserve"> poziva Komisiju da </w:t>
            </w:r>
            <w:r>
              <w:rPr>
                <w:b/>
                <w:i/>
              </w:rPr>
              <w:t>preispita</w:t>
            </w:r>
            <w:r>
              <w:t xml:space="preserve"> odluke o istovjetnosti s jurisdikcijama koje ne provode </w:t>
            </w:r>
            <w:r>
              <w:rPr>
                <w:b/>
                <w:i/>
              </w:rPr>
              <w:t>te</w:t>
            </w:r>
            <w:r>
              <w:t xml:space="preserve"> standarde;</w:t>
            </w:r>
          </w:p>
        </w:tc>
        <w:tc>
          <w:tcPr>
            <w:tcW w:w="4876" w:type="dxa"/>
            <w:tcBorders>
              <w:top w:val="nil"/>
              <w:left w:val="nil"/>
              <w:bottom w:val="nil"/>
              <w:right w:val="nil"/>
            </w:tcBorders>
          </w:tcPr>
          <w:p>
            <w:pPr>
              <w:pStyle w:val="Normal6a"/>
            </w:pPr>
            <w:r>
              <w:t>12.</w:t>
            </w:r>
            <w:r>
              <w:tab/>
            </w:r>
            <w:r>
              <w:t xml:space="preserve">naglašava pravodobnu i vjernu provedbu standarda Basel III kako bi se ojačala otpornost i konkurentnost; </w:t>
            </w:r>
            <w:r>
              <w:rPr>
                <w:b/>
                <w:i/>
              </w:rPr>
              <w:t>primjećuje da trenutačno postoji nedostatak jasnoće u pogledu provedbe standarda Basel III u nekim drugim jurisdikcijama i da je moguć rizik u pogledu jednakih uvjeta na međunarodnoj razini;</w:t>
            </w:r>
            <w:r>
              <w:t xml:space="preserve"> </w:t>
            </w:r>
            <w:r>
              <w:rPr>
                <w:b/>
                <w:i/>
              </w:rPr>
              <w:t>naglašava da bi Komisija trebala ocijeniti bi li ciljane promjene mogle pomoći u održavanju međunarodne konkurentnosti banaka EU-a bez slabljenja njihove otpornosti;</w:t>
            </w:r>
            <w:r>
              <w:t xml:space="preserve"> poziva Komisiju da </w:t>
            </w:r>
            <w:r>
              <w:rPr>
                <w:b/>
                <w:i/>
              </w:rPr>
              <w:t>procijeni je li potrebno preispitati</w:t>
            </w:r>
            <w:r>
              <w:t xml:space="preserve"> odluke o istovjetnosti </w:t>
            </w:r>
            <w:r>
              <w:rPr>
                <w:b/>
                <w:i/>
              </w:rPr>
              <w:t>donesene</w:t>
            </w:r>
            <w:r>
              <w:t xml:space="preserve"> s jurisdikcijama koje ne provode standarde </w:t>
            </w:r>
            <w:r>
              <w:rPr>
                <w:b/>
                <w:i/>
              </w:rPr>
              <w:t>Basel III kako bi se očuvala financijska stabilnost financijskog sektora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pravodobnu, potpunu i vjernu provedbu standarda Basel III </w:t>
            </w:r>
            <w:r>
              <w:rPr>
                <w:b/>
                <w:i/>
              </w:rPr>
              <w:t>kako bi se ojačala otpornost i konkurentnost</w:t>
            </w:r>
            <w:r>
              <w:t>; žali zbog odstupanja i poziva Komisiju da preispita odluke o istovjetnosti s jurisdikcijama koje ne provode te standarde;</w:t>
            </w:r>
          </w:p>
        </w:tc>
        <w:tc>
          <w:tcPr>
            <w:tcW w:w="4876" w:type="dxa"/>
            <w:tcBorders>
              <w:top w:val="nil"/>
              <w:left w:val="nil"/>
              <w:bottom w:val="nil"/>
              <w:right w:val="nil"/>
            </w:tcBorders>
          </w:tcPr>
          <w:p>
            <w:pPr>
              <w:pStyle w:val="Normal6a"/>
            </w:pPr>
            <w:r>
              <w:t>12.</w:t>
            </w:r>
            <w:r>
              <w:tab/>
            </w:r>
            <w:r>
              <w:t xml:space="preserve">naglašava pravodobnu, potpunu i vjernu provedbu standarda Basel III </w:t>
            </w:r>
            <w:r>
              <w:rPr>
                <w:b/>
                <w:i/>
              </w:rPr>
              <w:t>s ciljem jačanja otpornosti i konkurentnosti</w:t>
            </w:r>
            <w:r>
              <w:t xml:space="preserve">; žali zbog odstupanja i poziva Komisiju da preispita odluke o istovjetnosti s jurisdikcijama koje ne provode te standarde; </w:t>
            </w:r>
            <w:r>
              <w:rPr>
                <w:b/>
                <w:i/>
              </w:rPr>
              <w:t>istodobno naglašava da bi se provedbom standarda Basel III trebali očuvati jednaki uvjeti na globalnoj razini, uz istodobno izbjegavanje prekomjerne regulacije od strane nacionalnih tijela pri provedbi pravila EU-a 3. razine i sprečavanje neželjenih učinaka na sposobnost banaka u EU-u da financiraju realno gospodarstvo;</w:t>
            </w:r>
            <w:r>
              <w:t xml:space="preserve"> </w:t>
            </w:r>
            <w:r>
              <w:rPr>
                <w:b/>
                <w:i/>
              </w:rPr>
              <w:t>u tom kontekstu pozdravlja inicijativu Komisije da objavi izvješće o konkurentnosti i integraciji bankarskog sektora EU-a i poziva na konkretne prijedloge za potporu sposobnosti banaka za kreditiranje, posebno na korist kućanstvima, MSP-ovima i produktivnim privatnim i javnim ulaganjima, uključujući, prema potrebi, mjere za potporu za učinkovito korištenje niskorizičnih i kratkoročnih financijskih instrumenata kao što su faktoring i financiranje trgovine;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w:t>
            </w:r>
            <w:r>
              <w:rPr>
                <w:b/>
                <w:i/>
              </w:rPr>
              <w:t>pravodobnu, potpunu i vjernu</w:t>
            </w:r>
            <w:r>
              <w:t xml:space="preserve"> provedbu </w:t>
            </w:r>
            <w:r>
              <w:rPr>
                <w:b/>
                <w:i/>
              </w:rPr>
              <w:t>standarda</w:t>
            </w:r>
            <w:r>
              <w:t xml:space="preserve"> Basel III </w:t>
            </w:r>
            <w:r>
              <w:rPr>
                <w:b/>
                <w:i/>
              </w:rPr>
              <w:t>kako bi se ojačala</w:t>
            </w:r>
            <w:r>
              <w:t xml:space="preserve"> otpornost i konkurentnost</w:t>
            </w:r>
            <w:r>
              <w:rPr>
                <w:b/>
                <w:i/>
              </w:rPr>
              <w:t>;</w:t>
            </w:r>
            <w:r>
              <w:t xml:space="preserve"> </w:t>
            </w:r>
            <w:r>
              <w:rPr>
                <w:b/>
                <w:i/>
              </w:rPr>
              <w:t>žali zbog odstupanja i poziva Komisiju da preispita odluke o istovjetnosti s</w:t>
            </w:r>
            <w:r>
              <w:t xml:space="preserve"> jurisdikcijama </w:t>
            </w:r>
            <w:r>
              <w:rPr>
                <w:b/>
                <w:i/>
              </w:rPr>
              <w:t>koje ne provode te standarde</w:t>
            </w:r>
            <w:r>
              <w:t>;</w:t>
            </w:r>
          </w:p>
        </w:tc>
        <w:tc>
          <w:tcPr>
            <w:tcW w:w="4876" w:type="dxa"/>
            <w:tcBorders>
              <w:top w:val="nil"/>
              <w:left w:val="nil"/>
              <w:bottom w:val="nil"/>
              <w:right w:val="nil"/>
            </w:tcBorders>
          </w:tcPr>
          <w:p>
            <w:pPr>
              <w:pStyle w:val="Normal6a"/>
            </w:pPr>
            <w:r>
              <w:t>12.</w:t>
            </w:r>
            <w:r>
              <w:tab/>
            </w:r>
            <w:r>
              <w:t xml:space="preserve">naglašava </w:t>
            </w:r>
            <w:r>
              <w:rPr>
                <w:b/>
                <w:i/>
              </w:rPr>
              <w:t>da je financijska stabilnost preduvjet za učinkovitu monetarnu politiku i otporan financijski sustav;</w:t>
            </w:r>
            <w:r>
              <w:t xml:space="preserve"> </w:t>
            </w:r>
            <w:r>
              <w:rPr>
                <w:b/>
                <w:i/>
              </w:rPr>
              <w:t>pozdravlja dovršetak i</w:t>
            </w:r>
            <w:r>
              <w:t xml:space="preserve"> provedbu </w:t>
            </w:r>
            <w:r>
              <w:rPr>
                <w:b/>
                <w:i/>
              </w:rPr>
              <w:t>okvira</w:t>
            </w:r>
            <w:r>
              <w:t xml:space="preserve"> Basel III </w:t>
            </w:r>
            <w:r>
              <w:rPr>
                <w:b/>
                <w:i/>
              </w:rPr>
              <w:t>kojim će se ojačati</w:t>
            </w:r>
            <w:r>
              <w:t xml:space="preserve"> otpornost i konkurentnost </w:t>
            </w:r>
            <w:r>
              <w:rPr>
                <w:b/>
                <w:i/>
              </w:rPr>
              <w:t>u EU-u;</w:t>
            </w:r>
            <w:r>
              <w:t xml:space="preserve"> </w:t>
            </w:r>
            <w:r>
              <w:rPr>
                <w:b/>
                <w:i/>
              </w:rPr>
              <w:t>ističe kontinuiran nedostatak jasnoće u pogledu provedbe standarda Basel III u nekim drugim</w:t>
            </w:r>
            <w:r>
              <w:t xml:space="preserve"> jurisdikcijama </w:t>
            </w:r>
            <w:r>
              <w:rPr>
                <w:b/>
                <w:i/>
              </w:rPr>
              <w:t>i rizik od problema u pogledu ravnopravnih uvjeta na međunarodnoj razini do kojeg bi zbog toga moglo doći</w:t>
            </w:r>
            <w:r>
              <w:t xml:space="preserve">; </w:t>
            </w:r>
            <w:r>
              <w:rPr>
                <w:b/>
                <w:i/>
              </w:rPr>
              <w:t>naglašava važnost osiguravanja prave ravnoteže između financijske stabilnosti, poštovanja međunarodnih okvira i jednakih uvjeta na međunarodnoj razini kako bi se osiguralo da europske banke mogu ravnopravno konkurirati bankama iz drugih jurisdikcija;</w:t>
            </w:r>
            <w:r>
              <w:t xml:space="preserve"> </w:t>
            </w:r>
            <w:r>
              <w:rPr>
                <w:b/>
                <w:i/>
              </w:rPr>
              <w:t>naglašava važnost uzimanja u obzir europskih posebnosti kako bi se osigurao konkurentan europski bankarski sektor;</w:t>
            </w:r>
            <w:r>
              <w:t xml:space="preserve"> </w:t>
            </w:r>
            <w:r>
              <w:rPr>
                <w:b/>
                <w:i/>
              </w:rPr>
              <w:t>naglašava važnost dosljedne i međunarodno usklađene provedbe temeljitog preispitivanja knjige trgovanja;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pravodobnu, potpunu i vjernu provedbu standarda Basel III kako bi se ojačala otpornost i konkurentnost; </w:t>
            </w:r>
            <w:r>
              <w:rPr>
                <w:b/>
                <w:i/>
              </w:rPr>
              <w:t>žali zbog odstupanja i</w:t>
            </w:r>
            <w:r>
              <w:t xml:space="preserve"> poziva Komisiju da </w:t>
            </w:r>
            <w:r>
              <w:rPr>
                <w:b/>
                <w:i/>
              </w:rPr>
              <w:t>preispita</w:t>
            </w:r>
            <w:r>
              <w:t xml:space="preserve"> odluke o istovjetnosti s jurisdikcijama koje ne </w:t>
            </w:r>
            <w:r>
              <w:rPr>
                <w:b/>
                <w:i/>
              </w:rPr>
              <w:t>provode te standarde</w:t>
            </w:r>
            <w:r>
              <w:t>;</w:t>
            </w:r>
          </w:p>
        </w:tc>
        <w:tc>
          <w:tcPr>
            <w:tcW w:w="4876" w:type="dxa"/>
            <w:tcBorders>
              <w:top w:val="nil"/>
              <w:left w:val="nil"/>
              <w:bottom w:val="nil"/>
              <w:right w:val="nil"/>
            </w:tcBorders>
          </w:tcPr>
          <w:p>
            <w:pPr>
              <w:pStyle w:val="Normal6a"/>
            </w:pPr>
            <w:r>
              <w:t>12.</w:t>
            </w:r>
            <w:r>
              <w:tab/>
            </w:r>
            <w:r>
              <w:t xml:space="preserve">naglašava pravodobnu, potpunu i vjernu provedbu standarda Basel III kako bi se ojačala otpornost i konkurentnost; poziva Komisiju da </w:t>
            </w:r>
            <w:r>
              <w:rPr>
                <w:b/>
                <w:i/>
              </w:rPr>
              <w:t>dosljedno i na temelju rizika ocijeni</w:t>
            </w:r>
            <w:r>
              <w:t xml:space="preserve"> odluke o istovjetnosti s jurisdikcijama koje ne </w:t>
            </w:r>
            <w:r>
              <w:rPr>
                <w:b/>
                <w:i/>
              </w:rPr>
              <w:t>primjenjuju Sporazum osiguravanjem uvjeta tržišnog natjecanja na globalnoj razini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naglašava pravodobnu, potpunu i vjernu provedbu standarda Basel III kako bi se ojačala otpornost i konkurentnost; žali zbog odstupanja i poziva Komisiju da preispita odluke o istovjetnosti s jurisdikcijama koje ne provode te standarde;</w:t>
            </w:r>
          </w:p>
        </w:tc>
        <w:tc>
          <w:tcPr>
            <w:tcW w:w="4876" w:type="dxa"/>
            <w:tcBorders>
              <w:top w:val="nil"/>
              <w:left w:val="nil"/>
              <w:bottom w:val="nil"/>
              <w:right w:val="nil"/>
            </w:tcBorders>
          </w:tcPr>
          <w:p>
            <w:pPr>
              <w:pStyle w:val="Normal6a"/>
            </w:pPr>
            <w:r>
              <w:t>12.</w:t>
            </w:r>
            <w:r>
              <w:tab/>
            </w:r>
            <w:r>
              <w:t xml:space="preserve">naglašava pravodobnu, potpunu i vjernu provedbu standarda Basel III kako bi se ojačala otpornost i </w:t>
            </w:r>
            <w:r>
              <w:rPr>
                <w:b/>
                <w:i/>
              </w:rPr>
              <w:t>konkurentnost, uključujući temeljito preispitivanje knjige trgovanja;</w:t>
            </w:r>
            <w:r>
              <w:t xml:space="preserve"> </w:t>
            </w:r>
            <w:r>
              <w:rPr>
                <w:b/>
                <w:i/>
              </w:rPr>
              <w:t>podsjeća da se u okviru jedinstvenog nadzornog mehanizma nekoliko puta ponovilo da bi se provedbom tog preispitivanja ojačala otpornost banaka u EU-u i da se ne bi ugrozila njihova</w:t>
            </w:r>
            <w:r>
              <w:t xml:space="preserve"> konkurentnost; žali zbog odstupanja i poziva Komisiju da preispita odluke o istovjetnosti s jurisdikcijama koje ne provode te standarde; </w:t>
            </w:r>
            <w:r>
              <w:rPr>
                <w:b/>
                <w:i/>
              </w:rPr>
              <w:t>naglašava da se EU dosad manje pridržava okvira Basel nego neki od njegovih međunarodnih partnera;</w:t>
            </w:r>
            <w:r>
              <w:t xml:space="preserve"> </w:t>
            </w:r>
            <w:r>
              <w:rPr>
                <w:b/>
                <w:i/>
              </w:rPr>
              <w:t>smatra da izostanak provedbe u drugim međunarodnim jurisdikcijama povećava rizike s kojima se suočavaju banke u EU-u i da bi to trebalo na odgovarajući način uzeti u obzir u nadzornom okviru;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naglašava pravodobnu, potpunu i vjernu provedbu standarda Basel III kako bi se ojačala otpornost i konkurentnost; žali zbog odstupanja i poziva Komisiju da preispita odluke o istovjetnosti s jurisdikcijama koje ne provode te standarde;</w:t>
            </w:r>
          </w:p>
        </w:tc>
        <w:tc>
          <w:tcPr>
            <w:tcW w:w="4876" w:type="dxa"/>
            <w:tcBorders>
              <w:top w:val="nil"/>
              <w:left w:val="nil"/>
              <w:bottom w:val="nil"/>
              <w:right w:val="nil"/>
            </w:tcBorders>
          </w:tcPr>
          <w:p>
            <w:pPr>
              <w:pStyle w:val="Normal6a"/>
            </w:pPr>
            <w:r>
              <w:t>12.</w:t>
            </w:r>
            <w:r>
              <w:tab/>
            </w:r>
            <w:r>
              <w:t xml:space="preserve">naglašava pravodobnu, potpunu i vjernu provedbu standarda Basel III kako bi se ojačala otpornost i konkurentnost; žali zbog odstupanja i poziva Komisiju da preispita odluke o istovjetnosti s jurisdikcijama koje ne provode te standarde; </w:t>
            </w:r>
            <w:r>
              <w:rPr>
                <w:b/>
                <w:i/>
              </w:rPr>
              <w:t>naglašava da odstupanja EU-a od potpune provedbe Basela III, uključujući postupne prilagodbe i odgođena pravila o tržišnom riziku, štete i konkurentnosti i financijskoj stabilnosti jer omogućuju regulatornu arbitražu i nedosljedno ponderiranje rizika;</w:t>
            </w:r>
            <w:r>
              <w:t xml:space="preserve"> </w:t>
            </w:r>
            <w:r>
              <w:rPr>
                <w:b/>
                <w:i/>
              </w:rPr>
              <w:t>ta bi odstupanja trebalo hitno ukloniti kako bi se banke u EU-u uskladile s usporedivim bankama u svijetu;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napominje da su banke sve izloženije nebankovnim financijskim posrednicima, što dovodi do širokog raspona rizika, od likvidnosti do rizika druge ugovorne strane;</w:t>
            </w:r>
            <w:r>
              <w:t xml:space="preserve"> </w:t>
            </w:r>
            <w:r>
              <w:rPr>
                <w:b/>
                <w:i/>
              </w:rPr>
              <w:t>naglašava potrebu za sveobuhvatnim europskim nadzorom sektora nebankovnih financijskih posrednika;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prima na znanje zaključke ESB-a da visoki kapitalni zahtjevi ne smanjuju konkurentnost banaka, već im osiguravaju otpornost i sposobnost financiranja gospodarstva tijekom cijelog ciklusa;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žali zbog sve većeg broja zatvaranja podružnica banaka, što utječe na ranjive i periferne zajednice;</w:t>
            </w:r>
            <w:r>
              <w:t xml:space="preserve"> </w:t>
            </w:r>
            <w:r>
              <w:rPr>
                <w:b/>
                <w:i/>
              </w:rPr>
              <w:t>ističe ulogu manjih banaka u pristupu uslugama za kućanstva;</w:t>
            </w:r>
            <w:r>
              <w:t xml:space="preserve"> </w:t>
            </w:r>
            <w:r>
              <w:rPr>
                <w:b/>
                <w:i/>
              </w:rPr>
              <w:t>sa zabrinutošću primjećuje gubitak radnih mjesta povezan s umjetnom inteligencijom;</w:t>
            </w:r>
            <w:r>
              <w:t xml:space="preserve"> </w:t>
            </w:r>
            <w:r>
              <w:rPr>
                <w:b/>
                <w:i/>
              </w:rPr>
              <w:t>naglašava potrebu za očuvanjem kvalitete radnih mjesta, poštenih uvjeta i pravednog pristupa bankarstvu;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žali zbog sve većeg broja</w:t>
            </w:r>
            <w:r>
              <w:t xml:space="preserve"> zatvaranja podružnica banaka</w:t>
            </w:r>
            <w:r>
              <w:rPr>
                <w:b/>
                <w:i/>
              </w:rPr>
              <w:t>, što utječe na ranjive i periferne zajednice</w:t>
            </w:r>
            <w:r>
              <w:t>; ističe ulogu manjih banaka u pristupu uslugama za kućanstva</w:t>
            </w:r>
            <w:r>
              <w:rPr>
                <w:b/>
                <w:i/>
              </w:rPr>
              <w:t>;</w:t>
            </w:r>
            <w:r>
              <w:t xml:space="preserve"> </w:t>
            </w:r>
            <w:r>
              <w:rPr>
                <w:b/>
                <w:i/>
              </w:rPr>
              <w:t>sa zabrinutošću primjećuje gubitak radnih mjesta povezan s umjetnom inteligencijom</w:t>
            </w:r>
            <w:r>
              <w:t xml:space="preserve">; naglašava </w:t>
            </w:r>
            <w:r>
              <w:rPr>
                <w:b/>
                <w:i/>
              </w:rPr>
              <w:t>potrebu za očuvanjem kvalitete radnih mjesta, poštenih uvjeta i pravednog pristupa bankarstvu</w:t>
            </w:r>
            <w:r>
              <w:t>;</w:t>
            </w:r>
          </w:p>
        </w:tc>
        <w:tc>
          <w:tcPr>
            <w:tcW w:w="4876" w:type="dxa"/>
            <w:tcBorders>
              <w:top w:val="nil"/>
              <w:left w:val="nil"/>
              <w:bottom w:val="nil"/>
              <w:right w:val="nil"/>
            </w:tcBorders>
          </w:tcPr>
          <w:p>
            <w:pPr>
              <w:pStyle w:val="Normal6a"/>
            </w:pPr>
            <w:r>
              <w:t>13.</w:t>
            </w:r>
            <w:r>
              <w:tab/>
            </w:r>
            <w:r>
              <w:rPr>
                <w:b/>
                <w:i/>
              </w:rPr>
              <w:t>prima na znanje sve veći broj</w:t>
            </w:r>
            <w:r>
              <w:t xml:space="preserve"> zatvaranja podružnica banaka; ističe ulogu manjih banaka u pristupu uslugama za kućanstva </w:t>
            </w:r>
            <w:r>
              <w:rPr>
                <w:b/>
                <w:i/>
              </w:rPr>
              <w:t>i lokalna poduzeća</w:t>
            </w:r>
            <w:r>
              <w:t xml:space="preserve">; naglašava </w:t>
            </w:r>
            <w:r>
              <w:rPr>
                <w:b/>
                <w:i/>
              </w:rPr>
              <w:t>da je nadzorne i bonitetne propise potrebno prilagoditi veličini, složenosti i profilu rizičnosti manjih banaka, u skladu s načelom proporcionalnosti, kako bi se uklonila nepotrebna regulatorna opterećenja koja negativno utječu na njihovu sposobnost za rast, tržišno natjecanje i donošenje daljnjih koristi za realno gospodarstvo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žali zbog sve većeg broja</w:t>
            </w:r>
            <w:r>
              <w:t xml:space="preserve"> zatvaranja podružnica banaka, </w:t>
            </w:r>
            <w:r>
              <w:rPr>
                <w:b/>
                <w:i/>
              </w:rPr>
              <w:t>što utječe</w:t>
            </w:r>
            <w:r>
              <w:t xml:space="preserve"> na ranjive i periferne zajednice; ističe ulogu manjih banaka u pristupu uslugama za kućanstva; sa zabrinutošću primjećuje gubitak radnih mjesta povezan s umjetnom inteligencijom; naglašava potrebu za očuvanjem kvalitete radnih mjesta, poštenih uvjeta i pravednog pristupa bankarstvu;</w:t>
            </w:r>
          </w:p>
        </w:tc>
        <w:tc>
          <w:tcPr>
            <w:tcW w:w="4876" w:type="dxa"/>
            <w:tcBorders>
              <w:top w:val="nil"/>
              <w:left w:val="nil"/>
              <w:bottom w:val="nil"/>
              <w:right w:val="nil"/>
            </w:tcBorders>
          </w:tcPr>
          <w:p>
            <w:pPr>
              <w:pStyle w:val="Normal6a"/>
            </w:pPr>
            <w:r>
              <w:t>13.</w:t>
            </w:r>
            <w:r>
              <w:tab/>
            </w:r>
            <w:r>
              <w:rPr>
                <w:b/>
                <w:i/>
              </w:rPr>
              <w:t>prima na znanje sve veći broj</w:t>
            </w:r>
            <w:r>
              <w:t xml:space="preserve"> zatvaranja podružnica banaka, </w:t>
            </w:r>
            <w:r>
              <w:rPr>
                <w:b/>
                <w:i/>
              </w:rPr>
              <w:t>u različitoj mjeri u različitim državama članicama;</w:t>
            </w:r>
            <w:r>
              <w:t xml:space="preserve"> </w:t>
            </w:r>
            <w:r>
              <w:rPr>
                <w:b/>
                <w:i/>
              </w:rPr>
              <w:t>uvažava potencijalne znatne učinke koje ta zatvaranja mogu imati</w:t>
            </w:r>
            <w:r>
              <w:t xml:space="preserve"> na ranjive i periferne zajednice</w:t>
            </w:r>
            <w:r>
              <w:rPr>
                <w:b/>
                <w:i/>
              </w:rPr>
              <w:t>, istodobno naglašavajući primjere inovacija koje nekim korisnicima omogućuju poboljšane usluge na daljinu zahvaljujući tehnološkom razvoju;</w:t>
            </w:r>
            <w:r>
              <w:t xml:space="preserve"> </w:t>
            </w:r>
            <w:r>
              <w:rPr>
                <w:b/>
                <w:i/>
              </w:rPr>
              <w:t>podsjeća na primjere suradnje različitih banaka u pružanju fizičkih bankarskih usluga klijentima unatoč zatvaranju nekih podružnica banaka, kako u ruralnim tako i u urbanim područjima</w:t>
            </w:r>
            <w:r>
              <w:t>; ističe ulogu manjih banaka u pristupu uslugama za kućanstva</w:t>
            </w:r>
            <w:r>
              <w:rPr>
                <w:b/>
                <w:i/>
              </w:rPr>
              <w:t>;</w:t>
            </w:r>
            <w:r>
              <w:t xml:space="preserve"> </w:t>
            </w:r>
            <w:r>
              <w:rPr>
                <w:b/>
                <w:i/>
              </w:rPr>
              <w:t>ističe doprinos većih banaka konkurentnosti i financiranju europskog gospodarstva</w:t>
            </w:r>
            <w:r>
              <w:t xml:space="preserve">; sa zabrinutošću primjećuje gubitak radnih mjesta povezan s umjetnom inteligencijom </w:t>
            </w:r>
            <w:r>
              <w:rPr>
                <w:b/>
                <w:i/>
              </w:rPr>
              <w:t>i potencijalne opasnosti povezane s umjetnom inteligencijom koje dovode do koncentracije rizika u bilancama banaka</w:t>
            </w:r>
            <w:r>
              <w:t xml:space="preserve">; naglašava potrebu za očuvanjem </w:t>
            </w:r>
            <w:r>
              <w:rPr>
                <w:b/>
                <w:i/>
              </w:rPr>
              <w:t>kvalitetnog upravljanja rizicima,</w:t>
            </w:r>
            <w:r>
              <w:t xml:space="preserve"> kvalitete radnih mjesta, poštenih uvjeta i pravednog pristupa bankarstvu;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žali zbog sve većeg broja zatvaranja podružnica banaka, što utječe na ranjive i periferne zajednice; ističe ulogu manjih banaka u </w:t>
            </w:r>
            <w:r>
              <w:rPr>
                <w:b/>
                <w:i/>
              </w:rPr>
              <w:t>pristupu</w:t>
            </w:r>
            <w:r>
              <w:t xml:space="preserve"> uslugama za kućanstva</w:t>
            </w:r>
            <w:r>
              <w:rPr>
                <w:b/>
                <w:i/>
              </w:rPr>
              <w:t>;</w:t>
            </w:r>
            <w:r>
              <w:t xml:space="preserve"> </w:t>
            </w:r>
            <w:r>
              <w:rPr>
                <w:b/>
                <w:i/>
              </w:rPr>
              <w:t>sa zabrinutošću primjećuje gubitak radnih mjesta povezan s umjetnom inteligencijom;</w:t>
            </w:r>
            <w:r>
              <w:t xml:space="preserve"> naglašava potrebu za </w:t>
            </w:r>
            <w:r>
              <w:rPr>
                <w:b/>
                <w:i/>
              </w:rPr>
              <w:t>očuvanjem kvalitete radnih mjesta, poštenih uvjeta i pravednog pristupa bankarstvu</w:t>
            </w:r>
            <w:r>
              <w:t>;</w:t>
            </w:r>
          </w:p>
        </w:tc>
        <w:tc>
          <w:tcPr>
            <w:tcW w:w="4876" w:type="dxa"/>
            <w:tcBorders>
              <w:top w:val="nil"/>
              <w:left w:val="nil"/>
              <w:bottom w:val="nil"/>
              <w:right w:val="nil"/>
            </w:tcBorders>
          </w:tcPr>
          <w:p>
            <w:pPr>
              <w:pStyle w:val="Normal6a"/>
            </w:pPr>
            <w:r>
              <w:t>13.</w:t>
            </w:r>
            <w:r>
              <w:tab/>
            </w:r>
            <w:r>
              <w:t xml:space="preserve">žali zbog sve većeg broja zatvaranja podružnica banaka, što utječe na ranjive i periferne zajednice; ističe </w:t>
            </w:r>
            <w:r>
              <w:rPr>
                <w:b/>
                <w:i/>
              </w:rPr>
              <w:t>da je taj trend barem djelomično posljedica prekomjernog regulatornog opterećenja;</w:t>
            </w:r>
            <w:r>
              <w:t xml:space="preserve"> </w:t>
            </w:r>
            <w:r>
              <w:rPr>
                <w:b/>
                <w:i/>
              </w:rPr>
              <w:t>ističe</w:t>
            </w:r>
            <w:r>
              <w:t xml:space="preserve"> ulogu manjih banaka u </w:t>
            </w:r>
            <w:r>
              <w:rPr>
                <w:b/>
                <w:i/>
              </w:rPr>
              <w:t>pružanju pristupa</w:t>
            </w:r>
            <w:r>
              <w:t xml:space="preserve"> uslugama za kućanstva </w:t>
            </w:r>
            <w:r>
              <w:rPr>
                <w:b/>
                <w:i/>
              </w:rPr>
              <w:t>i</w:t>
            </w:r>
            <w:r>
              <w:t xml:space="preserve"> naglašava potrebu za </w:t>
            </w:r>
            <w:r>
              <w:rPr>
                <w:b/>
                <w:i/>
              </w:rPr>
              <w:t>daljnjim razvojem režima za male banke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žali zbog sve većeg broja zatvaranja podružnica banaka, što utječe na ranjive i periferne zajednice; ističe ulogu manjih banaka u pristupu uslugama za kućanstva; sa zabrinutošću primjećuje gubitak radnih mjesta povezan s umjetnom inteligencijom; naglašava potrebu za očuvanjem kvalitete radnih mjesta, poštenih uvjeta i pravednog pristupa bankarstvu;</w:t>
            </w:r>
          </w:p>
        </w:tc>
        <w:tc>
          <w:tcPr>
            <w:tcW w:w="4876" w:type="dxa"/>
            <w:tcBorders>
              <w:top w:val="nil"/>
              <w:left w:val="nil"/>
              <w:bottom w:val="nil"/>
              <w:right w:val="nil"/>
            </w:tcBorders>
          </w:tcPr>
          <w:p>
            <w:pPr>
              <w:pStyle w:val="Normal6a"/>
            </w:pPr>
            <w:r>
              <w:t>13.</w:t>
            </w:r>
            <w:r>
              <w:tab/>
            </w:r>
            <w:r>
              <w:t xml:space="preserve">žali zbog sve većeg broja zatvaranja podružnica banaka, što utječe na ranjive i periferne zajednice; </w:t>
            </w:r>
            <w:r>
              <w:rPr>
                <w:b/>
                <w:i/>
              </w:rPr>
              <w:t>podsjeća na pravo građana na pristup osnovnim financijskim uslugama;</w:t>
            </w:r>
            <w:r>
              <w:t xml:space="preserve"> ističe ulogu manjih banaka u pristupu uslugama za kućanstva</w:t>
            </w:r>
            <w:r>
              <w:rPr>
                <w:b/>
                <w:i/>
              </w:rPr>
              <w:t>;</w:t>
            </w:r>
            <w:r>
              <w:t xml:space="preserve"> </w:t>
            </w:r>
            <w:r>
              <w:rPr>
                <w:b/>
                <w:i/>
              </w:rPr>
              <w:t>ističe da raznolikost bankarskih poslovnih modela povećava otpornost financijskog sustava</w:t>
            </w:r>
            <w:r>
              <w:t>; sa zabrinutošću primjećuje gubitak radnih mjesta povezan s umjetnom inteligencijom</w:t>
            </w:r>
            <w:r>
              <w:rPr>
                <w:b/>
                <w:i/>
              </w:rPr>
              <w:t>;</w:t>
            </w:r>
            <w:r>
              <w:t xml:space="preserve"> </w:t>
            </w:r>
            <w:r>
              <w:rPr>
                <w:b/>
                <w:i/>
              </w:rPr>
              <w:t>poziva kreditne institucije da provedu politike prekvalifikacije i osiguraju ljudski nadzor u automatiziranim odlukama</w:t>
            </w:r>
            <w:r>
              <w:t>; naglašava potrebu za očuvanjem kvalitete radnih mjesta, poštenih uvjeta i pravednog pristupa bankarstvu;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žali zbog sve većeg broja zatvaranja podružnica banaka, što utječe na ranjive </w:t>
            </w:r>
            <w:r>
              <w:rPr>
                <w:b/>
                <w:i/>
              </w:rPr>
              <w:t>i periferne</w:t>
            </w:r>
            <w:r>
              <w:t xml:space="preserve"> zajednice; ističe ulogu manjih banaka u pristupu uslugama za kućanstva; </w:t>
            </w:r>
            <w:r>
              <w:rPr>
                <w:b/>
                <w:i/>
              </w:rPr>
              <w:t>sa zabrinutošću primjećuje gubitak radnih mjesta povezan s umjetnom inteligencijom;</w:t>
            </w:r>
            <w:r>
              <w:t xml:space="preserve"> </w:t>
            </w:r>
            <w:r>
              <w:rPr>
                <w:b/>
                <w:i/>
              </w:rPr>
              <w:t>naglašava potrebu za očuvanjem</w:t>
            </w:r>
            <w:r>
              <w:t xml:space="preserve"> kvalitete radnih mjesta, poštenih uvjeta i pravednog pristupa bankarstvu;</w:t>
            </w:r>
          </w:p>
        </w:tc>
        <w:tc>
          <w:tcPr>
            <w:tcW w:w="4876" w:type="dxa"/>
            <w:tcBorders>
              <w:top w:val="nil"/>
              <w:left w:val="nil"/>
              <w:bottom w:val="nil"/>
              <w:right w:val="nil"/>
            </w:tcBorders>
          </w:tcPr>
          <w:p>
            <w:pPr>
              <w:pStyle w:val="Normal6a"/>
            </w:pPr>
            <w:r>
              <w:t>13.</w:t>
            </w:r>
            <w:r>
              <w:tab/>
            </w:r>
            <w:r>
              <w:t xml:space="preserve">žali zbog sve većeg broja zatvaranja podružnica banaka </w:t>
            </w:r>
            <w:r>
              <w:rPr>
                <w:b/>
                <w:i/>
              </w:rPr>
              <w:t>u ruralnim područjima</w:t>
            </w:r>
            <w:r>
              <w:t xml:space="preserve">, što utječe na ranjive zajednice; ističe ulogu manjih banaka u pristupu uslugama za kućanstva; </w:t>
            </w:r>
            <w:r>
              <w:rPr>
                <w:b/>
                <w:i/>
              </w:rPr>
              <w:t>ističe važnost digitalizacije i umjetne inteligencije u jačanju učinkovitosti bankarskog sektora, kao što su pojednostavnjenje operacija, smanjenje troškova te poboljšanje brzine i kvalitete korisničke službe, uz istodobno osiguravanje</w:t>
            </w:r>
            <w:r>
              <w:t xml:space="preserve"> kvalitete radnih mjesta, poštenih uvjeta i pravednog pristupa bankarstvu;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žali zbog sve većeg broja zatvaranja podružnica banaka, što utječe na ranjive i periferne zajednice; ističe ulogu manjih banaka u pristupu uslugama za kućanstva; sa zabrinutošću primjećuje gubitak radnih mjesta povezan s umjetnom inteligencijom; naglašava potrebu za očuvanjem kvalitete radnih mjesta, poštenih uvjeta i pravednog pristupa bankarstvu;</w:t>
            </w:r>
          </w:p>
        </w:tc>
        <w:tc>
          <w:tcPr>
            <w:tcW w:w="4876" w:type="dxa"/>
            <w:tcBorders>
              <w:top w:val="nil"/>
              <w:left w:val="nil"/>
              <w:bottom w:val="nil"/>
              <w:right w:val="nil"/>
            </w:tcBorders>
          </w:tcPr>
          <w:p>
            <w:pPr>
              <w:pStyle w:val="Normal6a"/>
            </w:pPr>
            <w:r>
              <w:t>13.</w:t>
            </w:r>
            <w:r>
              <w:tab/>
            </w:r>
            <w:r>
              <w:t>žali zbog sve većeg broja zatvaranja podružnica banaka, što utječe na ranjive i periferne zajednice</w:t>
            </w:r>
            <w:r>
              <w:rPr>
                <w:b/>
                <w:i/>
              </w:rPr>
              <w:t>, među ostalim zbog sve većeg regulatornog opterećenja</w:t>
            </w:r>
            <w:r>
              <w:t xml:space="preserve">; ističe ulogu manjih banaka u pristupu uslugama za kućanstva; sa zabrinutošću primjećuje gubitak radnih mjesta povezan s umjetnom inteligencijom; naglašava potrebu za očuvanjem kvalitete radnih mjesta, poštenih uvjeta i pravednog pristupa bankarstvu; </w:t>
            </w:r>
            <w:r>
              <w:rPr>
                <w:b/>
                <w:i/>
              </w:rPr>
              <w:t>pozdravlja pristup uvođenju režima za male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žali zbog sve većeg broja zatvaranja podružnica banaka, što utječe na ranjive i periferne zajednice; ističe ulogu manjih banaka u pristupu uslugama za kućanstva; sa zabrinutošću primjećuje gubitak radnih mjesta povezan s umjetnom inteligencijom; naglašava potrebu za očuvanjem kvalitete radnih mjesta, poštenih uvjeta i pravednog pristupa bankarstvu;</w:t>
            </w:r>
          </w:p>
        </w:tc>
        <w:tc>
          <w:tcPr>
            <w:tcW w:w="4876" w:type="dxa"/>
            <w:tcBorders>
              <w:top w:val="nil"/>
              <w:left w:val="nil"/>
              <w:bottom w:val="nil"/>
              <w:right w:val="nil"/>
            </w:tcBorders>
          </w:tcPr>
          <w:p>
            <w:pPr>
              <w:pStyle w:val="Normal6a"/>
            </w:pPr>
            <w:r>
              <w:t>13.</w:t>
            </w:r>
            <w:r>
              <w:tab/>
            </w:r>
            <w:r>
              <w:t>žali zbog sve većeg broja zatvaranja podružnica banaka, što utječe na ranjive i periferne zajednice</w:t>
            </w:r>
            <w:r>
              <w:rPr>
                <w:b/>
                <w:i/>
              </w:rPr>
              <w:t>, djelomično zbog sve većeg regulatornog opterećenja</w:t>
            </w:r>
            <w:r>
              <w:t xml:space="preserve">; ističe ulogu manjih banaka u pristupu uslugama za kućanstva; sa zabrinutošću primjećuje gubitak radnih mjesta povezan s umjetnom inteligencijom; naglašava potrebu za očuvanjem kvalitete radnih mjesta, poštenih uvjeta i pravednog pristupa bankarstvu; </w:t>
            </w:r>
            <w:r>
              <w:rPr>
                <w:b/>
                <w:i/>
              </w:rPr>
              <w:t>pozdravlja pristup uvođenju režima za male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žali zbog sve većeg broja zatvaranja podružnica banaka, što </w:t>
            </w:r>
            <w:r>
              <w:rPr>
                <w:b/>
                <w:i/>
              </w:rPr>
              <w:t>utječe</w:t>
            </w:r>
            <w:r>
              <w:t xml:space="preserve"> na ranjive i periferne zajednice; ističe ulogu manjih banaka u pristupu uslugama za kućanstva; sa zabrinutošću primjećuje gubitak radnih mjesta povezan s umjetnom inteligencijom; naglašava potrebu za očuvanjem kvalitete radnih mjesta, poštenih uvjeta i pravednog pristupa bankarstvu;</w:t>
            </w:r>
          </w:p>
        </w:tc>
        <w:tc>
          <w:tcPr>
            <w:tcW w:w="4876" w:type="dxa"/>
            <w:tcBorders>
              <w:top w:val="nil"/>
              <w:left w:val="nil"/>
              <w:bottom w:val="nil"/>
              <w:right w:val="nil"/>
            </w:tcBorders>
          </w:tcPr>
          <w:p>
            <w:pPr>
              <w:pStyle w:val="Normal6a"/>
            </w:pPr>
            <w:r>
              <w:t>13.</w:t>
            </w:r>
            <w:r>
              <w:tab/>
            </w:r>
            <w:r>
              <w:t xml:space="preserve">žali zbog sve većeg broja zatvaranja podružnica banaka, što </w:t>
            </w:r>
            <w:r>
              <w:rPr>
                <w:b/>
                <w:i/>
              </w:rPr>
              <w:t>je djelomično potaknuto sve većim regulatornim opterećenjem;</w:t>
            </w:r>
            <w:r>
              <w:t xml:space="preserve"> </w:t>
            </w:r>
            <w:r>
              <w:rPr>
                <w:b/>
                <w:i/>
              </w:rPr>
              <w:t>u tom kontekstu pozdravlja pristup uvođenju režima za male banke;</w:t>
            </w:r>
            <w:r>
              <w:t xml:space="preserve"> </w:t>
            </w:r>
            <w:r>
              <w:rPr>
                <w:b/>
                <w:i/>
              </w:rPr>
              <w:t>također napominje da ta zatvaranja nerazmjerno utječu</w:t>
            </w:r>
            <w:r>
              <w:t xml:space="preserve"> na ranjive i periferne zajednice; ističe ulogu manjih banaka u pristupu uslugama za kućanstva; sa zabrinutošću primjećuje gubitak radnih mjesta povezan s umjetnom inteligencijom; naglašava potrebu za očuvanjem kvalitete radnih mjesta, poštenih uvjeta i pravednog pristupa bankarstvu;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naglašava ozbiljnost sve izraženije pojave zatvaranja poslovnica banaka i posljedičnog rizika od gašenja banaka, što posebno utječe na najranjivije građane i područja EU-a koja su najviše pogođena digitalnim jazom;</w:t>
            </w:r>
            <w:r>
              <w:t xml:space="preserve"> </w:t>
            </w:r>
            <w:r>
              <w:rPr>
                <w:b/>
                <w:i/>
              </w:rPr>
              <w:t>naglašava ključnu ulogu srednjih i malih banaka u pružanju osnovnih bankovnih usluga, posebno u ruralnim, planinskim, unutrašnjim, otočnim i najudaljenijim područjima EU-a, kojima se podupiru obitelji, MSP-ovi i lokalna gospodarstva;</w:t>
            </w:r>
            <w:r>
              <w:t xml:space="preserve"> </w:t>
            </w:r>
            <w:r>
              <w:rPr>
                <w:b/>
                <w:i/>
              </w:rPr>
              <w:t>naglašava potrebu za smanjenjem regulatornog opterećenja za te subjekte koji obavljaju važnu socioekonomsku funkciju, primjenom načela proporcionalnosti u nadzoru banaka;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prepoznaje strukturne promjene u bankarskim poslovnim modelima, uključujući one koje proizlaze iz digitalizacije, te naglašava da je važno osigurati da obitelji i MSP-ovi i dalje zaista imaju pristup osnovnim financijskim uslugama;</w:t>
            </w:r>
            <w:r>
              <w:t xml:space="preserve"> </w:t>
            </w:r>
            <w:r>
              <w:rPr>
                <w:b/>
                <w:i/>
              </w:rPr>
              <w:t>ističe ulogu koju u tom kontekstu mogu imati manji subjekti i novi digitalni kanali;</w:t>
            </w:r>
            <w:r>
              <w:t xml:space="preserve"> </w:t>
            </w:r>
            <w:r>
              <w:rPr>
                <w:b/>
                <w:i/>
              </w:rPr>
              <w:t>ističe da se usvajanjem novih tehnologija, uključujući umjetnu inteligenciju, mora upravljati odgovorno, promičući prilagodbu vještina i produktivnost, a da se pritom ne ometaju inovacije i konkurentnost europskog financijskog sektora;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poziva Europsku komisiju da ispita mogućnost provedbe inicijativa usmjerenih na jamčenje minimalne razine fizičkog pristupa financijskim uslugama, na ujednačen način u svim državama članicama, i da razmotri mogućnost izdvajanja dijela povećanja profitabilnosti za potporu mreži poslovnica kao odgovor na pojavu gašenja banaka;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prima na znanje rizike i prilike povezane s </w:t>
            </w:r>
            <w:r>
              <w:rPr>
                <w:b/>
                <w:i/>
              </w:rPr>
              <w:t>kriptoimovinom</w:t>
            </w:r>
            <w:r>
              <w:t xml:space="preserve">; poziva na </w:t>
            </w:r>
            <w:r>
              <w:rPr>
                <w:b/>
                <w:i/>
              </w:rPr>
              <w:t>dosljedan nadzor kako bi se osiguralo da</w:t>
            </w:r>
            <w:r>
              <w:t xml:space="preserve"> inovacije </w:t>
            </w:r>
            <w:r>
              <w:rPr>
                <w:b/>
                <w:i/>
              </w:rPr>
              <w:t>služe javnosti</w:t>
            </w:r>
            <w:r>
              <w:t>; poziva tijela EU-a i nacionalna tijela da prate izloženost, obrate pozornost na špekulativne rizike, bore se protiv financijskog kriminala i zaštite potrošače;</w:t>
            </w:r>
          </w:p>
        </w:tc>
        <w:tc>
          <w:tcPr>
            <w:tcW w:w="4876" w:type="dxa"/>
            <w:tcBorders>
              <w:top w:val="nil"/>
              <w:left w:val="nil"/>
              <w:bottom w:val="nil"/>
              <w:right w:val="nil"/>
            </w:tcBorders>
          </w:tcPr>
          <w:p>
            <w:pPr>
              <w:pStyle w:val="Normal6a"/>
            </w:pPr>
            <w:r>
              <w:t>14.</w:t>
            </w:r>
            <w:r>
              <w:tab/>
            </w:r>
            <w:r>
              <w:t xml:space="preserve">prima na znanje rizike i prilike povezane s </w:t>
            </w:r>
            <w:r>
              <w:rPr>
                <w:b/>
                <w:i/>
              </w:rPr>
              <w:t>tokenizacijom financijske imovine</w:t>
            </w:r>
            <w:r>
              <w:t xml:space="preserve">; poziva na </w:t>
            </w:r>
            <w:r>
              <w:rPr>
                <w:b/>
                <w:i/>
              </w:rPr>
              <w:t>principijelan i proporcionalan pristup regulaciji i nadzoru kojim se ne koče</w:t>
            </w:r>
            <w:r>
              <w:t xml:space="preserve"> inovacije; poziva tijela EU-a i nacionalna tijela da prate izloženost, obrate pozornost na špekulativne rizike, bore se protiv financijskog kriminala i zaštite potrošače;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prima na znanje</w:t>
            </w:r>
            <w:r>
              <w:t xml:space="preserve"> rizike </w:t>
            </w:r>
            <w:r>
              <w:rPr>
                <w:b/>
                <w:i/>
              </w:rPr>
              <w:t>i prilike povezane</w:t>
            </w:r>
            <w:r>
              <w:t xml:space="preserve"> s kriptoimovinom; poziva na dosljedan nadzor kako bi se osiguralo da inovacije služe javnosti; poziva tijela EU-a i nacionalna tijela da prate izloženost, </w:t>
            </w:r>
            <w:r>
              <w:rPr>
                <w:b/>
                <w:i/>
              </w:rPr>
              <w:t>obrate pozornost na špekulativne</w:t>
            </w:r>
            <w:r>
              <w:t xml:space="preserve"> rizike, bore se protiv financijskog kriminala i zaštite potrošače;</w:t>
            </w:r>
          </w:p>
        </w:tc>
        <w:tc>
          <w:tcPr>
            <w:tcW w:w="4876" w:type="dxa"/>
            <w:tcBorders>
              <w:top w:val="nil"/>
              <w:left w:val="nil"/>
              <w:bottom w:val="nil"/>
              <w:right w:val="nil"/>
            </w:tcBorders>
          </w:tcPr>
          <w:p>
            <w:pPr>
              <w:pStyle w:val="Normal6a"/>
            </w:pPr>
            <w:r>
              <w:t>14.</w:t>
            </w:r>
            <w:r>
              <w:tab/>
            </w:r>
            <w:r>
              <w:rPr>
                <w:b/>
                <w:i/>
              </w:rPr>
              <w:t>naglašava</w:t>
            </w:r>
            <w:r>
              <w:t xml:space="preserve"> rizike </w:t>
            </w:r>
            <w:r>
              <w:rPr>
                <w:b/>
                <w:i/>
              </w:rPr>
              <w:t>povezanih</w:t>
            </w:r>
            <w:r>
              <w:t xml:space="preserve"> s kriptoimovinom; poziva na dosljedan nadzor kako bi se osiguralo da inovacije služe javnosti; poziva tijela EU-a i nacionalna tijela da prate izloženost, </w:t>
            </w:r>
            <w:r>
              <w:rPr>
                <w:b/>
                <w:i/>
              </w:rPr>
              <w:t>odgovore na</w:t>
            </w:r>
            <w:r>
              <w:t xml:space="preserve"> rizike</w:t>
            </w:r>
            <w:r>
              <w:rPr>
                <w:b/>
                <w:i/>
              </w:rPr>
              <w:t>, suzbiju špekulativno postupanje</w:t>
            </w:r>
            <w:r>
              <w:t>, bore se protiv financijskog kriminala i zaštite potrošače;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prima na znanje</w:t>
            </w:r>
            <w:r>
              <w:t xml:space="preserve"> rizike </w:t>
            </w:r>
            <w:r>
              <w:rPr>
                <w:b/>
                <w:i/>
              </w:rPr>
              <w:t>i prilike</w:t>
            </w:r>
            <w:r>
              <w:t xml:space="preserve"> povezane s kriptoimovinom; poziva na dosljedan nadzor kako bi se osiguralo da inovacije služe javnosti; poziva tijela EU-a i nacionalna tijela da prate izloženost, obrate pozornost na špekulativne rizike, bore se protiv financijskog kriminala i zaštite potrošače;</w:t>
            </w:r>
          </w:p>
        </w:tc>
        <w:tc>
          <w:tcPr>
            <w:tcW w:w="4876" w:type="dxa"/>
            <w:tcBorders>
              <w:top w:val="nil"/>
              <w:left w:val="nil"/>
              <w:bottom w:val="nil"/>
              <w:right w:val="nil"/>
            </w:tcBorders>
          </w:tcPr>
          <w:p>
            <w:pPr>
              <w:pStyle w:val="Normal6a"/>
            </w:pPr>
            <w:r>
              <w:t>14.</w:t>
            </w:r>
            <w:r>
              <w:tab/>
            </w:r>
            <w:r>
              <w:rPr>
                <w:b/>
                <w:i/>
              </w:rPr>
              <w:t>ističe specifične</w:t>
            </w:r>
            <w:r>
              <w:t xml:space="preserve"> rizike povezane s kriptoimovinom</w:t>
            </w:r>
            <w:r>
              <w:rPr>
                <w:b/>
                <w:i/>
              </w:rPr>
              <w:t>;</w:t>
            </w:r>
            <w:r>
              <w:t xml:space="preserve"> </w:t>
            </w:r>
            <w:r>
              <w:rPr>
                <w:b/>
                <w:i/>
              </w:rPr>
              <w:t>podsjeća da je kriptoimovina vrlo nestabilna i neproduktivna imovina koja se uglavnom upotrebljava u špekulativne svrhe</w:t>
            </w:r>
            <w:r>
              <w:t>; poziva na dosljedan nadzor kako bi se osiguralo da inovacije služe javnosti; poziva tijela EU-a i nacionalna tijela da prate izloženost, obrate pozornost na špekulativne rizike, bore se protiv financijskog kriminala i zaštite potrošače;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prima na znanje rizike i prilike povezane s kriptoimovinom; poziva na dosljedan nadzor </w:t>
            </w:r>
            <w:r>
              <w:rPr>
                <w:b/>
                <w:i/>
              </w:rPr>
              <w:t>kako bi se osiguralo da inovacije služe javnosti</w:t>
            </w:r>
            <w:r>
              <w:t>; poziva tijela EU-a i nacionalna tijela da prate izloženost, obrate pozornost na špekulativne rizike, bore se protiv financijskog kriminala i zaštite potrošače;</w:t>
            </w:r>
          </w:p>
        </w:tc>
        <w:tc>
          <w:tcPr>
            <w:tcW w:w="4876" w:type="dxa"/>
            <w:tcBorders>
              <w:top w:val="nil"/>
              <w:left w:val="nil"/>
              <w:bottom w:val="nil"/>
              <w:right w:val="nil"/>
            </w:tcBorders>
          </w:tcPr>
          <w:p>
            <w:pPr>
              <w:pStyle w:val="Normal6a"/>
            </w:pPr>
            <w:r>
              <w:t>14.</w:t>
            </w:r>
            <w:r>
              <w:tab/>
            </w:r>
            <w:r>
              <w:t xml:space="preserve">prima na znanje rizike i prilike povezane s kriptoimovinom; poziva na dosljedan nadzor </w:t>
            </w:r>
            <w:r>
              <w:rPr>
                <w:b/>
                <w:i/>
              </w:rPr>
              <w:t>koji pogoduje inovacijama</w:t>
            </w:r>
            <w:r>
              <w:t>; poziva tijela EU-a i nacionalna tijela da prate izloženost, obrate pozornost na špekulativne rizike, bore se protiv financijskog kriminala i zaštite potrošače;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prima na znanje rizike i prilike povezane s kriptoimovinom; poziva na </w:t>
            </w:r>
            <w:r>
              <w:rPr>
                <w:b/>
                <w:i/>
              </w:rPr>
              <w:t>dosljedan</w:t>
            </w:r>
            <w:r>
              <w:t xml:space="preserve"> nadzor kako bi se osiguralo da inovacije služe javnosti; poziva tijela EU-a i nacionalna tijela da prate izloženost, obrate pozornost na špekulativne rizike, bore se protiv financijskog kriminala i zaštite potrošače;</w:t>
            </w:r>
          </w:p>
        </w:tc>
        <w:tc>
          <w:tcPr>
            <w:tcW w:w="4876" w:type="dxa"/>
            <w:tcBorders>
              <w:top w:val="nil"/>
              <w:left w:val="nil"/>
              <w:bottom w:val="nil"/>
              <w:right w:val="nil"/>
            </w:tcBorders>
          </w:tcPr>
          <w:p>
            <w:pPr>
              <w:pStyle w:val="Normal6a"/>
            </w:pPr>
            <w:r>
              <w:t>14.</w:t>
            </w:r>
            <w:r>
              <w:tab/>
            </w:r>
            <w:r>
              <w:t xml:space="preserve">prima na znanje rizike i prilike povezane s kriptoimovinom; poziva na </w:t>
            </w:r>
            <w:r>
              <w:rPr>
                <w:b/>
                <w:i/>
              </w:rPr>
              <w:t>kvalitetan</w:t>
            </w:r>
            <w:r>
              <w:t xml:space="preserve"> nadzor kako bi se osiguralo da inovacije služe javnosti; poziva tijela EU-a i nacionalna tijela da prate izloženost, obrate pozornost na špekulativne rizike, bore se protiv financijskog kriminala i zaštite potrošače;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prima na znanje rizike i prilike povezane s kriptoimovinom; poziva na dosljedan nadzor kako bi se osiguralo da inovacije služe javnosti; poziva tijela EU-a i nacionalna tijela da prate izloženost, obrate pozornost na špekulativne rizike, bore se protiv financijskog kriminala i zaštite potrošače;</w:t>
            </w:r>
          </w:p>
        </w:tc>
        <w:tc>
          <w:tcPr>
            <w:tcW w:w="4876" w:type="dxa"/>
            <w:tcBorders>
              <w:top w:val="nil"/>
              <w:left w:val="nil"/>
              <w:bottom w:val="nil"/>
              <w:right w:val="nil"/>
            </w:tcBorders>
          </w:tcPr>
          <w:p>
            <w:pPr>
              <w:pStyle w:val="Normal6a"/>
            </w:pPr>
            <w:r>
              <w:t>14.</w:t>
            </w:r>
            <w:r>
              <w:tab/>
            </w:r>
            <w:r>
              <w:t xml:space="preserve">prima na znanje rizike i prilike povezane s kriptoimovinom; poziva na dosljedan nadzor kako bi se osiguralo da inovacije služe javnosti; poziva tijela EU-a i nacionalna tijela da prate izloženost, obrate pozornost na špekulativne rizike, bore se protiv financijskog kriminala i zaštite potrošače; </w:t>
            </w:r>
            <w:r>
              <w:rPr>
                <w:b/>
                <w:i/>
              </w:rPr>
              <w:t>naglašava važnost globalnih standarda u tom području i potrebu za traženjem načina za poticanje razvoja stabilnih kriptovaluta denominiranih u eurima kako bi se očuvao monetarni suverenitet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Komisiju, EBA-u i nacionalna nadležna tijela u okviru bankovne unije da osiguraju strogu, dosljednu i vjernu provedbu i izvršenje Uredbe (EU) 2023/1114 kao nužne dopune okviru Unije za financijsku stabilnost banaka;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potvrđuje rizike koje stabilne kriptovalute s višestrukim izdavanjem iz trećih zemalja predstavljaju za banke u EU-u te da bi regulatorna arbitraža među jurisdikcijama mogla dovesti do propasti banaka u EU-u i imati učinke prelijevanja;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poziva Komisiju, EBA-u i nacionalna nadležna tijela da na odgovarajući način uzmu u obzir mišljenja, savjete i preporuke ESB-a i ESRB-a;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naglašava da bi se potencijalnom tolerancijom, fragmentacijom ili izuzećima u okviru nadzora tijekom primjene Uredbe MiCA povećao rizik od masovne nabave stabilnih kriptovaluta i širenja zaraze na banke, tržišta državnog duga i platne sustave unutar bankovne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pozdravlja reformu</w:t>
            </w:r>
            <w:r>
              <w:t xml:space="preserve"> upravljanja krizama i osiguranja depozita </w:t>
            </w:r>
            <w:r>
              <w:rPr>
                <w:b/>
                <w:i/>
              </w:rPr>
              <w:t>(CMDI) za dosljedno</w:t>
            </w:r>
            <w:r>
              <w:t xml:space="preserve"> upravljanje krizama i osiguranje depozita</w:t>
            </w:r>
            <w:r>
              <w:rPr>
                <w:b/>
                <w:i/>
              </w:rPr>
              <w:t>, jačanje stabilnosti, zaštitu štednje i poreznih obveznika;</w:t>
            </w:r>
            <w:r>
              <w:t xml:space="preserve"> </w:t>
            </w:r>
            <w:r>
              <w:rPr>
                <w:b/>
                <w:i/>
              </w:rPr>
              <w:t>naglašava da bi manje banke trebale biti fleksibilne, dok bi tijela trebala raspolagati učinkovitim alatima kako bi se osigurala otporna i društveno odgovorna bankovna unija</w:t>
            </w:r>
            <w:r>
              <w:t>;</w:t>
            </w:r>
          </w:p>
        </w:tc>
        <w:tc>
          <w:tcPr>
            <w:tcW w:w="4876" w:type="dxa"/>
            <w:tcBorders>
              <w:top w:val="nil"/>
              <w:left w:val="nil"/>
              <w:bottom w:val="nil"/>
              <w:right w:val="nil"/>
            </w:tcBorders>
          </w:tcPr>
          <w:p>
            <w:pPr>
              <w:pStyle w:val="Normal6a"/>
            </w:pPr>
            <w:r>
              <w:t>15.</w:t>
            </w:r>
            <w:r>
              <w:tab/>
            </w:r>
            <w:r>
              <w:rPr>
                <w:b/>
                <w:i/>
              </w:rPr>
              <w:t>izražava zabrinutost zbog reforme</w:t>
            </w:r>
            <w:r>
              <w:t xml:space="preserve"> upravljanja krizama i osiguranja depozita </w:t>
            </w:r>
            <w:r>
              <w:rPr>
                <w:b/>
                <w:i/>
              </w:rPr>
              <w:t>u trenutačnom obliku;</w:t>
            </w:r>
            <w:r>
              <w:t xml:space="preserve"> </w:t>
            </w:r>
            <w:r>
              <w:rPr>
                <w:b/>
                <w:i/>
              </w:rPr>
              <w:t>odbacuje svaki plan kojim se prikrivaju temeljni rizici nesolventnosti s pomoću složenih zaštitnih mehanizama i podjele rizika te kritizira sam koncept objedinjavanja gubitaka u državama članicama, čime bi se u osnovi socijalizirali rizici banaka i smanjila tržišna disciplina;</w:t>
            </w:r>
            <w:r>
              <w:t xml:space="preserve"> </w:t>
            </w:r>
            <w:r>
              <w:rPr>
                <w:b/>
                <w:i/>
              </w:rPr>
              <w:t>postojeći okvir za</w:t>
            </w:r>
            <w:r>
              <w:t xml:space="preserve"> upravljanje krizama i osiguranje depozita </w:t>
            </w:r>
            <w:r>
              <w:rPr>
                <w:b/>
                <w:i/>
              </w:rPr>
              <w:t>ne bi trebao opravdati preuranjeno širenje prekogranične podjele rizika bez jasnih mehanizama izlaska i odgovornosti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pozdravlja</w:t>
            </w:r>
            <w:r>
              <w:t xml:space="preserve"> reformu </w:t>
            </w:r>
            <w:r>
              <w:rPr>
                <w:b/>
                <w:i/>
              </w:rPr>
              <w:t>upravljanja krizama i osiguranja depozita (CMDI) za dosljedno</w:t>
            </w:r>
            <w:r>
              <w:t xml:space="preserve"> upravljanje krizama i osiguranje depozita, jačanje stabilnosti</w:t>
            </w:r>
            <w:r>
              <w:rPr>
                <w:b/>
                <w:i/>
              </w:rPr>
              <w:t>, zaštitu</w:t>
            </w:r>
            <w:r>
              <w:t xml:space="preserve"> štednje i poreznih obveznika; naglašava da bi </w:t>
            </w:r>
            <w:r>
              <w:rPr>
                <w:b/>
                <w:i/>
              </w:rPr>
              <w:t>manje</w:t>
            </w:r>
            <w:r>
              <w:t xml:space="preserve"> banke trebale biti fleksibilne, dok bi tijela trebala raspolagati učinkovitim alatima kako bi se osigurala otporna </w:t>
            </w:r>
            <w:r>
              <w:rPr>
                <w:b/>
                <w:i/>
              </w:rPr>
              <w:t>i društveno odgovorna</w:t>
            </w:r>
            <w:r>
              <w:t xml:space="preserve"> bankovna unija;</w:t>
            </w:r>
          </w:p>
        </w:tc>
        <w:tc>
          <w:tcPr>
            <w:tcW w:w="4876" w:type="dxa"/>
            <w:tcBorders>
              <w:top w:val="nil"/>
              <w:left w:val="nil"/>
              <w:bottom w:val="nil"/>
              <w:right w:val="nil"/>
            </w:tcBorders>
          </w:tcPr>
          <w:p>
            <w:pPr>
              <w:pStyle w:val="Normal6a"/>
            </w:pPr>
            <w:r>
              <w:t>15.</w:t>
            </w:r>
            <w:r>
              <w:tab/>
            </w:r>
            <w:r>
              <w:rPr>
                <w:b/>
                <w:i/>
              </w:rPr>
              <w:t>prima na znanje</w:t>
            </w:r>
            <w:r>
              <w:t xml:space="preserve"> reformu </w:t>
            </w:r>
            <w:r>
              <w:rPr>
                <w:b/>
                <w:i/>
              </w:rPr>
              <w:t>okvira za</w:t>
            </w:r>
            <w:r>
              <w:t xml:space="preserve"> upravljanje krizama i osiguranje depozita </w:t>
            </w:r>
            <w:r>
              <w:rPr>
                <w:b/>
                <w:i/>
              </w:rPr>
              <w:t>(CMDI) kojoj je svrha poboljšanje upravljanja krizama i osiguranja depozita</w:t>
            </w:r>
            <w:r>
              <w:t xml:space="preserve">, jačanje stabilnosti </w:t>
            </w:r>
            <w:r>
              <w:rPr>
                <w:b/>
                <w:i/>
              </w:rPr>
              <w:t>te zaštita</w:t>
            </w:r>
            <w:r>
              <w:t xml:space="preserve"> štednje i poreznih obveznika; naglašava da bi </w:t>
            </w:r>
            <w:r>
              <w:rPr>
                <w:b/>
                <w:i/>
              </w:rPr>
              <w:t>male i srednje</w:t>
            </w:r>
            <w:r>
              <w:t xml:space="preserve"> banke trebale biti fleksibilne, dok bi tijela trebala raspolagati učinkovitim alatima kako bi se osigurala otporna bankovna unija; </w:t>
            </w:r>
            <w:r>
              <w:rPr>
                <w:b/>
                <w:i/>
              </w:rPr>
              <w:t>ističe da bi sanacija trebala biti standardna opcija samo za one banke čija bi propast utjecala na financijsku stabilnost te da je stoga stečajni postupak i dalje standardna opcija za male i srednje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da bi </w:t>
            </w:r>
            <w:r>
              <w:rPr>
                <w:b/>
                <w:i/>
              </w:rPr>
              <w:t>manje</w:t>
            </w:r>
            <w:r>
              <w:t xml:space="preserve"> banke </w:t>
            </w:r>
            <w:r>
              <w:rPr>
                <w:b/>
                <w:i/>
              </w:rPr>
              <w:t>trebale biti fleksibilne, dok bi tijela</w:t>
            </w:r>
            <w:r>
              <w:t xml:space="preserve"> trebala </w:t>
            </w:r>
            <w:r>
              <w:rPr>
                <w:b/>
                <w:i/>
              </w:rPr>
              <w:t>raspolagati učinkovitim alatima kako bi se osigurala otporna i društveno odgovorna bankovna unija</w:t>
            </w:r>
            <w:r>
              <w:t>;</w:t>
            </w:r>
          </w:p>
        </w:tc>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w:t>
            </w:r>
            <w:r>
              <w:rPr>
                <w:b/>
                <w:i/>
              </w:rPr>
              <w:t>potrebu za fleksibilnošću manjih banaka i za time da vlasti imaju učinkovite alate za odgovor na propadanje banaka i zaštitu financijske stabilnosti, među ostalim u sistemskom scenariju;</w:t>
            </w:r>
            <w:r>
              <w:t xml:space="preserve"> </w:t>
            </w:r>
            <w:r>
              <w:rPr>
                <w:b/>
                <w:i/>
              </w:rPr>
              <w:t>ponavlja da je cilj sanacije banaka zaštititi financijsku stabilnost i osigurati ključne funkcije banaka, a ne sanirati vjerovnike ili dioničare;</w:t>
            </w:r>
            <w:r>
              <w:t xml:space="preserve"> </w:t>
            </w:r>
            <w:r>
              <w:rPr>
                <w:b/>
                <w:i/>
              </w:rPr>
              <w:t>naglašava</w:t>
            </w:r>
            <w:r>
              <w:t xml:space="preserve"> da bi </w:t>
            </w:r>
            <w:r>
              <w:rPr>
                <w:b/>
                <w:i/>
              </w:rPr>
              <w:t>sanacija posrnule</w:t>
            </w:r>
            <w:r>
              <w:t xml:space="preserve"> banke </w:t>
            </w:r>
            <w:r>
              <w:rPr>
                <w:b/>
                <w:i/>
              </w:rPr>
              <w:t>redovnim stečajnim postupkom</w:t>
            </w:r>
            <w:r>
              <w:t xml:space="preserve"> trebala </w:t>
            </w:r>
            <w:r>
              <w:rPr>
                <w:b/>
                <w:i/>
              </w:rPr>
              <w:t>ostati standard za banke koje nisu sistemski važne i ako se time najučinkovitije štite ključne funkcije banke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da bi </w:t>
            </w:r>
            <w:r>
              <w:rPr>
                <w:b/>
                <w:i/>
              </w:rPr>
              <w:t>manje banke trebale biti fleksibilne, dok bi</w:t>
            </w:r>
            <w:r>
              <w:t xml:space="preserve"> tijela trebala raspolagati učinkovitim alatima kako bi se osigurala otporna i društveno odgovorna bankovna unija;</w:t>
            </w:r>
          </w:p>
        </w:tc>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da bi tijela trebala raspolagati učinkovitim </w:t>
            </w:r>
            <w:r>
              <w:rPr>
                <w:b/>
                <w:i/>
              </w:rPr>
              <w:t>i proporcionalnim</w:t>
            </w:r>
            <w:r>
              <w:t xml:space="preserve"> alatima kako bi se osigurala otporna i društveno odgovorna bankovna unija;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da bi manje banke trebale biti fleksibilne, dok bi tijela trebala raspolagati učinkovitim alatima </w:t>
            </w:r>
            <w:r>
              <w:rPr>
                <w:b/>
                <w:i/>
              </w:rPr>
              <w:t>kako bi se osigurala otporna i društveno odgovorna bankovna unija</w:t>
            </w:r>
            <w:r>
              <w:t>;</w:t>
            </w:r>
          </w:p>
        </w:tc>
        <w:tc>
          <w:tcPr>
            <w:tcW w:w="4876" w:type="dxa"/>
            <w:tcBorders>
              <w:top w:val="nil"/>
              <w:left w:val="nil"/>
              <w:bottom w:val="nil"/>
              <w:right w:val="nil"/>
            </w:tcBorders>
          </w:tcPr>
          <w:p>
            <w:pPr>
              <w:pStyle w:val="Normal6a"/>
            </w:pPr>
            <w:r>
              <w:t>15.</w:t>
            </w:r>
            <w:r>
              <w:tab/>
            </w:r>
            <w:r>
              <w:t>pozdravlja reformu upravljanja krizama i osiguranja depozita (CMDI) za dosljedno upravljanje krizama i osiguranje depozita, jačanje stabilnosti, zaštitu štednje i poreznih obveznika; naglašava da bi manje banke trebale biti fleksibilne, dok bi tijela trebala raspolagati učinkovitim alatima</w:t>
            </w:r>
            <w:r>
              <w:rPr>
                <w:b/>
                <w:i/>
              </w:rPr>
              <w:t>, uz potporu regulatornog okvira kojim se potiče razvoj banaka i doprinosi otpornoj i financijski stabilnoj bankovnoj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da bi manje banke trebale biti fleksibilne, dok bi tijela trebala raspolagati učinkovitim alatima kako bi se osigurala otporna </w:t>
            </w:r>
            <w:r>
              <w:rPr>
                <w:b/>
                <w:i/>
              </w:rPr>
              <w:t>i društveno odgovorna</w:t>
            </w:r>
            <w:r>
              <w:t xml:space="preserve"> bankovna unija;</w:t>
            </w:r>
          </w:p>
        </w:tc>
        <w:tc>
          <w:tcPr>
            <w:tcW w:w="4876" w:type="dxa"/>
            <w:tcBorders>
              <w:top w:val="nil"/>
              <w:left w:val="nil"/>
              <w:bottom w:val="nil"/>
              <w:right w:val="nil"/>
            </w:tcBorders>
          </w:tcPr>
          <w:p>
            <w:pPr>
              <w:pStyle w:val="Normal6a"/>
            </w:pPr>
            <w:r>
              <w:t>15.</w:t>
            </w:r>
            <w:r>
              <w:tab/>
            </w:r>
            <w:r>
              <w:t>pozdravlja reformu upravljanja krizama i osiguranja depozita (CMDI) za dosljedno upravljanje krizama i osiguranje depozita, jačanje stabilnosti, zaštitu štednje i poreznih obveznika; naglašava da bi manje banke trebale biti fleksibilne, dok bi tijela trebala raspolagati učinkovitim alatima kako bi se osigurala otporna bankovna unija;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w:t>
            </w:r>
            <w:r>
              <w:rPr>
                <w:b/>
                <w:i/>
              </w:rPr>
              <w:t>da bi manje banke trebale biti fleksibilne, dok bi tijela trebala raspolagati</w:t>
            </w:r>
            <w:r>
              <w:t xml:space="preserve"> učinkovitim alatima kako bi se osigurala otporna i društveno odgovorna bankovna unija;</w:t>
            </w:r>
          </w:p>
        </w:tc>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w:t>
            </w:r>
            <w:r>
              <w:rPr>
                <w:b/>
                <w:i/>
              </w:rPr>
              <w:t>te osiguravanje bolje upotrebe javnog novca za sanaciju kada je to u javnom interesu</w:t>
            </w:r>
            <w:r>
              <w:t xml:space="preserve">; naglašava </w:t>
            </w:r>
            <w:r>
              <w:rPr>
                <w:b/>
                <w:i/>
              </w:rPr>
              <w:t>važnost jasnog regulatornog okvira i toga da vlasti raspolažu</w:t>
            </w:r>
            <w:r>
              <w:t xml:space="preserve"> učinkovitim alatima</w:t>
            </w:r>
            <w:r>
              <w:rPr>
                <w:b/>
                <w:i/>
              </w:rPr>
              <w:t>, podacima i mehanizmima donošenja odluka</w:t>
            </w:r>
            <w:r>
              <w:t xml:space="preserve"> kako bi se osigurala otporna i društveno odgovorna bankovna unija;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pozdravlja reformu upravljanja krizama i osiguranja depozita (CMDI) za dosljedno upravljanje krizama i osiguranje depozita, jačanje stabilnosti, zaštitu štednje i poreznih obveznika; naglašava da bi manje banke trebale biti fleksibilne, dok bi tijela trebala raspolagati učinkovitim alatima kako bi se osigurala otporna i društveno odgovorna bankovna unija;</w:t>
            </w:r>
          </w:p>
        </w:tc>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da bi manje </w:t>
            </w:r>
            <w:r>
              <w:rPr>
                <w:b/>
                <w:i/>
              </w:rPr>
              <w:t>i srednje</w:t>
            </w:r>
            <w:r>
              <w:t xml:space="preserve"> banke</w:t>
            </w:r>
            <w:r>
              <w:rPr>
                <w:b/>
                <w:i/>
              </w:rPr>
              <w:t>, za koje okvir za sanaciju često neće biti najprikladniji instrument i za koje je likvidacija u redovnom postupku u slučaju nesolventnosti i dalje najpoželjnija opcija,</w:t>
            </w:r>
            <w:r>
              <w:t xml:space="preserve"> trebale biti fleksibilne, dok bi tijela trebala raspolagati učinkovitim alatima kako bi se osigurala otporna i društveno odgovorna bankovna unija;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pozdravlja reformu upravljanja krizama i osiguranja depozita (CMDI) za dosljedno upravljanje krizama i osiguranje depozita, jačanje stabilnosti, zaštitu štednje i poreznih obveznika; naglašava da bi manje banke trebale biti fleksibilne, dok bi tijela trebala raspolagati učinkovitim alatima kako bi se osigurala otporna i društveno odgovorna bankovna unija;</w:t>
            </w:r>
          </w:p>
        </w:tc>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da bi manje </w:t>
            </w:r>
            <w:r>
              <w:rPr>
                <w:b/>
                <w:i/>
              </w:rPr>
              <w:t>i srednje</w:t>
            </w:r>
            <w:r>
              <w:t xml:space="preserve"> banke</w:t>
            </w:r>
            <w:r>
              <w:rPr>
                <w:b/>
                <w:i/>
              </w:rPr>
              <w:t>, za koje okvir za sanaciju često neće biti najprikladniji instrument i za koje je likvidacija u redovnom postupku u slučaju nesolventnosti i dalje najpoželjnija opcija,</w:t>
            </w:r>
            <w:r>
              <w:t xml:space="preserve"> trebale biti fleksibilne, dok bi tijela trebala raspolagati učinkovitim alatima kako bi se osigurala otporna i društveno odgovorna bankovna unija;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pozdravlja reformu upravljanja krizama i osiguranja depozita (CMDI) za dosljedno upravljanje krizama i osiguranje depozita, jačanje stabilnosti, zaštitu štednje i poreznih obveznika; naglašava da bi manje banke trebale biti fleksibilne, dok bi tijela trebala raspolagati učinkovitim alatima kako bi se osigurala otporna i društveno odgovorna bankovna unija;</w:t>
            </w:r>
          </w:p>
        </w:tc>
        <w:tc>
          <w:tcPr>
            <w:tcW w:w="4876" w:type="dxa"/>
            <w:tcBorders>
              <w:top w:val="nil"/>
              <w:left w:val="nil"/>
              <w:bottom w:val="nil"/>
              <w:right w:val="nil"/>
            </w:tcBorders>
          </w:tcPr>
          <w:p>
            <w:pPr>
              <w:pStyle w:val="Normal6a"/>
            </w:pPr>
            <w:r>
              <w:t>15.</w:t>
            </w:r>
            <w:r>
              <w:tab/>
            </w:r>
            <w:r>
              <w:t xml:space="preserve">pozdravlja reformu upravljanja krizama i osiguranja depozita (CMDI) za dosljedno upravljanje krizama i osiguranje depozita, jačanje stabilnosti, zaštitu štednje i poreznih obveznika; naglašava da bi manje banke trebale biti fleksibilne, dok bi tijela trebala raspolagati učinkovitim alatima kako bi se osigurala otporna i društveno odgovorna bankovna unija; </w:t>
            </w:r>
            <w:r>
              <w:rPr>
                <w:b/>
                <w:i/>
              </w:rPr>
              <w:t>naglašava da je potrebno olakšati upotrebu fondova za osiguranje depozita za sanaciju;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pozdravlja Prijedlog direktive Europskog parlamenta i Vijeća o usklađivanju određenih aspekata prava o nesolventnosti jer bi daljnje usklađivanje zakona o nesolventnosti i postupaka restrukturiranja moglo potaknuti dovršetak bankovne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naglašava </w:t>
            </w:r>
            <w:r>
              <w:rPr>
                <w:b/>
                <w:i/>
              </w:rPr>
              <w:t>da bi</w:t>
            </w:r>
            <w:r>
              <w:t xml:space="preserve"> u slučaju propasti banaka </w:t>
            </w:r>
            <w:r>
              <w:rPr>
                <w:b/>
                <w:i/>
              </w:rPr>
              <w:t>dioničari, vjerovnici ili mehanizmi koje financira industrija trebali prvi snositi</w:t>
            </w:r>
            <w:r>
              <w:t xml:space="preserve"> odgovornost, </w:t>
            </w:r>
            <w:r>
              <w:rPr>
                <w:b/>
                <w:i/>
              </w:rPr>
              <w:t>a javna sredstva trebala bi se koristiti samo kao krajnja mjera, u skladu s fiskalnom odgovornošću, društvenom pravdom i tržišnom disciplinom</w:t>
            </w:r>
            <w:r>
              <w:t>;</w:t>
            </w:r>
          </w:p>
        </w:tc>
        <w:tc>
          <w:tcPr>
            <w:tcW w:w="4876" w:type="dxa"/>
            <w:tcBorders>
              <w:top w:val="nil"/>
              <w:left w:val="nil"/>
              <w:bottom w:val="nil"/>
              <w:right w:val="nil"/>
            </w:tcBorders>
          </w:tcPr>
          <w:p>
            <w:pPr>
              <w:pStyle w:val="Normal6a"/>
            </w:pPr>
            <w:r>
              <w:t>16.</w:t>
            </w:r>
            <w:r>
              <w:tab/>
            </w:r>
            <w:r>
              <w:t xml:space="preserve">naglašava </w:t>
            </w:r>
            <w:r>
              <w:rPr>
                <w:b/>
                <w:i/>
              </w:rPr>
              <w:t>potrebu za kontinuiranim i učinkovitim nadzorom usklađenosti s bonitetnim pravilima i pravilima sanacije kojima se osigurava vjerodostojnost i učinkovita provedba instrumenata sanacije vlastitim sredstvima</w:t>
            </w:r>
            <w:r>
              <w:t xml:space="preserve"> u slučaju propasti banaka</w:t>
            </w:r>
            <w:r>
              <w:rPr>
                <w:b/>
                <w:i/>
              </w:rPr>
              <w:t>;</w:t>
            </w:r>
            <w:r>
              <w:t xml:space="preserve"> </w:t>
            </w:r>
            <w:r>
              <w:rPr>
                <w:b/>
                <w:i/>
              </w:rPr>
              <w:t>naglašava da spašavanje financijskih institucija javnim sredstvima mora striktno ostati krajnja opcija kako bi se očuvala fiskalna</w:t>
            </w:r>
            <w:r>
              <w:t xml:space="preserve"> odgovornost, </w:t>
            </w:r>
            <w:r>
              <w:rPr>
                <w:b/>
                <w:i/>
              </w:rPr>
              <w:t>zaštitili porezni obveznici i očuvala tržišna disciplina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naglašava da bi u slučaju propasti banaka dioničari, vjerovnici ili mehanizmi koje financira industrija trebali prvi snositi </w:t>
            </w:r>
            <w:r>
              <w:rPr>
                <w:b/>
                <w:i/>
              </w:rPr>
              <w:t>odgovornost, a javna sredstva trebala bi se koristiti samo kao krajnja mjera,</w:t>
            </w:r>
            <w:r>
              <w:t xml:space="preserve"> u skladu s </w:t>
            </w:r>
            <w:r>
              <w:rPr>
                <w:b/>
                <w:i/>
              </w:rPr>
              <w:t>fiskalnom odgovornošću, društvenom pravdom i tržišnom disciplinom</w:t>
            </w:r>
            <w:r>
              <w:t>;</w:t>
            </w:r>
          </w:p>
        </w:tc>
        <w:tc>
          <w:tcPr>
            <w:tcW w:w="4876" w:type="dxa"/>
            <w:tcBorders>
              <w:top w:val="nil"/>
              <w:left w:val="nil"/>
              <w:bottom w:val="nil"/>
              <w:right w:val="nil"/>
            </w:tcBorders>
          </w:tcPr>
          <w:p>
            <w:pPr>
              <w:pStyle w:val="Normal6a"/>
            </w:pPr>
            <w:r>
              <w:t>16.</w:t>
            </w:r>
            <w:r>
              <w:tab/>
            </w:r>
            <w:r>
              <w:t xml:space="preserve">naglašava da bi u slučaju propasti banaka dioničari, vjerovnici ili mehanizmi koje financira industrija trebali prvi snositi </w:t>
            </w:r>
            <w:r>
              <w:rPr>
                <w:b/>
                <w:i/>
              </w:rPr>
              <w:t>gubitke</w:t>
            </w:r>
            <w:r>
              <w:t xml:space="preserve"> u skladu s </w:t>
            </w:r>
            <w:r>
              <w:rPr>
                <w:b/>
                <w:i/>
              </w:rPr>
              <w:t>načelom odgovornosti i tržišne discipline</w:t>
            </w:r>
            <w:r>
              <w:t xml:space="preserve">; </w:t>
            </w:r>
            <w:r>
              <w:rPr>
                <w:b/>
                <w:i/>
              </w:rPr>
              <w:t>naglašava da bi upotrebu javnih sredstava trebalo predvidjeti samo kao krajnju mjeru i u iznimnim okolnostima kako bi se zaštitili porezni obveznici i očuvala financijska stabilnost;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naglašava da bi u slučaju propasti banaka </w:t>
            </w:r>
            <w:r>
              <w:rPr>
                <w:b/>
                <w:i/>
              </w:rPr>
              <w:t>dioničari, vjerovnici ili mehanizmi</w:t>
            </w:r>
            <w:r>
              <w:t xml:space="preserve"> koje financira industrija </w:t>
            </w:r>
            <w:r>
              <w:rPr>
                <w:b/>
                <w:i/>
              </w:rPr>
              <w:t>trebali prvi snositi odgovornost</w:t>
            </w:r>
            <w:r>
              <w:t>, a javna sredstva trebala bi se koristiti samo kao krajnja mjera, u skladu s fiskalnom odgovornošću, društvenom pravdom i tržišnom disciplinom;</w:t>
            </w:r>
          </w:p>
        </w:tc>
        <w:tc>
          <w:tcPr>
            <w:tcW w:w="4876" w:type="dxa"/>
            <w:tcBorders>
              <w:top w:val="nil"/>
              <w:left w:val="nil"/>
              <w:bottom w:val="nil"/>
              <w:right w:val="nil"/>
            </w:tcBorders>
          </w:tcPr>
          <w:p>
            <w:pPr>
              <w:pStyle w:val="Normal6a"/>
            </w:pPr>
            <w:r>
              <w:t>16.</w:t>
            </w:r>
            <w:r>
              <w:tab/>
            </w:r>
            <w:r>
              <w:t xml:space="preserve">naglašava da bi u slučaju propasti banaka </w:t>
            </w:r>
            <w:r>
              <w:rPr>
                <w:b/>
                <w:i/>
              </w:rPr>
              <w:t>sanacija vlastitim sredstvima dioničara i vjerovnika trebala biti prvi izvor financiranja sanacije prije bilo kakve upotrebe mehanizama</w:t>
            </w:r>
            <w:r>
              <w:t xml:space="preserve"> koje financira industrija </w:t>
            </w:r>
            <w:r>
              <w:rPr>
                <w:b/>
                <w:i/>
              </w:rPr>
              <w:t>kao druge linije obrane</w:t>
            </w:r>
            <w:r>
              <w:t>, a javna sredstva trebala bi se koristiti samo kao krajnja mjera, u skladu s fiskalnom odgovornošću, društvenom pravdom i tržišnom disciplinom;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naglašava da bi u slučaju propasti banaka dioničari, vjerovnici ili mehanizmi koje financira industrija trebali prvi snositi odgovornost, a javna sredstva trebala bi se koristiti samo kao krajnja mjera, u skladu s fiskalnom odgovornošću</w:t>
            </w:r>
            <w:r>
              <w:rPr>
                <w:b/>
                <w:i/>
              </w:rPr>
              <w:t>, društvenom pravdom</w:t>
            </w:r>
            <w:r>
              <w:t xml:space="preserve"> i tržišnom disciplinom;</w:t>
            </w:r>
          </w:p>
        </w:tc>
        <w:tc>
          <w:tcPr>
            <w:tcW w:w="4876" w:type="dxa"/>
            <w:tcBorders>
              <w:top w:val="nil"/>
              <w:left w:val="nil"/>
              <w:bottom w:val="nil"/>
              <w:right w:val="nil"/>
            </w:tcBorders>
          </w:tcPr>
          <w:p>
            <w:pPr>
              <w:pStyle w:val="Normal6a"/>
            </w:pPr>
            <w:r>
              <w:t>16.</w:t>
            </w:r>
            <w:r>
              <w:tab/>
            </w:r>
            <w:r>
              <w:t xml:space="preserve">naglašava da bi u slučaju propasti banaka dioničari, vjerovnici ili mehanizmi koje financira industrija trebali prvi snositi odgovornost, a javna sredstva trebala bi se koristiti samo kao krajnja mjera </w:t>
            </w:r>
            <w:r>
              <w:rPr>
                <w:b/>
                <w:i/>
              </w:rPr>
              <w:t>jer se mora izbjeći oslanjanje na novac poreznih obveznika za sanaciju banaka</w:t>
            </w:r>
            <w:r>
              <w:t>, u skladu s fiskalnom odgovornošću i tržišnom disciplinom;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naglašava da bi u slučaju propasti banaka dioničari, vjerovnici ili mehanizmi koje financira industrija trebali prvi snositi odgovornost, a javna sredstva trebala bi se koristiti samo kao krajnja mjera, u skladu s fiskalnom odgovornošću</w:t>
            </w:r>
            <w:r>
              <w:rPr>
                <w:b/>
                <w:i/>
              </w:rPr>
              <w:t>, društvenom pravdom</w:t>
            </w:r>
            <w:r>
              <w:t xml:space="preserve"> i tržišnom disciplinom;</w:t>
            </w:r>
          </w:p>
        </w:tc>
        <w:tc>
          <w:tcPr>
            <w:tcW w:w="4876" w:type="dxa"/>
            <w:tcBorders>
              <w:top w:val="nil"/>
              <w:left w:val="nil"/>
              <w:bottom w:val="nil"/>
              <w:right w:val="nil"/>
            </w:tcBorders>
          </w:tcPr>
          <w:p>
            <w:pPr>
              <w:pStyle w:val="Normal6a"/>
            </w:pPr>
            <w:r>
              <w:t>16.</w:t>
            </w:r>
            <w:r>
              <w:tab/>
            </w:r>
            <w:r>
              <w:t>naglašava da bi u slučaju propasti banaka dioničari, vjerovnici ili mehanizmi koje financira industrija trebali prvi snositi odgovornost, a javna sredstva trebala bi se koristiti samo kao krajnja mjera, u skladu s fiskalnom odgovornošću i tržišnom disciplinom;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naglašava da </w:t>
            </w:r>
            <w:r>
              <w:rPr>
                <w:b/>
                <w:i/>
              </w:rPr>
              <w:t>bi</w:t>
            </w:r>
            <w:r>
              <w:t xml:space="preserve"> u slučaju propasti banaka dioničari, vjerovnici ili mehanizmi koje financira industrija </w:t>
            </w:r>
            <w:r>
              <w:rPr>
                <w:b/>
                <w:i/>
              </w:rPr>
              <w:t>trebali</w:t>
            </w:r>
            <w:r>
              <w:t xml:space="preserve"> prvi snositi odgovornost, a javna sredstva trebala bi se koristiti samo kao krajnja mjera, u skladu s fiskalnom odgovornošću, društvenom pravdom i tržišnom disciplinom;</w:t>
            </w:r>
          </w:p>
        </w:tc>
        <w:tc>
          <w:tcPr>
            <w:tcW w:w="4876" w:type="dxa"/>
            <w:tcBorders>
              <w:top w:val="nil"/>
              <w:left w:val="nil"/>
              <w:bottom w:val="nil"/>
              <w:right w:val="nil"/>
            </w:tcBorders>
          </w:tcPr>
          <w:p>
            <w:pPr>
              <w:pStyle w:val="Normal6a"/>
            </w:pPr>
            <w:r>
              <w:t>16.</w:t>
            </w:r>
            <w:r>
              <w:tab/>
            </w:r>
            <w:r>
              <w:t xml:space="preserve">naglašava da u slučaju propasti banaka dioničari, vjerovnici ili mehanizmi koje financira industrija </w:t>
            </w:r>
            <w:r>
              <w:rPr>
                <w:b/>
                <w:i/>
              </w:rPr>
              <w:t>moraju</w:t>
            </w:r>
            <w:r>
              <w:t xml:space="preserve"> prvi snositi odgovornost, a javna sredstva trebala bi se koristiti samo kao krajnja mjera, u skladu s fiskalnom odgovornošću, društvenom pravdom i tržišnom disciplinom;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podsjeća da je </w:t>
            </w:r>
            <w:r>
              <w:rPr>
                <w:b/>
                <w:i/>
              </w:rPr>
              <w:t>dovoljan</w:t>
            </w:r>
            <w:r>
              <w:t xml:space="preserve"> minimalan zahtjev za regulatorni kapital i prihvatljive obveze </w:t>
            </w:r>
            <w:r>
              <w:rPr>
                <w:b/>
                <w:i/>
              </w:rPr>
              <w:t>nužan</w:t>
            </w:r>
            <w:r>
              <w:t xml:space="preserve"> za vjerodostojan okvir za sanaciju i za osiguravanje da tijela imaju dovoljnu fleksibilnost za učinkovitu primjenu sanacijskih strategija u </w:t>
            </w:r>
            <w:r>
              <w:rPr>
                <w:b/>
                <w:i/>
              </w:rPr>
              <w:t>kriznoj situaciji</w:t>
            </w:r>
            <w:r>
              <w:t>;</w:t>
            </w:r>
          </w:p>
        </w:tc>
        <w:tc>
          <w:tcPr>
            <w:tcW w:w="4876" w:type="dxa"/>
            <w:tcBorders>
              <w:top w:val="nil"/>
              <w:left w:val="nil"/>
              <w:bottom w:val="nil"/>
              <w:right w:val="nil"/>
            </w:tcBorders>
          </w:tcPr>
          <w:p>
            <w:pPr>
              <w:pStyle w:val="Normal6a"/>
            </w:pPr>
            <w:r>
              <w:t>17.</w:t>
            </w:r>
            <w:r>
              <w:tab/>
            </w:r>
            <w:r>
              <w:t xml:space="preserve">podsjeća da je </w:t>
            </w:r>
            <w:r>
              <w:rPr>
                <w:b/>
                <w:i/>
              </w:rPr>
              <w:t>odgovarajući</w:t>
            </w:r>
            <w:r>
              <w:t xml:space="preserve"> minimalan zahtjev za regulatorni kapital i prihvatljive obveze </w:t>
            </w:r>
            <w:r>
              <w:rPr>
                <w:b/>
                <w:i/>
              </w:rPr>
              <w:t>ključan</w:t>
            </w:r>
            <w:r>
              <w:t xml:space="preserve"> za vjerodostojan okvir za sanaciju i za osiguravanje da tijela imaju dovoljnu fleksibilnost za učinkovitu primjenu sanacijskih strategija u </w:t>
            </w:r>
            <w:r>
              <w:rPr>
                <w:b/>
                <w:i/>
              </w:rPr>
              <w:t>kriznim situacijama, pri čemu se osigurava tržišna disciplina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podsjeća da je dovoljan minimalan zahtjev za regulatorni kapital i prihvatljive obveze nužan za vjerodostojan okvir za sanaciju i za osiguravanje da tijela imaju dovoljnu fleksibilnost za učinkovitu primjenu sanacijskih strategija u kriznoj situaciji;</w:t>
            </w:r>
          </w:p>
        </w:tc>
        <w:tc>
          <w:tcPr>
            <w:tcW w:w="4876" w:type="dxa"/>
            <w:tcBorders>
              <w:top w:val="nil"/>
              <w:left w:val="nil"/>
              <w:bottom w:val="nil"/>
              <w:right w:val="nil"/>
            </w:tcBorders>
          </w:tcPr>
          <w:p>
            <w:pPr>
              <w:pStyle w:val="Normal6a"/>
            </w:pPr>
            <w:r>
              <w:t>17.</w:t>
            </w:r>
            <w:r>
              <w:tab/>
            </w:r>
            <w:r>
              <w:t xml:space="preserve">podsjeća da je dovoljan minimalan zahtjev za regulatorni kapital i prihvatljive obveze nužan za vjerodostojan okvir za sanaciju i za osiguravanje da tijela imaju dovoljnu fleksibilnost za učinkovitu primjenu sanacijskih strategija u kriznoj situaciji; </w:t>
            </w:r>
            <w:r>
              <w:rPr>
                <w:b/>
                <w:i/>
              </w:rPr>
              <w:t>naglašava da bi zahtjevi za minimalni regulatorni kapital i prihvatljive obveze trebali biti prilagođeni stvarnoj sanacijskoj strategiji svake banke, posebno kada se uz mehanizme sanacije vlastitim sredstvima upotrebljavaju instrumenti za prijenos, kako bi se osigurala pravna jasnoća i proporcionalnost;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podsjeća da je dovoljan minimalan zahtjev za regulatorni kapital i prihvatljive obveze nužan za vjerodostojan okvir za sanaciju i za osiguravanje da tijela imaju dovoljnu fleksibilnost za učinkovitu primjenu sanacijskih strategija u kriznoj situaciji;</w:t>
            </w:r>
          </w:p>
        </w:tc>
        <w:tc>
          <w:tcPr>
            <w:tcW w:w="4876" w:type="dxa"/>
            <w:tcBorders>
              <w:top w:val="nil"/>
              <w:left w:val="nil"/>
              <w:bottom w:val="nil"/>
              <w:right w:val="nil"/>
            </w:tcBorders>
          </w:tcPr>
          <w:p>
            <w:pPr>
              <w:pStyle w:val="Normal6a"/>
            </w:pPr>
            <w:r>
              <w:t>17.</w:t>
            </w:r>
            <w:r>
              <w:tab/>
            </w:r>
            <w:r>
              <w:t xml:space="preserve">podsjeća da je dovoljan minimalan zahtjev za regulatorni kapital i prihvatljive obveze nužan za vjerodostojan okvir za sanaciju i za osiguravanje da tijela imaju dovoljnu fleksibilnost za učinkovitu primjenu sanacijskih strategija u kriznoj situaciji; </w:t>
            </w:r>
            <w:r>
              <w:rPr>
                <w:b/>
                <w:i/>
              </w:rPr>
              <w:t>ističe da je dostupnost dostatnog minimalnog zahtjeva za regulatorni kapital i prihvatljive obveze (MREL) i kolaterala u sanaciji preduvjet za provedivost sanacije banaka te da bi MREL trebalo postaviti na vrlo oprezan način;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podsjeća da je dovoljan minimalan zahtjev za regulatorni kapital i prihvatljive obveze nužan za vjerodostojan okvir za sanaciju i za osiguravanje da tijela imaju dovoljnu fleksibilnost za učinkovitu primjenu sanacijskih strategija u kriznoj situaciji;</w:t>
            </w:r>
          </w:p>
        </w:tc>
        <w:tc>
          <w:tcPr>
            <w:tcW w:w="4876" w:type="dxa"/>
            <w:tcBorders>
              <w:top w:val="nil"/>
              <w:left w:val="nil"/>
              <w:bottom w:val="nil"/>
              <w:right w:val="nil"/>
            </w:tcBorders>
          </w:tcPr>
          <w:p>
            <w:pPr>
              <w:pStyle w:val="Normal6a"/>
            </w:pPr>
            <w:r>
              <w:t>17.</w:t>
            </w:r>
            <w:r>
              <w:tab/>
            </w:r>
            <w:r>
              <w:t xml:space="preserve">podsjeća da je dovoljan minimalan zahtjev za regulatorni kapital i prihvatljive obveze nužan za vjerodostojan okvir za sanaciju i za osiguravanje da tijela imaju dovoljnu fleksibilnost za učinkovitu primjenu sanacijskih strategija u kriznoj situaciji; </w:t>
            </w:r>
            <w:r>
              <w:rPr>
                <w:b/>
                <w:i/>
              </w:rPr>
              <w:t>ističe da bi taj minimalni zahtjev trebao biti dovoljan za učinkovitu provedbu svake sanacijske strategije uključene u sanacijski plan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naglašava da bi, ako se prihvatljive obveze banke izdaju ulagačima izvan EU-a, otpis ili konverzija tih obveza trebali biti izvršivi s potpunom sigurnošću kako bi se zaštitila učinkovita primjena sanacijskih instrumenata;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podsjeća da banke moraju nastaviti pružati osnovne usluge nakon sanacije; naglašava potrebu za jasnim i predvidljivim okvirom kojim se štite deponenti </w:t>
            </w:r>
            <w:r>
              <w:rPr>
                <w:b/>
                <w:i/>
              </w:rPr>
              <w:t>i</w:t>
            </w:r>
            <w:r>
              <w:t xml:space="preserve"> podupiru </w:t>
            </w:r>
            <w:r>
              <w:rPr>
                <w:b/>
                <w:i/>
              </w:rPr>
              <w:t>manji</w:t>
            </w:r>
            <w:r>
              <w:t xml:space="preserve"> klijenti i </w:t>
            </w:r>
            <w:r>
              <w:rPr>
                <w:b/>
                <w:i/>
              </w:rPr>
              <w:t>MSP-ovi</w:t>
            </w:r>
            <w:r>
              <w:t>;</w:t>
            </w:r>
          </w:p>
        </w:tc>
        <w:tc>
          <w:tcPr>
            <w:tcW w:w="4876" w:type="dxa"/>
            <w:tcBorders>
              <w:top w:val="nil"/>
              <w:left w:val="nil"/>
              <w:bottom w:val="nil"/>
              <w:right w:val="nil"/>
            </w:tcBorders>
          </w:tcPr>
          <w:p>
            <w:pPr>
              <w:pStyle w:val="Normal6a"/>
            </w:pPr>
            <w:r>
              <w:t>18.</w:t>
            </w:r>
            <w:r>
              <w:tab/>
            </w:r>
            <w:r>
              <w:t xml:space="preserve">podsjeća da banke moraju nastaviti pružati osnovne usluge nakon sanacije; naglašava potrebu za jasnim i predvidljivim okvirom kojim se štite deponenti </w:t>
            </w:r>
            <w:r>
              <w:rPr>
                <w:b/>
                <w:i/>
              </w:rPr>
              <w:t>te</w:t>
            </w:r>
            <w:r>
              <w:t xml:space="preserve"> podupiru klijenti i </w:t>
            </w:r>
            <w:r>
              <w:rPr>
                <w:b/>
                <w:i/>
              </w:rPr>
              <w:t>poduzeća, uključujući MSP-ove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podsjeća da banke moraju nastaviti pružati osnovne usluge </w:t>
            </w:r>
            <w:r>
              <w:rPr>
                <w:b/>
                <w:i/>
              </w:rPr>
              <w:t>nakon</w:t>
            </w:r>
            <w:r>
              <w:t xml:space="preserve"> sanacije; naglašava potrebu za jasnim i predvidljivim okvirom kojim se štite deponenti i podupiru manji klijenti i MSP-ovi;</w:t>
            </w:r>
          </w:p>
        </w:tc>
        <w:tc>
          <w:tcPr>
            <w:tcW w:w="4876" w:type="dxa"/>
            <w:tcBorders>
              <w:top w:val="nil"/>
              <w:left w:val="nil"/>
              <w:bottom w:val="nil"/>
              <w:right w:val="nil"/>
            </w:tcBorders>
          </w:tcPr>
          <w:p>
            <w:pPr>
              <w:pStyle w:val="Normal6a"/>
            </w:pPr>
            <w:r>
              <w:t>18.</w:t>
            </w:r>
            <w:r>
              <w:tab/>
            </w:r>
            <w:r>
              <w:t xml:space="preserve">podsjeća da banke moraju nastaviti pružati osnovne usluge </w:t>
            </w:r>
            <w:r>
              <w:rPr>
                <w:b/>
                <w:i/>
              </w:rPr>
              <w:t>tijekom</w:t>
            </w:r>
            <w:r>
              <w:t xml:space="preserve"> sanacije; naglašava potrebu za jasnim i predvidljivim okvirom kojim se štite deponenti i podupiru manji klijenti i MSP-ovi;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pozdravlja</w:t>
            </w:r>
            <w:r>
              <w:t xml:space="preserve"> Jedinstveni fond za sanaciju </w:t>
            </w:r>
            <w:r>
              <w:rPr>
                <w:b/>
                <w:i/>
              </w:rPr>
              <w:t>kao potpuno objedinjenu sigurnosnu mrežu koju financira industrija;</w:t>
            </w:r>
            <w:r>
              <w:t xml:space="preserve"> </w:t>
            </w:r>
            <w:r>
              <w:rPr>
                <w:b/>
                <w:i/>
              </w:rPr>
              <w:t>ponavlja poziv na potpunu ratifikaciju izmjene</w:t>
            </w:r>
            <w:r>
              <w:t xml:space="preserve"> Ugovora o ESM-u </w:t>
            </w:r>
            <w:r>
              <w:rPr>
                <w:b/>
                <w:i/>
              </w:rPr>
              <w:t>kako bi se ojačala vjerodostojnost, provedivost sanacije i otpornost europodručja</w:t>
            </w:r>
            <w:r>
              <w:t>;</w:t>
            </w:r>
          </w:p>
        </w:tc>
        <w:tc>
          <w:tcPr>
            <w:tcW w:w="4876" w:type="dxa"/>
            <w:tcBorders>
              <w:top w:val="nil"/>
              <w:left w:val="nil"/>
              <w:bottom w:val="nil"/>
              <w:right w:val="nil"/>
            </w:tcBorders>
          </w:tcPr>
          <w:p>
            <w:pPr>
              <w:pStyle w:val="Normal6a"/>
            </w:pPr>
            <w:r>
              <w:t>19.</w:t>
            </w:r>
            <w:r>
              <w:tab/>
            </w:r>
            <w:r>
              <w:rPr>
                <w:b/>
                <w:i/>
              </w:rPr>
              <w:t>kritički primjećuje da</w:t>
            </w:r>
            <w:r>
              <w:t xml:space="preserve"> Jedinstveni fond za sanaciju</w:t>
            </w:r>
            <w:r>
              <w:rPr>
                <w:b/>
                <w:i/>
              </w:rPr>
              <w:t>, iako je zamišljen kao sigurnosna mreža, trenutačno nameće nejasne metodologije doprinosa i nije dovoljno transparentan, što stvara dodatna troškovna opterećenja bez dokazivog povećanja učinkovitosti;</w:t>
            </w:r>
            <w:r>
              <w:t xml:space="preserve"> </w:t>
            </w:r>
            <w:r>
              <w:rPr>
                <w:b/>
                <w:i/>
              </w:rPr>
              <w:t>umjesto toga, sredstva bi se mogla bolje iskoristiti u okviru jasnijih nacionalnih scenarija za izvanredne situacije i na temelju tržišne discipline;</w:t>
            </w:r>
            <w:r>
              <w:t xml:space="preserve"> </w:t>
            </w:r>
            <w:r>
              <w:rPr>
                <w:b/>
                <w:i/>
              </w:rPr>
              <w:t>poštuje ovlasti nacionalnih parlamenata u pogledu ratifikacije međuvladinog</w:t>
            </w:r>
            <w:r>
              <w:t xml:space="preserve"> Ugovora o ESM-u;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pozdravlja</w:t>
            </w:r>
            <w:r>
              <w:t xml:space="preserve"> Jedinstveni fond za sanaciju kao potpuno </w:t>
            </w:r>
            <w:r>
              <w:rPr>
                <w:b/>
                <w:i/>
              </w:rPr>
              <w:t>objedinjenu sigurnosnu mrežu</w:t>
            </w:r>
            <w:r>
              <w:t xml:space="preserve"> koju financira industrija; </w:t>
            </w:r>
            <w:r>
              <w:rPr>
                <w:b/>
                <w:i/>
              </w:rPr>
              <w:t>ponavlja poziv na potpunu ratifikaciju izmjene Ugovora o ESM-u kako bi se ojačala vjerodostojnost, provedivost sanacije i otpornost europodručja;</w:t>
            </w:r>
          </w:p>
        </w:tc>
        <w:tc>
          <w:tcPr>
            <w:tcW w:w="4876" w:type="dxa"/>
            <w:tcBorders>
              <w:top w:val="nil"/>
              <w:left w:val="nil"/>
              <w:bottom w:val="nil"/>
              <w:right w:val="nil"/>
            </w:tcBorders>
          </w:tcPr>
          <w:p>
            <w:pPr>
              <w:pStyle w:val="Normal6a"/>
            </w:pPr>
            <w:r>
              <w:t>19.</w:t>
            </w:r>
            <w:r>
              <w:tab/>
            </w:r>
            <w:r>
              <w:rPr>
                <w:b/>
                <w:i/>
              </w:rPr>
              <w:t>prima na znanje da je</w:t>
            </w:r>
            <w:r>
              <w:t xml:space="preserve"> Jedinstveni fond za sanaciju </w:t>
            </w:r>
            <w:r>
              <w:rPr>
                <w:b/>
                <w:i/>
              </w:rPr>
              <w:t>zamišljen</w:t>
            </w:r>
            <w:r>
              <w:t xml:space="preserve"> kao potpuno </w:t>
            </w:r>
            <w:r>
              <w:rPr>
                <w:b/>
                <w:i/>
              </w:rPr>
              <w:t>objedinjena sigurnosna mreža</w:t>
            </w:r>
            <w:r>
              <w:t xml:space="preserve"> koju financira industrija;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pozdravlja Jedinstveni fond za sanaciju kao </w:t>
            </w:r>
            <w:r>
              <w:rPr>
                <w:b/>
                <w:i/>
              </w:rPr>
              <w:t>potpuno objedinjenu sigurnosnu mrežu koju financira industrija</w:t>
            </w:r>
            <w:r>
              <w:t>; ponavlja poziv na potpunu ratifikaciju izmjene Ugovora o ESM-u kako bi se ojačala vjerodostojnost, provedivost sanacije i otpornost europodručja;</w:t>
            </w:r>
          </w:p>
        </w:tc>
        <w:tc>
          <w:tcPr>
            <w:tcW w:w="4876" w:type="dxa"/>
            <w:tcBorders>
              <w:top w:val="nil"/>
              <w:left w:val="nil"/>
              <w:bottom w:val="nil"/>
              <w:right w:val="nil"/>
            </w:tcBorders>
          </w:tcPr>
          <w:p>
            <w:pPr>
              <w:pStyle w:val="Normal6a"/>
            </w:pPr>
            <w:r>
              <w:t>19.</w:t>
            </w:r>
            <w:r>
              <w:tab/>
            </w:r>
            <w:r>
              <w:t xml:space="preserve">pozdravlja Jedinstveni fond za sanaciju kao </w:t>
            </w:r>
            <w:r>
              <w:rPr>
                <w:b/>
                <w:i/>
              </w:rPr>
              <w:t>zaštitni mehanizam za potporu urednom upravljanju bankarskim krizama</w:t>
            </w:r>
            <w:r>
              <w:t>; ponavlja poziv na potpunu ratifikaciju izmjene Ugovora o ESM-u kako bi se ojačala vjerodostojnost, provedivost sanacije i otpornost europodručja</w:t>
            </w:r>
            <w:r>
              <w:rPr>
                <w:b/>
                <w:i/>
              </w:rPr>
              <w:t>, uz istodobno očuvanje discipline tržišta i zaštite poreznih obveznika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pozdravlja Jedinstveni fond za sanaciju kao potpuno objedinjenu sigurnosnu mrežu koju financira industrija; ponavlja poziv na potpunu ratifikaciju izmjene Ugovora o ESM-u kako bi se ojačala vjerodostojnost, provedivost sanacije i otpornost europodručja;</w:t>
            </w:r>
          </w:p>
        </w:tc>
        <w:tc>
          <w:tcPr>
            <w:tcW w:w="4876" w:type="dxa"/>
            <w:tcBorders>
              <w:top w:val="nil"/>
              <w:left w:val="nil"/>
              <w:bottom w:val="nil"/>
              <w:right w:val="nil"/>
            </w:tcBorders>
          </w:tcPr>
          <w:p>
            <w:pPr>
              <w:pStyle w:val="Normal6a"/>
            </w:pPr>
            <w:r>
              <w:t>19.</w:t>
            </w:r>
            <w:r>
              <w:tab/>
            </w:r>
            <w:r>
              <w:t xml:space="preserve">pozdravlja Jedinstveni fond za sanaciju kao potpuno objedinjenu sigurnosnu mrežu koju financira industrija; ponavlja poziv na potpunu ratifikaciju izmjene Ugovora o ESM-u kako bi se ojačala vjerodostojnost, provedivost sanacije i otpornost europodručja; </w:t>
            </w:r>
            <w:r>
              <w:rPr>
                <w:b/>
                <w:i/>
              </w:rPr>
              <w:t>ističe cilj zaštite poreznih obveznika u slučaju sanacije i podsjeća da se, osim dogovorenog zajedničkog zaštitnog mehanizma, za banke koje propadaju ne bi trebala upotrebljavati nikakva dodatna sredstva poreznih obveznika;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poziva sve države članice da u potpunosti ratificiraju Sporazum o izmjeni Ugovora o Europskom stabilizacijskom mehanizmu, uključujući uspostavu zajedničkog zaštitnog mehanizma za Jedinstveni fond za sanaciju;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podsjeća da je politika nultog pondera rizika za javni dug problem koji treba riješiti;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žali zbog rodne neravnoteže u upravi Jedinstvenog sanacijskog odbora;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ističe činjenicu da je prijedlog Komisije o uspostavi europskog sustava osiguranja depozita objavljen još 2015. i da se okružje otad znatno promijenilo;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ponovno potvrđuje svoju snažnu predanost stvaranju potpuno funkcionalnog EDIS-a kao trećeg, posljednjeg i ključnog stupa bankovne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ponovno potvrđuje svoju snažnu predanost stvaranju potpuno funkcionalnog EDIS-a kao trećeg, posljednjeg i ključnog stupa bankovne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ponovno potvrđuje svoju snažnu predanost stvaranju potpuno funkcionalnog EDIS-a kao trećeg, posljednjeg i ključnog stupa bankovne unije</w:t>
            </w:r>
            <w:r>
              <w:t>;</w:t>
            </w:r>
          </w:p>
        </w:tc>
        <w:tc>
          <w:tcPr>
            <w:tcW w:w="4876" w:type="dxa"/>
            <w:tcBorders>
              <w:top w:val="nil"/>
              <w:left w:val="nil"/>
              <w:bottom w:val="nil"/>
              <w:right w:val="nil"/>
            </w:tcBorders>
          </w:tcPr>
          <w:p>
            <w:pPr>
              <w:pStyle w:val="Normal6a"/>
            </w:pPr>
            <w:r>
              <w:t>20.</w:t>
            </w:r>
            <w:r>
              <w:tab/>
            </w:r>
            <w:r>
              <w:rPr>
                <w:b/>
                <w:i/>
              </w:rPr>
              <w:t>odbija EDIS;</w:t>
            </w:r>
            <w:r>
              <w:t xml:space="preserve"> </w:t>
            </w:r>
            <w:r>
              <w:rPr>
                <w:b/>
                <w:i/>
              </w:rPr>
              <w:t>tvrdi da se uzajamnim osiguranjem depozita rizik sam po sebi prebacuje na jača gospodarstva i oslabljuju poticaji deponentima za praćenje rizika banaka, što dovodi do moralnog rizika</w:t>
            </w:r>
            <w:r>
              <w:t xml:space="preserve">; </w:t>
            </w:r>
            <w:r>
              <w:rPr>
                <w:b/>
                <w:i/>
              </w:rPr>
              <w:t>umjesto toga, zalaže se za snažne nacionalne programe s usklađenim minimalnim standardima kojima se čuvaju tržišni cjenovni signali i odgovornost;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ponovno potvrđuje svoju snažnu predanost stvaranju potpuno funkcionalnog EDIS-a kao trećeg, posljednjeg i ključnog stupa bankovne unije</w:t>
            </w:r>
            <w:r>
              <w:t>;</w:t>
            </w:r>
          </w:p>
        </w:tc>
        <w:tc>
          <w:tcPr>
            <w:tcW w:w="4876" w:type="dxa"/>
            <w:tcBorders>
              <w:top w:val="nil"/>
              <w:left w:val="nil"/>
              <w:bottom w:val="nil"/>
              <w:right w:val="nil"/>
            </w:tcBorders>
          </w:tcPr>
          <w:p>
            <w:pPr>
              <w:pStyle w:val="Normal6a"/>
            </w:pPr>
            <w:r>
              <w:t>20.</w:t>
            </w:r>
            <w:r>
              <w:tab/>
            </w:r>
            <w:r>
              <w:rPr>
                <w:b/>
                <w:i/>
              </w:rPr>
              <w:t>ističe potrebu da se institucionalni sustavi zaštite isključe iz europskog sustava osiguranja depozita kako bi se osiguralo njihovo kontinuirano funkcioniranje, uz istodobno očuvanje autonomije i učinkovitosti institucionalnih sustava zaštite i poštovanje posebnih pravila za institucionalne sustave zaštite dogovorenih u reviziji upravljanja krizama i osiguranja depozita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ponovno</w:t>
            </w:r>
            <w:r>
              <w:t xml:space="preserve"> potvrđuje </w:t>
            </w:r>
            <w:r>
              <w:rPr>
                <w:b/>
                <w:i/>
              </w:rPr>
              <w:t>svoju snažnu predanost stvaranju potpuno funkcionalnog EDIS-a kao trećeg, posljednjeg i ključnog stupa</w:t>
            </w:r>
            <w:r>
              <w:t xml:space="preserve"> bankovne unije;</w:t>
            </w:r>
          </w:p>
        </w:tc>
        <w:tc>
          <w:tcPr>
            <w:tcW w:w="4876" w:type="dxa"/>
            <w:tcBorders>
              <w:top w:val="nil"/>
              <w:left w:val="nil"/>
              <w:bottom w:val="nil"/>
              <w:right w:val="nil"/>
            </w:tcBorders>
          </w:tcPr>
          <w:p>
            <w:pPr>
              <w:pStyle w:val="Normal6a"/>
            </w:pPr>
            <w:r>
              <w:t>20.</w:t>
            </w:r>
            <w:r>
              <w:tab/>
            </w:r>
            <w:r>
              <w:rPr>
                <w:b/>
                <w:i/>
              </w:rPr>
              <w:t>prima na znanje izjavu Euroskupine od 16. lipnja 2022. o budućnosti bankovne unije i</w:t>
            </w:r>
            <w:r>
              <w:t xml:space="preserve"> potvrđuje </w:t>
            </w:r>
            <w:r>
              <w:rPr>
                <w:b/>
                <w:i/>
              </w:rPr>
              <w:t>da bi svaka rasprava o EDIS-u trebala biti dio šire rasprave o svim preostalim elementima bankovne unije kojom se osigurava proporcionalnost i uzimaju u obzir nacionalne posebnosti;</w:t>
            </w:r>
            <w:r>
              <w:t xml:space="preserve"> </w:t>
            </w:r>
            <w:r>
              <w:rPr>
                <w:b/>
                <w:i/>
              </w:rPr>
              <w:t>ističe da bi prije početka izrade bilo kakvih konkretnih zakonodavnih prijedloga trebao postojati sporazum o mogućim dodatnim ključnim elementima</w:t>
            </w:r>
            <w:r>
              <w:t xml:space="preserve"> bankovne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ponovno potvrđuje </w:t>
            </w:r>
            <w:r>
              <w:rPr>
                <w:b/>
                <w:i/>
              </w:rPr>
              <w:t>svoju snažnu</w:t>
            </w:r>
            <w:r>
              <w:t xml:space="preserve"> predanost </w:t>
            </w:r>
            <w:r>
              <w:rPr>
                <w:b/>
                <w:i/>
              </w:rPr>
              <w:t>stvaranju potpuno funkcionalnog EDIS-a kao trećeg, posljednjeg i ključnog stupa</w:t>
            </w:r>
            <w:r>
              <w:t xml:space="preserve"> bankovne unije;</w:t>
            </w:r>
          </w:p>
        </w:tc>
        <w:tc>
          <w:tcPr>
            <w:tcW w:w="4876" w:type="dxa"/>
            <w:tcBorders>
              <w:top w:val="nil"/>
              <w:left w:val="nil"/>
              <w:bottom w:val="nil"/>
              <w:right w:val="nil"/>
            </w:tcBorders>
          </w:tcPr>
          <w:p>
            <w:pPr>
              <w:pStyle w:val="Normal6a"/>
            </w:pPr>
            <w:r>
              <w:t>20.</w:t>
            </w:r>
            <w:r>
              <w:tab/>
            </w:r>
            <w:r>
              <w:t>ponovno potvrđuje predanost </w:t>
            </w:r>
            <w:r>
              <w:rPr>
                <w:b/>
                <w:i/>
              </w:rPr>
              <w:t>daljnjem razvoju</w:t>
            </w:r>
            <w:r>
              <w:t xml:space="preserve"> bankovne unije</w:t>
            </w:r>
            <w:r>
              <w:rPr>
                <w:b/>
                <w:i/>
              </w:rPr>
              <w:t>, uzimajući u obzir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ponovno potvrđuje svoju snažnu predanost </w:t>
            </w:r>
            <w:r>
              <w:rPr>
                <w:b/>
                <w:i/>
              </w:rPr>
              <w:t>stvaranju potpuno funkcionalnog EDIS-a kao trećeg, posljednjeg i ključnog stupa bankovne unije</w:t>
            </w:r>
            <w:r>
              <w:t>;</w:t>
            </w:r>
          </w:p>
        </w:tc>
        <w:tc>
          <w:tcPr>
            <w:tcW w:w="4876" w:type="dxa"/>
            <w:tcBorders>
              <w:top w:val="nil"/>
              <w:left w:val="nil"/>
              <w:bottom w:val="nil"/>
              <w:right w:val="nil"/>
            </w:tcBorders>
          </w:tcPr>
          <w:p>
            <w:pPr>
              <w:pStyle w:val="Normal6a"/>
            </w:pPr>
            <w:r>
              <w:t>20.</w:t>
            </w:r>
            <w:r>
              <w:tab/>
            </w:r>
            <w:r>
              <w:t xml:space="preserve">ponovno potvrđuje svoju snažnu predanost </w:t>
            </w:r>
            <w:r>
              <w:rPr>
                <w:b/>
                <w:i/>
              </w:rPr>
              <w:t>snažnoj i cjelovitoj bankovnoj uniji;</w:t>
            </w:r>
            <w:r>
              <w:t xml:space="preserve"> </w:t>
            </w:r>
            <w:r>
              <w:rPr>
                <w:b/>
                <w:i/>
              </w:rPr>
              <w:t>podsjeća na izostanak napretka obaju suzakonodavaca u pogledu EDIS-a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ponovno potvrđuje svoju snažnu predanost stvaranju potpuno </w:t>
            </w:r>
            <w:r>
              <w:rPr>
                <w:b/>
                <w:i/>
              </w:rPr>
              <w:t>funkcionalnog EDIS-a</w:t>
            </w:r>
            <w:r>
              <w:t xml:space="preserve"> kao trećeg, posljednjeg i ključnog stupa bankovne unije;</w:t>
            </w:r>
          </w:p>
        </w:tc>
        <w:tc>
          <w:tcPr>
            <w:tcW w:w="4876" w:type="dxa"/>
            <w:tcBorders>
              <w:top w:val="nil"/>
              <w:left w:val="nil"/>
              <w:bottom w:val="nil"/>
              <w:right w:val="nil"/>
            </w:tcBorders>
          </w:tcPr>
          <w:p>
            <w:pPr>
              <w:pStyle w:val="Normal6a"/>
            </w:pPr>
            <w:r>
              <w:t>20.</w:t>
            </w:r>
            <w:r>
              <w:tab/>
            </w:r>
            <w:r>
              <w:t xml:space="preserve">ponovno potvrđuje svoju snažnu predanost stvaranju </w:t>
            </w:r>
            <w:r>
              <w:rPr>
                <w:b/>
                <w:i/>
              </w:rPr>
              <w:t>EDIS-a koji</w:t>
            </w:r>
            <w:r>
              <w:t xml:space="preserve"> potpuno </w:t>
            </w:r>
            <w:r>
              <w:rPr>
                <w:b/>
                <w:i/>
              </w:rPr>
              <w:t>uzima u obzir nacionalne specifičnosti</w:t>
            </w:r>
            <w:r>
              <w:t xml:space="preserve"> kao trećeg, posljednjeg i ključnog stupa bankovne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ponovno potvrđuje svoju snažnu predanost stvaranju potpuno funkcionalnog EDIS-a kao trećeg, posljednjeg i ključnog stupa bankovne unije;</w:t>
            </w:r>
          </w:p>
        </w:tc>
        <w:tc>
          <w:tcPr>
            <w:tcW w:w="4876" w:type="dxa"/>
            <w:tcBorders>
              <w:top w:val="nil"/>
              <w:left w:val="nil"/>
              <w:bottom w:val="nil"/>
              <w:right w:val="nil"/>
            </w:tcBorders>
          </w:tcPr>
          <w:p>
            <w:pPr>
              <w:pStyle w:val="Normal6a"/>
            </w:pPr>
            <w:r>
              <w:t>20.</w:t>
            </w:r>
            <w:r>
              <w:tab/>
            </w:r>
            <w:r>
              <w:t>ponovno potvrđuje svoju snažnu predanost stvaranju potpuno funkcionalnog</w:t>
            </w:r>
            <w:r>
              <w:rPr>
                <w:b/>
                <w:i/>
              </w:rPr>
              <w:t>, objedinjenog</w:t>
            </w:r>
            <w:r>
              <w:t xml:space="preserve"> EDIS-a kao trećeg, posljednjeg i ključnog stupa bankovne unije; </w:t>
            </w:r>
            <w:r>
              <w:rPr>
                <w:b/>
                <w:i/>
              </w:rPr>
              <w:t>naglašava da je zajednički sustav zaštite depozita neophodan kako bi se osigurala jednaka zaštita deponenata u cijeloj Uniji, dodatno ojačala financijska stabilnost i odlučno smanjile preostale veze između banaka i država;</w:t>
            </w:r>
            <w:r>
              <w:t xml:space="preserve"> </w:t>
            </w:r>
            <w:r>
              <w:rPr>
                <w:b/>
                <w:i/>
              </w:rPr>
              <w:t>ističe da bi se dovršetak EDIS-a trebao realizirati na temelju rizičnosti, fiskalne odgovornosti i uz stalna nastojanja da se smanje rizici, čime bi se ojačalo povjerenje tržišta i integritet jedinstvenog bankarskog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ponovno potvrđuje svoju snažnu predanost stvaranju potpuno funkcionalnog EDIS-a kao trećeg, posljednjeg i ključnog stupa bankovne unije;</w:t>
            </w:r>
          </w:p>
        </w:tc>
        <w:tc>
          <w:tcPr>
            <w:tcW w:w="4876" w:type="dxa"/>
            <w:tcBorders>
              <w:top w:val="nil"/>
              <w:left w:val="nil"/>
              <w:bottom w:val="nil"/>
              <w:right w:val="nil"/>
            </w:tcBorders>
          </w:tcPr>
          <w:p>
            <w:pPr>
              <w:pStyle w:val="Normal6a"/>
            </w:pPr>
            <w:r>
              <w:t>20.</w:t>
            </w:r>
            <w:r>
              <w:tab/>
            </w:r>
            <w:r>
              <w:t xml:space="preserve">ponovno potvrđuje svoju snažnu predanost stvaranju potpuno funkcionalnog EDIS-a </w:t>
            </w:r>
            <w:r>
              <w:rPr>
                <w:b/>
                <w:i/>
              </w:rPr>
              <w:t>koji osigurava pokriće gubitaka</w:t>
            </w:r>
            <w:r>
              <w:t xml:space="preserve"> kao trećeg, posljednjeg i ključnog stupa bankovne unije; </w:t>
            </w:r>
            <w:r>
              <w:rPr>
                <w:b/>
                <w:i/>
              </w:rPr>
              <w:t>podsjeća da bi EDIS znatno smanjio začarani krug između banaka i država;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ponovno potvrđuje svoju snažnu predanost stvaranju potpuno funkcionalnog EDIS-a kao trećeg, posljednjeg i ključnog stupa bankovne unije;</w:t>
            </w:r>
          </w:p>
        </w:tc>
        <w:tc>
          <w:tcPr>
            <w:tcW w:w="4876" w:type="dxa"/>
            <w:tcBorders>
              <w:top w:val="nil"/>
              <w:left w:val="nil"/>
              <w:bottom w:val="nil"/>
              <w:right w:val="nil"/>
            </w:tcBorders>
          </w:tcPr>
          <w:p>
            <w:pPr>
              <w:pStyle w:val="Normal6a"/>
            </w:pPr>
            <w:r>
              <w:t>20.</w:t>
            </w:r>
            <w:r>
              <w:tab/>
            </w:r>
            <w:r>
              <w:t>ponovno potvrđuje svoju snažnu predanost stvaranju potpuno funkcionalnog EDIS-a kao trećeg, posljednjeg i ključnog stupa bankovne unije</w:t>
            </w:r>
            <w:r>
              <w:rPr>
                <w:b/>
                <w:i/>
              </w:rPr>
              <w:t>, koji se temelji na odgovarajućem smanjenju rizika, odgovarajućim poticajima i dizajnu kojim se jačaju povjerenje deponenata, tržišna disciplina i financijska stabilnost u cijeloj Uniji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ponovno potvrđuje svoju snažnu predanost stvaranju </w:t>
            </w:r>
            <w:r>
              <w:rPr>
                <w:b/>
                <w:i/>
              </w:rPr>
              <w:t>potpuno funkcionalnog</w:t>
            </w:r>
            <w:r>
              <w:t xml:space="preserve"> EDIS-a kao trećeg, posljednjeg i ključnog stupa bankovne unije;</w:t>
            </w:r>
          </w:p>
        </w:tc>
        <w:tc>
          <w:tcPr>
            <w:tcW w:w="4876" w:type="dxa"/>
            <w:tcBorders>
              <w:top w:val="nil"/>
              <w:left w:val="nil"/>
              <w:bottom w:val="nil"/>
              <w:right w:val="nil"/>
            </w:tcBorders>
          </w:tcPr>
          <w:p>
            <w:pPr>
              <w:pStyle w:val="Normal6a"/>
            </w:pPr>
            <w:r>
              <w:t>20.</w:t>
            </w:r>
            <w:r>
              <w:tab/>
            </w:r>
            <w:r>
              <w:t xml:space="preserve">ponovno potvrđuje svoju snažnu predanost stvaranju EDIS-a kao trećeg, posljednjeg i ključnog stupa bankovne unije; </w:t>
            </w:r>
            <w:r>
              <w:rPr>
                <w:b/>
                <w:i/>
              </w:rPr>
              <w:t>smatra da bi postupno uvođenje europskog sustava osiguranja depozita trebalo dovesti do smanjenja rizika za sve banke u bankovnoj uniji;</w:t>
            </w:r>
            <w:r>
              <w:t xml:space="preserve"> </w:t>
            </w:r>
            <w:r>
              <w:rPr>
                <w:b/>
                <w:i/>
              </w:rPr>
              <w:t>ističe da bi se u doprinosima europskom sustavu osiguranja depozita trebao uzeti u obzir profil rizičnosti svakog sektora koji sudjeluje;</w:t>
            </w:r>
            <w:r>
              <w:t xml:space="preserve"> </w:t>
            </w:r>
            <w:r>
              <w:rPr>
                <w:b/>
                <w:i/>
              </w:rPr>
              <w:t>također naglašava važnost potpune primjene postojećih pravila, uključujući mehanizme kao što su izuzeća za likvidnost, kao jednog od načina za osiguravanje slobodnih tokova kapitala i likvidnosti unutar grupe, čime se europskim bankama omogućuje učinkovito financiranje poduzeća u cijelom EU-u i povećanje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ponovno potvrđuje svoju snažnu predanost stvaranju potpuno funkcionalnog EDIS-a kao trećeg, posljednjeg i ključnog stupa bankovne unije;</w:t>
            </w:r>
          </w:p>
        </w:tc>
        <w:tc>
          <w:tcPr>
            <w:tcW w:w="4876" w:type="dxa"/>
            <w:tcBorders>
              <w:top w:val="nil"/>
              <w:left w:val="nil"/>
              <w:bottom w:val="nil"/>
              <w:right w:val="nil"/>
            </w:tcBorders>
          </w:tcPr>
          <w:p>
            <w:pPr>
              <w:pStyle w:val="Normal6a"/>
            </w:pPr>
            <w:r>
              <w:t>20.</w:t>
            </w:r>
            <w:r>
              <w:tab/>
            </w:r>
            <w:r>
              <w:t xml:space="preserve">ponovno potvrđuje svoju snažnu predanost stvaranju potpuno funkcionalnog EDIS-a kao trećeg, posljednjeg i ključnog stupa bankovne unije; </w:t>
            </w:r>
            <w:r>
              <w:rPr>
                <w:b/>
                <w:i/>
              </w:rPr>
              <w:t>žali zbog toga što je bankovna unija još uvijek nepotpuna zbog nepostojanja europskog sustava osiguranja depozita (EDIS);</w:t>
            </w:r>
            <w:r>
              <w:t xml:space="preserve"> </w:t>
            </w:r>
            <w:r>
              <w:rPr>
                <w:b/>
                <w:i/>
              </w:rPr>
              <w:t>uviđa da bi EDIS poboljšao zaštitu deponenata u EU-u;</w:t>
            </w:r>
            <w:r>
              <w:t xml:space="preserve"> </w:t>
            </w:r>
            <w:r>
              <w:rPr>
                <w:b/>
                <w:i/>
              </w:rPr>
              <w:t>podsjeća da bi EDIS bio opipljiv element bankovne unije za građane EU-a, zajedno s većom konkurencijom i potrošačkim izborom;</w:t>
            </w:r>
            <w:r>
              <w:t xml:space="preserve"> </w:t>
            </w:r>
            <w:r>
              <w:rPr>
                <w:b/>
                <w:i/>
              </w:rPr>
              <w:t>smatra da bi se EDIS-om osiguralo navedeno;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uviđa da bi se europskim sustavom osiguranja depozita (EDIS) mogla poboljšati zaštita deponenata u EU-u;</w:t>
            </w:r>
            <w:r>
              <w:t xml:space="preserve"> </w:t>
            </w:r>
            <w:r>
              <w:rPr>
                <w:b/>
                <w:i/>
              </w:rPr>
              <w:t>smatra, međutim, da je glavna prepreka uvođenju EDIS-a zabrinutost zbog rizika u nekim bankarskim sustavima;</w:t>
            </w:r>
            <w:r>
              <w:t xml:space="preserve"> </w:t>
            </w:r>
            <w:r>
              <w:rPr>
                <w:b/>
                <w:i/>
              </w:rPr>
              <w:t>naglašava da je smanjenje tih rizika ključno za postizanje dogovora o bilo kakvom europskom sustavu osiguranja depozita;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ističe da izvorno predloženi oblik EDIS-a više nije primjenjiv i da nema izgleda za dobivanje potpore koja bi omogućila njegovu provedbu;</w:t>
            </w:r>
            <w:r>
              <w:t xml:space="preserve"> </w:t>
            </w:r>
            <w:r>
              <w:rPr>
                <w:b/>
                <w:i/>
              </w:rPr>
              <w:t>smatra da mogući EDIS ne bi trebao biti u obliku potpuno integriranog sustava, nego u nekom obliku reosiguranja;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pozdravlja donošenje paketa mjera za CMDI kao pozitivan korak kojim se jačaju nacionalni sustavi osiguranja depozita, jača povjerenje u bankarski sektor i poboljšavaju operativni i pravni uvjeti za prelazak na zajedničku zaštitu deponenata i poreznih obveznika na razini EU-a;</w:t>
            </w:r>
            <w:r>
              <w:t xml:space="preserve"> </w:t>
            </w:r>
            <w:r>
              <w:rPr>
                <w:b/>
                <w:i/>
              </w:rPr>
              <w:t>podsjeća na stajalište Odbora o EDIS-u za 2024.;</w:t>
            </w:r>
            <w:r>
              <w:t xml:space="preserve"> </w:t>
            </w:r>
            <w:r>
              <w:rPr>
                <w:b/>
                <w:i/>
              </w:rPr>
              <w:t>snažno potiče Vijeće da ubrza pregovore;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pozdravlja donošenje paketa mjera za CMDI kao pozitivan korak kojim se jačaju nacionalni sustavi osiguranja depozita</w:t>
            </w:r>
            <w:r>
              <w:t xml:space="preserve">, jača povjerenje </w:t>
            </w:r>
            <w:r>
              <w:rPr>
                <w:b/>
                <w:i/>
              </w:rPr>
              <w:t>u bankarski sektor i poboljšavaju operativni i pravni uvjeti za prelazak na zajedničku zaštitu</w:t>
            </w:r>
            <w:r>
              <w:t xml:space="preserve"> deponenata i </w:t>
            </w:r>
            <w:r>
              <w:rPr>
                <w:b/>
                <w:i/>
              </w:rPr>
              <w:t>poreznih obveznika na razini EU-a;</w:t>
            </w:r>
            <w:r>
              <w:t xml:space="preserve"> </w:t>
            </w:r>
            <w:r>
              <w:rPr>
                <w:b/>
                <w:i/>
              </w:rPr>
              <w:t>podsjeća na stajalište Odbora o EDIS-u za 2024.</w:t>
            </w:r>
            <w:r>
              <w:t xml:space="preserve">; </w:t>
            </w:r>
            <w:r>
              <w:rPr>
                <w:b/>
                <w:i/>
              </w:rPr>
              <w:t>snažno potiče Vijeće da ubrza pregovore;</w:t>
            </w:r>
          </w:p>
        </w:tc>
        <w:tc>
          <w:tcPr>
            <w:tcW w:w="4876" w:type="dxa"/>
            <w:tcBorders>
              <w:top w:val="nil"/>
              <w:left w:val="nil"/>
              <w:bottom w:val="nil"/>
              <w:right w:val="nil"/>
            </w:tcBorders>
          </w:tcPr>
          <w:p>
            <w:pPr>
              <w:pStyle w:val="Normal6a"/>
            </w:pPr>
            <w:r>
              <w:t>21.</w:t>
            </w:r>
            <w:r>
              <w:tab/>
            </w:r>
            <w:r>
              <w:rPr>
                <w:b/>
                <w:i/>
              </w:rPr>
              <w:t>poziva Komisiju da prizna da trenutačni zakonodavni prijedlog o EDIS-u stoji na mjestu nekoliko godina bez postizanja konkretnog napretka, žali zbog toga što je taj dugotrajni zastoj ugrozio vjerodostojnost predanosti dovršetku bankovne unije te potiče Komisiju da povuče postojeći prijedlog i bez odgode predstavi obnovljenu i ambiciozniju inicijativu kojom se može pokrenuti istinski politički dogovor o EDIS-u;</w:t>
            </w:r>
            <w:r>
              <w:t xml:space="preserve"> </w:t>
            </w:r>
            <w:r>
              <w:rPr>
                <w:b/>
                <w:i/>
              </w:rPr>
              <w:t>naglašava da bi takav novi prijedlog trebao pružiti vjerodostojan i učinkovit okvir temeljen na rizičnosti i koji daje stvarni poticaj dovršetku EDIS-a</w:t>
            </w:r>
            <w:r>
              <w:t xml:space="preserve">, jača povjerenje deponenata i </w:t>
            </w:r>
            <w:r>
              <w:rPr>
                <w:b/>
                <w:i/>
              </w:rPr>
              <w:t>osigurava jednake uvjete na cijelom jedinstvenom bankovnom tržištu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pozdravlja donošenje paketa mjera za CMDI kao pozitivan korak kojim se jačaju nacionalni sustavi</w:t>
            </w:r>
            <w:r>
              <w:t xml:space="preserve"> osiguranja depozita, </w:t>
            </w:r>
            <w:r>
              <w:rPr>
                <w:b/>
                <w:i/>
              </w:rPr>
              <w:t>jača povjerenje u bankarski sektor i poboljšavaju operativni i pravni uvjeti za prelazak na zajedničku zaštitu deponenata i poreznih obveznika na razini EU-a;</w:t>
            </w:r>
            <w:r>
              <w:t xml:space="preserve"> </w:t>
            </w:r>
            <w:r>
              <w:rPr>
                <w:b/>
                <w:i/>
              </w:rPr>
              <w:t>podsjeća na stajalište Odbora o EDIS-u za 2024.</w:t>
            </w:r>
            <w:r>
              <w:t xml:space="preserve">; </w:t>
            </w:r>
            <w:r>
              <w:rPr>
                <w:b/>
                <w:i/>
              </w:rPr>
              <w:t>snažno potiče Vijeće da ubrza pregovore;</w:t>
            </w:r>
          </w:p>
        </w:tc>
        <w:tc>
          <w:tcPr>
            <w:tcW w:w="4876" w:type="dxa"/>
            <w:tcBorders>
              <w:top w:val="nil"/>
              <w:left w:val="nil"/>
              <w:bottom w:val="nil"/>
              <w:right w:val="nil"/>
            </w:tcBorders>
          </w:tcPr>
          <w:p>
            <w:pPr>
              <w:pStyle w:val="Normal6a"/>
            </w:pPr>
            <w:r>
              <w:t>21.</w:t>
            </w:r>
            <w:r>
              <w:tab/>
            </w:r>
            <w:r>
              <w:rPr>
                <w:b/>
                <w:i/>
              </w:rPr>
              <w:t>uvažava napredak postignut u području upravljanja krizama i</w:t>
            </w:r>
            <w:r>
              <w:t xml:space="preserve"> osiguranja depozita, </w:t>
            </w:r>
            <w:r>
              <w:rPr>
                <w:b/>
                <w:i/>
              </w:rPr>
              <w:t>ali upozorava na opasnost od prekomjernog oslanjanja na centralizirane programe koji bi mogli umanjiti odgovornost i izložiti fiskalno odgovorne države članice sistemskim obvezama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pozdravlja donošenje paketa mjera za CMDI kao pozitivan korak kojim se jačaju nacionalni sustavi osiguranja depozita</w:t>
            </w:r>
            <w:r>
              <w:rPr>
                <w:b/>
                <w:i/>
              </w:rPr>
              <w:t>,</w:t>
            </w:r>
            <w:r>
              <w:t xml:space="preserve"> jača povjerenje u bankarski sektor </w:t>
            </w:r>
            <w:r>
              <w:rPr>
                <w:b/>
                <w:i/>
              </w:rPr>
              <w:t>i poboljšavaju operativni i pravni uvjeti za prelazak na zajedničku zaštitu deponenata i poreznih obveznika na razini EU-a</w:t>
            </w:r>
            <w:r>
              <w:t xml:space="preserve">; </w:t>
            </w:r>
            <w:r>
              <w:rPr>
                <w:b/>
                <w:i/>
              </w:rPr>
              <w:t>podsjeća na stajalište Odbora o EDIS-u za 2024.;</w:t>
            </w:r>
            <w:r>
              <w:t xml:space="preserve"> </w:t>
            </w:r>
            <w:r>
              <w:rPr>
                <w:b/>
                <w:i/>
              </w:rPr>
              <w:t>snažno potiče Vijeće da ubrza pregovore;</w:t>
            </w:r>
          </w:p>
        </w:tc>
        <w:tc>
          <w:tcPr>
            <w:tcW w:w="4876" w:type="dxa"/>
            <w:tcBorders>
              <w:top w:val="nil"/>
              <w:left w:val="nil"/>
              <w:bottom w:val="nil"/>
              <w:right w:val="nil"/>
            </w:tcBorders>
          </w:tcPr>
          <w:p>
            <w:pPr>
              <w:pStyle w:val="Normal6a"/>
            </w:pPr>
            <w:r>
              <w:t>21.</w:t>
            </w:r>
            <w:r>
              <w:tab/>
            </w:r>
            <w:r>
              <w:t xml:space="preserve">pozdravlja donošenje paketa mjera za CMDI kao pozitivan korak kojim se jačaju nacionalni sustavi osiguranja depozita </w:t>
            </w:r>
            <w:r>
              <w:rPr>
                <w:b/>
                <w:i/>
              </w:rPr>
              <w:t>i</w:t>
            </w:r>
            <w:r>
              <w:t xml:space="preserve"> jača povjerenje u bankarski sektor;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donošenje paketa mjera za CMDI kao pozitivan korak kojim se jačaju nacionalni sustavi osiguranja depozita, jača povjerenje u bankarski sektor i poboljšavaju operativni i pravni uvjeti za prelazak na zajedničku zaštitu deponenata i poreznih obveznika na razini EU-a; </w:t>
            </w:r>
            <w:r>
              <w:rPr>
                <w:b/>
                <w:i/>
              </w:rPr>
              <w:t>podsjeća na stajalište Odbora o EDIS-u za 2024.;</w:t>
            </w:r>
            <w:r>
              <w:t xml:space="preserve"> </w:t>
            </w:r>
            <w:r>
              <w:rPr>
                <w:b/>
                <w:i/>
              </w:rPr>
              <w:t>snažno potiče Vijeće da ubrza pregovore;</w:t>
            </w:r>
          </w:p>
        </w:tc>
        <w:tc>
          <w:tcPr>
            <w:tcW w:w="4876" w:type="dxa"/>
            <w:tcBorders>
              <w:top w:val="nil"/>
              <w:left w:val="nil"/>
              <w:bottom w:val="nil"/>
              <w:right w:val="nil"/>
            </w:tcBorders>
          </w:tcPr>
          <w:p>
            <w:pPr>
              <w:pStyle w:val="Normal6a"/>
            </w:pPr>
            <w:r>
              <w:t>21.</w:t>
            </w:r>
            <w:r>
              <w:tab/>
            </w:r>
            <w:r>
              <w:t>pozdravlja donošenje paketa mjera za CMDI kao pozitivan korak kojim se jačaju nacionalni sustavi osiguranja depozita, jača povjerenje u bankarski sektor i poboljšavaju operativni i pravni uvjeti za prelazak na zajedničku zaštitu deponenata i poreznih obveznika na razini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donošenje paketa mjera za CMDI kao pozitivan korak kojim se jačaju nacionalni sustavi osiguranja depozita, jača povjerenje u bankarski sektor i poboljšavaju operativni i pravni uvjeti za prelazak na zajedničku zaštitu deponenata i poreznih obveznika na razini EU-a; </w:t>
            </w:r>
            <w:r>
              <w:rPr>
                <w:b/>
                <w:i/>
              </w:rPr>
              <w:t>podsjeća na stajalište Odbora o EDIS-u za 2024.;</w:t>
            </w:r>
            <w:r>
              <w:t xml:space="preserve"> </w:t>
            </w:r>
            <w:r>
              <w:rPr>
                <w:b/>
                <w:i/>
              </w:rPr>
              <w:t>snažno potiče Vijeće da ubrza pregovore;</w:t>
            </w:r>
          </w:p>
        </w:tc>
        <w:tc>
          <w:tcPr>
            <w:tcW w:w="4876" w:type="dxa"/>
            <w:tcBorders>
              <w:top w:val="nil"/>
              <w:left w:val="nil"/>
              <w:bottom w:val="nil"/>
              <w:right w:val="nil"/>
            </w:tcBorders>
          </w:tcPr>
          <w:p>
            <w:pPr>
              <w:pStyle w:val="Normal6a"/>
            </w:pPr>
            <w:r>
              <w:t>21.</w:t>
            </w:r>
            <w:r>
              <w:tab/>
            </w:r>
            <w:r>
              <w:t>pozdravlja donošenje paketa mjera za CMDI kao pozitivan korak kojim se jačaju nacionalni sustavi osiguranja depozita, jača povjerenje u bankarski sektor i poboljšavaju operativni i pravni uvjeti za prelazak na zajedničku zaštitu deponenata i poreznih obveznika na razini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donošenje paketa mjera za CMDI kao pozitivan korak kojim se jačaju nacionalni sustavi osiguranja depozita, jača povjerenje u bankarski sektor i poboljšavaju operativni i pravni uvjeti za prelazak na zajedničku zaštitu deponenata i poreznih obveznika na razini EU-a; </w:t>
            </w:r>
            <w:r>
              <w:rPr>
                <w:b/>
                <w:i/>
              </w:rPr>
              <w:t>podsjeća na stajalište Odbora o EDIS-u za 2024.;</w:t>
            </w:r>
            <w:r>
              <w:t xml:space="preserve"> snažno potiče Vijeće da ubrza pregovore;</w:t>
            </w:r>
          </w:p>
        </w:tc>
        <w:tc>
          <w:tcPr>
            <w:tcW w:w="4876" w:type="dxa"/>
            <w:tcBorders>
              <w:top w:val="nil"/>
              <w:left w:val="nil"/>
              <w:bottom w:val="nil"/>
              <w:right w:val="nil"/>
            </w:tcBorders>
          </w:tcPr>
          <w:p>
            <w:pPr>
              <w:pStyle w:val="Normal6a"/>
            </w:pPr>
            <w:r>
              <w:t>21.</w:t>
            </w:r>
            <w:r>
              <w:tab/>
            </w:r>
            <w:r>
              <w:t>pozdravlja donošenje paketa mjera za CMDI kao pozitivan korak kojim se jačaju nacionalni sustavi osiguranja depozita, jača povjerenje u bankarski sektor i poboljšavaju operativni i pravni uvjeti za prelazak na zajedničku zaštitu deponenata i poreznih obveznika na razini EU-a; snažno potiče Vijeće da ubrza pregovore;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donošenje paketa mjera za CMDI kao pozitivan korak kojim se jačaju nacionalni sustavi osiguranja depozita, jača povjerenje u bankarski sektor i poboljšavaju operativni i pravni uvjeti za prelazak na zajedničku zaštitu deponenata i poreznih obveznika na razini EU-a; </w:t>
            </w:r>
            <w:r>
              <w:rPr>
                <w:b/>
                <w:i/>
              </w:rPr>
              <w:t>podsjeća na stajalište Odbora o EDIS-u za 2024.;</w:t>
            </w:r>
            <w:r>
              <w:t xml:space="preserve"> snažno potiče Vijeće da ubrza pregovore;</w:t>
            </w:r>
          </w:p>
        </w:tc>
        <w:tc>
          <w:tcPr>
            <w:tcW w:w="4876" w:type="dxa"/>
            <w:tcBorders>
              <w:top w:val="nil"/>
              <w:left w:val="nil"/>
              <w:bottom w:val="nil"/>
              <w:right w:val="nil"/>
            </w:tcBorders>
          </w:tcPr>
          <w:p>
            <w:pPr>
              <w:pStyle w:val="Normal6a"/>
            </w:pPr>
            <w:r>
              <w:t>21.</w:t>
            </w:r>
            <w:r>
              <w:tab/>
            </w:r>
            <w:r>
              <w:t>pozdravlja donošenje paketa mjera za CMDI kao pozitivan korak kojim se jačaju nacionalni sustavi osiguranja depozita, jača povjerenje u bankarski sektor i poboljšavaju operativni i pravni uvjeti za prelazak na zajedničku zaštitu deponenata i poreznih obveznika na razini EU-a; snažno potiče Vijeće da ubrza pregovore;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donošenje paketa mjera za CMDI kao pozitivan korak kojim se </w:t>
            </w:r>
            <w:r>
              <w:rPr>
                <w:b/>
                <w:i/>
              </w:rPr>
              <w:t>jačaju nacionalni sustavi osiguranja depozita,</w:t>
            </w:r>
            <w:r>
              <w:t xml:space="preserve"> jača povjerenje u bankarski sektor i poboljšavaju operativni i pravni uvjeti za prelazak na zajedničku zaštitu deponenata i poreznih obveznika na razini EU-a; podsjeća na stajalište Odbora o EDIS-u za 2024.; snažno potiče Vijeće da ubrza pregovore;</w:t>
            </w:r>
          </w:p>
        </w:tc>
        <w:tc>
          <w:tcPr>
            <w:tcW w:w="4876" w:type="dxa"/>
            <w:tcBorders>
              <w:top w:val="nil"/>
              <w:left w:val="nil"/>
              <w:bottom w:val="nil"/>
              <w:right w:val="nil"/>
            </w:tcBorders>
          </w:tcPr>
          <w:p>
            <w:pPr>
              <w:pStyle w:val="Normal6a"/>
            </w:pPr>
            <w:r>
              <w:t>21.</w:t>
            </w:r>
            <w:r>
              <w:tab/>
            </w:r>
            <w:r>
              <w:t xml:space="preserve">pozdravlja donošenje paketa mjera za CMDI kao pozitivan korak kojim se jača povjerenje u bankarski sektor i poboljšavaju operativni i pravni uvjeti za prelazak na zajedničku zaštitu deponenata i poreznih obveznika na razini EU-a; podsjeća na stajalište Odbora o EDIS-u za 2024.; snažno potiče Vijeće da ubrza pregovore; </w:t>
            </w:r>
            <w:r>
              <w:rPr>
                <w:b/>
                <w:i/>
              </w:rPr>
              <w:t>potiče novog predsjednika Euroskupine da što prije nastavi s raspravama o toj temi;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pozdravlja donošenje paketa mjera za CMDI kao pozitivan korak kojim se jačaju nacionalni sustavi osiguranja depozita, jača povjerenje u bankarski sektor i poboljšavaju operativni i pravni uvjeti za prelazak na zajedničku zaštitu deponenata i poreznih obveznika na razini EU-a; podsjeća na stajalište Odbora o EDIS-u za 2024.; snažno potiče Vijeće da ubrza pregovore;</w:t>
            </w:r>
          </w:p>
        </w:tc>
        <w:tc>
          <w:tcPr>
            <w:tcW w:w="4876" w:type="dxa"/>
            <w:tcBorders>
              <w:top w:val="nil"/>
              <w:left w:val="nil"/>
              <w:bottom w:val="nil"/>
              <w:right w:val="nil"/>
            </w:tcBorders>
          </w:tcPr>
          <w:p>
            <w:pPr>
              <w:pStyle w:val="Normal6a"/>
            </w:pPr>
            <w:r>
              <w:t>21.</w:t>
            </w:r>
            <w:r>
              <w:tab/>
            </w:r>
            <w:r>
              <w:t xml:space="preserve">pozdravlja donošenje paketa mjera za CMDI kao pozitivan korak kojim se jačaju nacionalni sustavi osiguranja depozita, jača povjerenje u bankarski sektor i poboljšavaju operativni i pravni uvjeti za </w:t>
            </w:r>
            <w:r>
              <w:rPr>
                <w:b/>
                <w:i/>
              </w:rPr>
              <w:t>postupan i vjerodostojan</w:t>
            </w:r>
            <w:r>
              <w:t xml:space="preserve"> prelazak na zajedničku zaštitu deponenata i poreznih obveznika na razini EU-a; podsjeća na stajalište Odbora o EDIS-u za 2024.; snažno potiče Vijeće da ubrza pregovore;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138</w:t>
    </w:r>
    <w:r>
      <w:fldChar w:fldCharType="end"/>
    </w:r>
    <w:r>
      <w:t>/</w:t>
    </w:r>
    <w:r>
      <w:fldChar w:fldCharType="begin"/>
    </w:r>
    <w:r>
      <w:instrText xml:space="preserve"> NUMPAGES </w:instrText>
    </w:r>
    <w:r>
      <w:fldChar w:fldCharType="separate"/>
    </w:r>
    <w:r>
      <w:t>138</w:t>
    </w:r>
    <w:r>
      <w:fldChar w:fldCharType="end"/>
    </w:r>
    <w:r>
      <w:tab/>
    </w:r>
    <w:r>
      <w:rPr>
        <w:rStyle w:val="HideTWBExt"/>
      </w:rPr>
      <w:t>&lt;PathFdR&gt;</w:t>
    </w:r>
    <w:r>
      <w:t>AM\1335561HR.docx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AM\1335561HR.docx</w:t>
    </w:r>
    <w:r>
      <w:rPr>
        <w:rStyle w:val="HideTWBExt"/>
      </w:rPr>
      <w:t>&lt;/PathFdR&gt;</w:t>
    </w:r>
    <w:r>
      <w:tab/>
    </w:r>
    <w:r>
      <w:fldChar w:fldCharType="begin"/>
    </w:r>
    <w:r>
      <w:instrText xml:space="preserve"> PAGE </w:instrText>
    </w:r>
    <w:r>
      <w:fldChar w:fldCharType="separate"/>
    </w:r>
    <w:r>
      <w:t>137</w:t>
    </w:r>
    <w:r>
      <w:fldChar w:fldCharType="end"/>
    </w:r>
    <w:r>
      <w:t>/</w:t>
    </w:r>
    <w:r>
      <w:fldChar w:fldCharType="begin"/>
    </w:r>
    <w:r>
      <w:instrText xml:space="preserve"> NUMPAGES </w:instrText>
    </w:r>
    <w:r>
      <w:fldChar w:fldCharType="separate"/>
    </w:r>
    <w:r>
      <w:t>138</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AM\1335561HR.docx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138</Pages>
  <Words>25838</Words>
  <Characters>165010</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360975</vt:lpwstr>
  </property>
  <property fmtid="{D5CDD505-2E9C-101B-9397-08002B2CF9AE}" pid="7" name="dmxml.render.traceId">
    <vt:lpwstr>6981d0c68d103fd6285bb9a377de6097</vt:lpwstr>
  </property>
  <property fmtid="{D5CDD505-2E9C-101B-9397-08002B2CF9AE}" pid="8" name="FooterPath">
    <vt:lpwstr>AM\1335561HR.docx</vt:lpwstr>
  </property>
  <property fmtid="{D5CDD505-2E9C-101B-9397-08002B2CF9AE}" pid="9" name="PE Number">
    <vt:lpwstr>782.353</vt:lpwstr>
  </property>
  <property fmtid="{D5CDD505-2E9C-101B-9397-08002B2CF9AE}" pid="10" name="UID">
    <vt:lpwstr>eu.europa.europarl-DIN1-2026-0000006414_01.00-hr-01.00_text-xml</vt:lpwstr>
  </property>
</Properties>
</file>