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Ekonomikos ir pinigų politikos komitetas</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2025 m. metinis pranešimas dėl bankų sąjungos</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balandžio 23 d.</w:t>
            </w:r>
            <w:r>
              <w:t xml:space="preserve"> </w:t>
            </w:r>
            <w:r>
              <w:rPr>
                <w:b/>
                <w:i/>
              </w:rPr>
              <w:t>Ekonomikos ir pinigų politikos komiteto pranešimą dėl pasiūlymo dėl Europos Parlamento ir Tarybos reglamento, kuriuo iš dalies keičiamas Reglamentas (ES) Nr. 806/2014 siekiant sukurti Europos indėlių garantijų sistemą,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balandžio 23 d.</w:t>
            </w:r>
            <w:r>
              <w:t xml:space="preserve"> </w:t>
            </w:r>
            <w:r>
              <w:rPr>
                <w:b/>
                <w:i/>
              </w:rPr>
              <w:t>Ekonomikos ir pinigų politikos komiteto pranešimą dėl pasiūlymo dėl Europos Parlamento ir Tarybos reglamento, kuriuo iš dalies keičiamas Reglamentas (ES) Nr. 806/2014 siekiant sukurti Europos indėlių garantijų sistemą,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2015 m. birželio 22 d. penkių pirmininkų pranešimą „Europos ekonominės ir pinigų sąjungos sukūrimas“,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2023 m.</w:t>
            </w:r>
            <w:r>
              <w:t xml:space="preserve"> </w:t>
            </w:r>
            <w:r>
              <w:rPr>
                <w:b/>
                <w:i/>
              </w:rPr>
              <w:t>ECB nereguliarių straipsnių seriją Nr. 328 „The Road to Paris:</w:t>
            </w:r>
            <w:r>
              <w:t xml:space="preserve"> </w:t>
            </w:r>
            <w:r>
              <w:rPr>
                <w:b/>
                <w:i/>
              </w:rPr>
              <w:t>stress testing the transition towards a net-zero economy“ („Kelias į Paryžių: perėjimo prie neutralaus poveikio klimatui ekonomikos testavimas nepalankiausiomis sąlygomis“),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2023 m.</w:t>
            </w:r>
            <w:r>
              <w:t xml:space="preserve"> </w:t>
            </w:r>
            <w:r>
              <w:rPr>
                <w:b/>
                <w:i/>
              </w:rPr>
              <w:t>ECB nereguliarių straipsnių seriją Nr. 328 „The Road to Paris:</w:t>
            </w:r>
            <w:r>
              <w:t xml:space="preserve"> </w:t>
            </w:r>
            <w:r>
              <w:rPr>
                <w:b/>
                <w:i/>
              </w:rPr>
              <w:t>stress testing the transition towards a net-zero economy“ („Kelias į Paryžių: perėjimo prie neutralaus poveikio klimatui ekonomikos testavimas nepalankiausiomis sąlygomis“),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ECB nereguliarų leidinį Nr. 376 „Capital requirements: a pillar or a burden for bank competitiveness?“ (liet. „Kapitalo reikalavimai: bankų konkurencingumo ramstis ar našta?“),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liepos 10 d. Bazelio bankų priežiūros komiteto ataskaitą „Bankų jungtys su ne bankų finansų tarpininkais“,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lapkričio 7 d. Europos draudimo ir profesinių pensijų institucijos ataskaitą dėl prudencinės tvarkos, taikomos tvarumo rizikai,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gruodžio mėn. ECB ataskaitą dėl Europos prudencinės reguliavimo, priežiūros ir ataskaitų teikimo sistemos supaprastinimo,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spalio 1 d. EBI ataskaitą dėl reguliavimo ir priežiūros sistemos veiksmingumo,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bankų sąjungos tikslas yra apsaugoti </w:t>
            </w:r>
            <w:r>
              <w:rPr>
                <w:b/>
                <w:i/>
              </w:rPr>
              <w:t>bankų</w:t>
            </w:r>
            <w:r>
              <w:t xml:space="preserve"> stabilumą, išvengti mokesčių mokėtojų finansuojamo gelbėjimo valstybės lėšomis, didinti atsparumą, sudaryti sąlygas tvarkingam pertvarkymui, mažinti rinkos susiskaidymą ir didinti konkurencingumą, tarpvalstybinę veiklą ir galimybes gauti finansavimą</w:t>
            </w:r>
            <w:r>
              <w:rPr>
                <w:b/>
                <w:i/>
              </w:rPr>
              <w:t>, tačiau problema „per didelė, kad jai būtų leista žlugti“ tebėra neišspręsta</w:t>
            </w:r>
            <w:r>
              <w:t>;</w:t>
            </w:r>
          </w:p>
        </w:tc>
        <w:tc>
          <w:tcPr>
            <w:tcW w:w="4876" w:type="dxa"/>
            <w:tcBorders>
              <w:top w:val="nil"/>
              <w:left w:val="nil"/>
              <w:bottom w:val="nil"/>
              <w:right w:val="nil"/>
            </w:tcBorders>
          </w:tcPr>
          <w:p>
            <w:pPr>
              <w:pStyle w:val="Normal6a"/>
            </w:pPr>
            <w:r>
              <w:t>A.</w:t>
            </w:r>
            <w:r>
              <w:tab/>
            </w:r>
            <w:r>
              <w:t xml:space="preserve">kadangi bankų sąjungos tikslas yra apsaugoti </w:t>
            </w:r>
            <w:r>
              <w:rPr>
                <w:b/>
                <w:i/>
              </w:rPr>
              <w:t>finansų sistemos</w:t>
            </w:r>
            <w:r>
              <w:t xml:space="preserve"> stabilumą </w:t>
            </w:r>
            <w:r>
              <w:rPr>
                <w:b/>
                <w:i/>
              </w:rPr>
              <w:t>ir užtikrinti tvarkingą bankų krizės valdymą</w:t>
            </w:r>
            <w:r>
              <w:t>, išvengti mokesčių mokėtojų finansuojamo gelbėjimo valstybės lėšomis, didinti atsparumą, sudaryti sąlygas tvarkingam pertvarkymui, mažinti rinkos susiskaidymą ir didinti konkurencingumą, tarpvalstybinę veiklą ir galimybes gauti finansavimą;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bankų sąjungos tikslas yra apsaugoti bankų stabilumą, išvengti mokesčių mokėtojų finansuojamo gelbėjimo valstybės lėšomis, didinti atsparumą, sudaryti sąlygas tvarkingam pertvarkymui, mažinti rinkos susiskaidymą ir didinti konkurencingumą, tarpvalstybinę veiklą ir galimybes gauti finansavimą</w:t>
            </w:r>
            <w:r>
              <w:rPr>
                <w:b/>
                <w:i/>
              </w:rPr>
              <w:t>, tačiau problema „per didelė, kad jai būtų leista žlugti“ tebėra neišspręsta</w:t>
            </w:r>
            <w:r>
              <w:t>;</w:t>
            </w:r>
          </w:p>
        </w:tc>
        <w:tc>
          <w:tcPr>
            <w:tcW w:w="4876" w:type="dxa"/>
            <w:tcBorders>
              <w:top w:val="nil"/>
              <w:left w:val="nil"/>
              <w:bottom w:val="nil"/>
              <w:right w:val="nil"/>
            </w:tcBorders>
          </w:tcPr>
          <w:p>
            <w:pPr>
              <w:pStyle w:val="Normal6a"/>
            </w:pPr>
            <w:r>
              <w:t>A.</w:t>
            </w:r>
            <w:r>
              <w:tab/>
            </w:r>
            <w:r>
              <w:t>kadangi bankų sąjungos tikslas yra apsaugoti bankų stabilumą</w:t>
            </w:r>
            <w:r>
              <w:rPr>
                <w:b/>
                <w:i/>
              </w:rPr>
              <w:t>, nutraukiant amžiną ratą valstybė-bankas</w:t>
            </w:r>
            <w:r>
              <w:t>, išvengti mokesčių mokėtojų finansuojamo gelbėjimo valstybės lėšomis, didinti atsparumą, sudaryti sąlygas tvarkingam pertvarkymui, mažinti rinkos susiskaidymą ir didinti konkurencingumą, tarpvalstybinę veiklą ir galimybes gauti finansavimą;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bankų sąjungos tikslas yra apsaugoti bankų stabilumą, išvengti mokesčių mokėtojų finansuojamo gelbėjimo valstybės lėšomis, didinti atsparumą, sudaryti sąlygas tvarkingam pertvarkymui, mažinti rinkos susiskaidymą ir didinti konkurencingumą, tarpvalstybinę veiklą ir galimybes gauti finansavimą</w:t>
            </w:r>
            <w:r>
              <w:rPr>
                <w:b/>
                <w:i/>
              </w:rPr>
              <w:t>, tačiau problema „per didelė, kad jai būtų leista žlugti“ tebėra neišspręsta</w:t>
            </w:r>
            <w:r>
              <w:t>;</w:t>
            </w:r>
          </w:p>
        </w:tc>
        <w:tc>
          <w:tcPr>
            <w:tcW w:w="4876" w:type="dxa"/>
            <w:tcBorders>
              <w:top w:val="nil"/>
              <w:left w:val="nil"/>
              <w:bottom w:val="nil"/>
              <w:right w:val="nil"/>
            </w:tcBorders>
          </w:tcPr>
          <w:p>
            <w:pPr>
              <w:pStyle w:val="Normal6a"/>
            </w:pPr>
            <w:r>
              <w:t>A.</w:t>
            </w:r>
            <w:r>
              <w:tab/>
            </w:r>
            <w:r>
              <w:t>kadangi bankų sąjungos tikslas yra apsaugoti bankų stabilumą, išvengti mokesčių mokėtojų finansuojamo gelbėjimo valstybės lėšomis, didinti atsparumą, sudaryti sąlygas tvarkingam pertvarkymui, mažinti rinkos susiskaidymą ir didinti konkurencingumą, tarpvalstybinę veiklą ir galimybes gauti finansavimą;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bankų sąjungos tikslas yra apsaugoti bankų stabilumą, išvengti mokesčių mokėtojų finansuojamo gelbėjimo valstybės lėšomis, didinti atsparumą, sudaryti sąlygas tvarkingam pertvarkymui, mažinti rinkos susiskaidymą ir didinti konkurencingumą, tarpvalstybinę veiklą ir galimybes gauti finansavimą, </w:t>
            </w:r>
            <w:r>
              <w:rPr>
                <w:b/>
                <w:i/>
              </w:rPr>
              <w:t>tačiau problema „per didelė, kad jai būtų leista žlugti“ tebėra neišspręsta;</w:t>
            </w:r>
          </w:p>
        </w:tc>
        <w:tc>
          <w:tcPr>
            <w:tcW w:w="4876" w:type="dxa"/>
            <w:tcBorders>
              <w:top w:val="nil"/>
              <w:left w:val="nil"/>
              <w:bottom w:val="nil"/>
              <w:right w:val="nil"/>
            </w:tcBorders>
          </w:tcPr>
          <w:p>
            <w:pPr>
              <w:pStyle w:val="Normal6a"/>
            </w:pPr>
            <w:r>
              <w:t>A.</w:t>
            </w:r>
            <w:r>
              <w:tab/>
            </w:r>
            <w:r>
              <w:t xml:space="preserve">kadangi bankų sąjungos tikslas yra apsaugoti bankų stabilumą, išvengti mokesčių mokėtojų finansuojamo gelbėjimo valstybės lėšomis, didinti atsparumą, sudaryti sąlygas tvarkingam pertvarkymui, mažinti rinkos susiskaidymą ir didinti konkurencingumą, tarpvalstybinę veiklą ir galimybes gauti finansavimą, </w:t>
            </w:r>
            <w:r>
              <w:rPr>
                <w:b/>
                <w:i/>
              </w:rPr>
              <w:t>nes Europos Sąjungos bankų aplinka yra įvairi, o įvairios bankų struktūros teikia įvairias paslaugas Europos piliečiams ir įmonėms.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bankų </w:t>
            </w:r>
            <w:r>
              <w:rPr>
                <w:b/>
                <w:i/>
              </w:rPr>
              <w:t>sąjungos tikslas yra</w:t>
            </w:r>
            <w:r>
              <w:t xml:space="preserve"> apsaugoti bankų stabilumą, išvengti mokesčių mokėtojų </w:t>
            </w:r>
            <w:r>
              <w:rPr>
                <w:b/>
                <w:i/>
              </w:rPr>
              <w:t>finansuojamo gelbėjimo valstybės</w:t>
            </w:r>
            <w:r>
              <w:t xml:space="preserve"> lėšomis</w:t>
            </w:r>
            <w:r>
              <w:rPr>
                <w:b/>
                <w:i/>
              </w:rPr>
              <w:t>, didinti</w:t>
            </w:r>
            <w:r>
              <w:t xml:space="preserve"> atsparumą, sudaryti sąlygas tvarkingam pertvarkymui, mažinti rinkos susiskaidymą ir didinti konkurencingumą, tarpvalstybinę veiklą ir galimybes gauti finansavimą, </w:t>
            </w:r>
            <w:r>
              <w:rPr>
                <w:b/>
                <w:i/>
              </w:rPr>
              <w:t>tačiau problema „per didelė, kad jai būtų leista žlugti“ tebėra neišspręsta</w:t>
            </w:r>
            <w:r>
              <w:t>;</w:t>
            </w:r>
          </w:p>
        </w:tc>
        <w:tc>
          <w:tcPr>
            <w:tcW w:w="4876" w:type="dxa"/>
            <w:tcBorders>
              <w:top w:val="nil"/>
              <w:left w:val="nil"/>
              <w:bottom w:val="nil"/>
              <w:right w:val="nil"/>
            </w:tcBorders>
          </w:tcPr>
          <w:p>
            <w:pPr>
              <w:pStyle w:val="Normal6a"/>
            </w:pPr>
            <w:r>
              <w:t>A.</w:t>
            </w:r>
            <w:r>
              <w:tab/>
            </w:r>
            <w:r>
              <w:t xml:space="preserve">kadangi bankų </w:t>
            </w:r>
            <w:r>
              <w:rPr>
                <w:b/>
                <w:i/>
              </w:rPr>
              <w:t>sąjunga siekiama</w:t>
            </w:r>
            <w:r>
              <w:t xml:space="preserve"> apsaugoti bankų stabilumą, išvengti mokesčių mokėtojų lėšomis </w:t>
            </w:r>
            <w:r>
              <w:rPr>
                <w:b/>
                <w:i/>
              </w:rPr>
              <w:t>finansuojamos finansinės pagalbos, stiprinti</w:t>
            </w:r>
            <w:r>
              <w:t xml:space="preserve"> atsparumą, sudaryti sąlygas tvarkingam pertvarkymui, mažinti rinkos susiskaidymą ir didinti konkurencingumą, tarpvalstybinę veiklą ir galimybes gauti finansavimą, </w:t>
            </w:r>
            <w:r>
              <w:rPr>
                <w:b/>
                <w:i/>
              </w:rPr>
              <w:t>o išliekanti „per didelių, kad žlugtų“ dinamika ir toliau iškraipo rinkos paskatas ir didina numanomas valstybės garantijas</w:t>
            </w:r>
            <w:r>
              <w:t xml:space="preserve">; </w:t>
            </w:r>
            <w:r>
              <w:rPr>
                <w:b/>
                <w:i/>
              </w:rPr>
              <w:t>ragina užtikrinti didesnę rinkos drausmę, o ne tolesnį reguliavimo sluoksniavimą;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bankų </w:t>
            </w:r>
            <w:r>
              <w:rPr>
                <w:b/>
                <w:i/>
              </w:rPr>
              <w:t>sąjungos tikslas yra</w:t>
            </w:r>
            <w:r>
              <w:t xml:space="preserve"> apsaugoti bankų stabilumą, išvengti mokesčių mokėtojų </w:t>
            </w:r>
            <w:r>
              <w:rPr>
                <w:b/>
                <w:i/>
              </w:rPr>
              <w:t>finansuojamo gelbėjimo valstybės</w:t>
            </w:r>
            <w:r>
              <w:t xml:space="preserve"> lėšomis</w:t>
            </w:r>
            <w:r>
              <w:rPr>
                <w:b/>
                <w:i/>
              </w:rPr>
              <w:t>, didinti</w:t>
            </w:r>
            <w:r>
              <w:t xml:space="preserve"> atsparumą, sudaryti sąlygas tvarkingam pertvarkymui, mažinti rinkos susiskaidymą ir didinti konkurencingumą, tarpvalstybinę veiklą ir galimybes gauti finansavimą, </w:t>
            </w:r>
            <w:r>
              <w:rPr>
                <w:b/>
                <w:i/>
              </w:rPr>
              <w:t>tačiau problema „per didelė, kad jai būtų leista žlugti“ tebėra neišspręsta</w:t>
            </w:r>
            <w:r>
              <w:t>;</w:t>
            </w:r>
          </w:p>
        </w:tc>
        <w:tc>
          <w:tcPr>
            <w:tcW w:w="4876" w:type="dxa"/>
            <w:tcBorders>
              <w:top w:val="nil"/>
              <w:left w:val="nil"/>
              <w:bottom w:val="nil"/>
              <w:right w:val="nil"/>
            </w:tcBorders>
          </w:tcPr>
          <w:p>
            <w:pPr>
              <w:pStyle w:val="Normal6a"/>
            </w:pPr>
            <w:r>
              <w:t>A.</w:t>
            </w:r>
            <w:r>
              <w:tab/>
            </w:r>
            <w:r>
              <w:t xml:space="preserve">kadangi bankų </w:t>
            </w:r>
            <w:r>
              <w:rPr>
                <w:b/>
                <w:i/>
              </w:rPr>
              <w:t>sąjunga siekiama</w:t>
            </w:r>
            <w:r>
              <w:t xml:space="preserve"> apsaugoti bankų stabilumą, išvengti mokesčių mokėtojų lėšomis </w:t>
            </w:r>
            <w:r>
              <w:rPr>
                <w:b/>
                <w:i/>
              </w:rPr>
              <w:t>finansuojamos finansinės pagalbos, stiprinti</w:t>
            </w:r>
            <w:r>
              <w:t xml:space="preserve"> atsparumą, sudaryti sąlygas tvarkingam pertvarkymui, mažinti rinkos susiskaidymą ir didinti konkurencingumą, tarpvalstybinę veiklą ir galimybes gauti finansavimą, </w:t>
            </w:r>
            <w:r>
              <w:rPr>
                <w:b/>
                <w:i/>
              </w:rPr>
              <w:t>taip sumažinant bankų klientų išlaidas, o klausimas „per didelis, kad žlugtų“ lieka neišspręstas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bankų sąjungos tikslas yra apsaugoti bankų stabilumą, išvengti mokesčių mokėtojų finansuojamo gelbėjimo valstybės lėšomis, didinti atsparumą, sudaryti sąlygas tvarkingam pertvarkymui, mažinti rinkos susiskaidymą ir didinti konkurencingumą, tarpvalstybinę veiklą ir galimybes gauti finansavimą, tačiau problema „per didelė, kad jai būtų leista žlugti“ tebėra neišspręsta;</w:t>
            </w:r>
          </w:p>
        </w:tc>
        <w:tc>
          <w:tcPr>
            <w:tcW w:w="4876" w:type="dxa"/>
            <w:tcBorders>
              <w:top w:val="nil"/>
              <w:left w:val="nil"/>
              <w:bottom w:val="nil"/>
              <w:right w:val="nil"/>
            </w:tcBorders>
          </w:tcPr>
          <w:p>
            <w:pPr>
              <w:pStyle w:val="Normal6a"/>
            </w:pPr>
            <w:r>
              <w:t>A.</w:t>
            </w:r>
            <w:r>
              <w:tab/>
            </w:r>
            <w:r>
              <w:t>kadangi bankų sąjungos tikslas yra apsaugoti bankų stabilumą, išvengti mokesčių mokėtojų finansuojamo gelbėjimo valstybės lėšomis, didinti atsparumą, sudaryti sąlygas tvarkingam pertvarkymui, mažinti rinkos susiskaidymą</w:t>
            </w:r>
            <w:r>
              <w:rPr>
                <w:b/>
                <w:i/>
              </w:rPr>
              <w:t>, gerinti indėlininkų apsaugą</w:t>
            </w:r>
            <w:r>
              <w:t xml:space="preserve"> ir didinti konkurencingumą, tarpvalstybinę veiklą ir galimybes gauti finansavimą, tačiau problema „per didelė, kad jai būtų leista žlugti“ tebėra neišspręsta;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bankų sąjungos tikslai yra:</w:t>
            </w:r>
            <w:r>
              <w:t xml:space="preserve"> </w:t>
            </w:r>
            <w:r>
              <w:rPr>
                <w:b/>
                <w:i/>
              </w:rPr>
              <w:t>i) skatinti bankų tvirtumą, kad jie atlaikytų būsimas finansines krizes, ii) užtikrinti žlungančių bankų pertvarkymą išvengiant mokesčių mokėtojų pinigų naudojimo ir darant kuo mažesnį poveikį realiajai ekonomikai ir iii) sumažinti rinkos susiskaidymą nustatant suderintas finansų sektoriaus taisykles;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tvirtas ir diversifikuotas bankų sektorius yra labai svarbus užtikrinant ekonomikos augimą, finansuojant mažas ir vidutines įmones (MVĮ) bei startuolius ir užtikrinant perėjimą prie žaliosios ir skaitmeninės ekonomikos;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sąjunga, kurią sudaro </w:t>
            </w:r>
            <w:r>
              <w:rPr>
                <w:b/>
                <w:i/>
              </w:rPr>
              <w:t>Bendras priežiūros mechanizmas (BPM)</w:t>
            </w:r>
            <w:r>
              <w:t xml:space="preserve"> ir bendras pertvarkymo mechanizmas (BPeM), </w:t>
            </w:r>
            <w:r>
              <w:rPr>
                <w:b/>
                <w:i/>
              </w:rPr>
              <w:t>priežiūrą derina su</w:t>
            </w:r>
            <w:r>
              <w:t xml:space="preserve"> krizių </w:t>
            </w:r>
            <w:r>
              <w:rPr>
                <w:b/>
                <w:i/>
              </w:rPr>
              <w:t>valdymu, tačiau ji vis dar neužbaigta, nes ne iki galo įgyvendinta Europos indėlių draudimo sistema (EDIS)</w:t>
            </w:r>
            <w:r>
              <w:t>;</w:t>
            </w:r>
          </w:p>
        </w:tc>
        <w:tc>
          <w:tcPr>
            <w:tcW w:w="4876" w:type="dxa"/>
            <w:tcBorders>
              <w:top w:val="nil"/>
              <w:left w:val="nil"/>
              <w:bottom w:val="nil"/>
              <w:right w:val="nil"/>
            </w:tcBorders>
          </w:tcPr>
          <w:p>
            <w:pPr>
              <w:pStyle w:val="Normal6a"/>
            </w:pPr>
            <w:r>
              <w:t>B.</w:t>
            </w:r>
            <w:r>
              <w:tab/>
            </w:r>
            <w:r>
              <w:t xml:space="preserve">kadangi bankų sąjunga, kurią sudaro </w:t>
            </w:r>
            <w:r>
              <w:rPr>
                <w:b/>
                <w:i/>
              </w:rPr>
              <w:t>BPM</w:t>
            </w:r>
            <w:r>
              <w:t xml:space="preserve"> ir Bendras pertvarkymo mechanizmas (BPeM), </w:t>
            </w:r>
            <w:r>
              <w:rPr>
                <w:b/>
                <w:i/>
              </w:rPr>
              <w:t>padidino finansinį stabilumą ir pagerino priežiūros ir</w:t>
            </w:r>
            <w:r>
              <w:t xml:space="preserve"> krizių </w:t>
            </w:r>
            <w:r>
              <w:rPr>
                <w:b/>
                <w:i/>
              </w:rPr>
              <w:t>valdymo suderinimą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 ir</w:t>
            </w:r>
            <w:r>
              <w:t xml:space="preserve"> bendras pertvarkymo mechanizmas (BPeM)</w:t>
            </w:r>
            <w:r>
              <w:rPr>
                <w:b/>
                <w:i/>
              </w:rPr>
              <w:t>, priežiūrą derina</w:t>
            </w:r>
            <w:r>
              <w:t xml:space="preserve"> su krizių valdymu</w:t>
            </w:r>
            <w:r>
              <w:rPr>
                <w:b/>
                <w:i/>
              </w:rPr>
              <w:t>, tačiau ji vis dar neužbaigta, nes ne iki galo įgyvendinta Europos 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bendras pertvarkymo mechanizmas (BPeM) </w:t>
            </w:r>
            <w:r>
              <w:rPr>
                <w:b/>
                <w:i/>
              </w:rPr>
              <w:t>ir suderintos indėlių draudimo taisyklės, priežiūra derinama</w:t>
            </w:r>
            <w:r>
              <w:t xml:space="preserve"> su krizių valdymu;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 ir</w:t>
            </w:r>
            <w:r>
              <w:t xml:space="preserve"> bendras pertvarkymo mechanizmas (BPeM), </w:t>
            </w:r>
            <w:r>
              <w:rPr>
                <w:b/>
                <w:i/>
              </w:rPr>
              <w:t>priežiūrą derina</w:t>
            </w:r>
            <w:r>
              <w:t xml:space="preserve"> su krizių valdymu</w:t>
            </w:r>
            <w:r>
              <w:rPr>
                <w:b/>
                <w:i/>
              </w:rPr>
              <w:t>, tačiau ji vis dar neužbaigta, nes ne iki galo įgyvendinta</w:t>
            </w:r>
            <w:r>
              <w:t xml:space="preserve"> Europos indėlių </w:t>
            </w:r>
            <w:r>
              <w:rPr>
                <w:b/>
                <w:i/>
              </w:rPr>
              <w:t>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bendras pertvarkymo mechanizmas (BPeM), </w:t>
            </w:r>
            <w:r>
              <w:rPr>
                <w:b/>
                <w:i/>
              </w:rPr>
              <w:t>o priežiūra derinama</w:t>
            </w:r>
            <w:r>
              <w:t xml:space="preserve"> su krizių valdymu</w:t>
            </w:r>
            <w:r>
              <w:rPr>
                <w:b/>
                <w:i/>
              </w:rPr>
              <w:t>;</w:t>
            </w:r>
            <w:r>
              <w:t xml:space="preserve"> </w:t>
            </w:r>
            <w:r>
              <w:rPr>
                <w:b/>
                <w:i/>
              </w:rPr>
              <w:t>pažymi, kad nacionalinės indėlių garantijų sistemos buvo sėkmingai įdiegtos ir daugeliu atvejų įrodė savo funkcionalumą;</w:t>
            </w:r>
            <w:r>
              <w:t xml:space="preserve"> </w:t>
            </w:r>
            <w:r>
              <w:rPr>
                <w:b/>
                <w:i/>
              </w:rPr>
              <w:t>naujame Komisijos pasiūlyme sukurti</w:t>
            </w:r>
            <w:r>
              <w:t xml:space="preserve"> Europos indėlių </w:t>
            </w:r>
            <w:r>
              <w:rPr>
                <w:b/>
                <w:i/>
              </w:rPr>
              <w:t>garantijų sistemą turėtų būti geriau atsižvelgiama į konkrečius nacionalinius ypatumus, kad būtų išsaugotos gerai veikiančios mažesnių bankų sistemos, kurios jau veikia kai kuriose valstybėse narėse, kartu užtikrinant vienodas sąlygas visoje bankų sąjungoje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w:t>
            </w:r>
            <w:r>
              <w:t xml:space="preserve"> ir bendras pertvarkymo mechanizmas (BPeM), </w:t>
            </w:r>
            <w:r>
              <w:rPr>
                <w:b/>
                <w:i/>
              </w:rPr>
              <w:t>priežiūrą derina</w:t>
            </w:r>
            <w:r>
              <w:t xml:space="preserve"> su krizių valdymu</w:t>
            </w:r>
            <w:r>
              <w:rPr>
                <w:b/>
                <w:i/>
              </w:rPr>
              <w:t>, tačiau ji vis dar neužbaigta, nes ne iki galo įgyvendinta</w:t>
            </w:r>
            <w:r>
              <w:t xml:space="preserve"> Europos </w:t>
            </w:r>
            <w:r>
              <w:rPr>
                <w:b/>
                <w:i/>
              </w:rPr>
              <w:t>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ir Bendras pertvarkymo mechanizmas (BPeM), </w:t>
            </w:r>
            <w:r>
              <w:rPr>
                <w:b/>
                <w:i/>
              </w:rPr>
              <w:t>priežiūra derinama</w:t>
            </w:r>
            <w:r>
              <w:t xml:space="preserve"> su krizių valdymu </w:t>
            </w:r>
            <w:r>
              <w:rPr>
                <w:b/>
                <w:i/>
              </w:rPr>
              <w:t>ir užtikrinama aukšto lygio indėlių apsauga, pagrįsta bendrais</w:t>
            </w:r>
            <w:r>
              <w:t xml:space="preserve"> Europos </w:t>
            </w:r>
            <w:r>
              <w:rPr>
                <w:b/>
                <w:i/>
              </w:rPr>
              <w:t>būtiniausiais standartais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 ir</w:t>
            </w:r>
            <w:r>
              <w:t xml:space="preserve"> bendras pertvarkymo mechanizmas (BPeM), </w:t>
            </w:r>
            <w:r>
              <w:rPr>
                <w:b/>
                <w:i/>
              </w:rPr>
              <w:t>priežiūrą derina</w:t>
            </w:r>
            <w:r>
              <w:t xml:space="preserve"> su krizių valdymu</w:t>
            </w:r>
            <w:r>
              <w:rPr>
                <w:b/>
                <w:i/>
              </w:rPr>
              <w:t>, tačiau ji vis dar neužbaigta, nes ne iki galo įgyvendinta Europos 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w:t>
            </w:r>
            <w:r>
              <w:rPr>
                <w:b/>
                <w:i/>
              </w:rPr>
              <w:t>šiuo metu</w:t>
            </w:r>
            <w:r>
              <w:t xml:space="preserve"> sudaro </w:t>
            </w:r>
            <w:r>
              <w:rPr>
                <w:b/>
                <w:i/>
              </w:rPr>
              <w:t>BPM,</w:t>
            </w:r>
            <w:r>
              <w:t xml:space="preserve"> bendras pertvarkymo mechanizmas (BPeM), </w:t>
            </w:r>
            <w:r>
              <w:rPr>
                <w:b/>
                <w:i/>
              </w:rPr>
              <w:t>o priežiūra derinama</w:t>
            </w:r>
            <w:r>
              <w:t xml:space="preserve"> su krizių valdymu;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 ir</w:t>
            </w:r>
            <w:r>
              <w:t xml:space="preserve"> bendras pertvarkymo mechanizmas (BPeM), </w:t>
            </w:r>
            <w:r>
              <w:rPr>
                <w:b/>
                <w:i/>
              </w:rPr>
              <w:t>priežiūrą derina</w:t>
            </w:r>
            <w:r>
              <w:t xml:space="preserve"> su krizių valdymu</w:t>
            </w:r>
            <w:r>
              <w:rPr>
                <w:b/>
                <w:i/>
              </w:rPr>
              <w:t>, tačiau ji vis dar neužbaigta, nes ne iki galo įgyvendinta Europos 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bendras pertvarkymo mechanizmas (BPeM), </w:t>
            </w:r>
            <w:r>
              <w:rPr>
                <w:b/>
                <w:i/>
              </w:rPr>
              <w:t>o priežiūra derinama</w:t>
            </w:r>
            <w:r>
              <w:t xml:space="preserve"> su krizių valdymu;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w:t>
            </w:r>
            <w:r>
              <w:t xml:space="preserve"> ir bendras pertvarkymo mechanizmas (BPeM), </w:t>
            </w:r>
            <w:r>
              <w:rPr>
                <w:b/>
                <w:i/>
              </w:rPr>
              <w:t>priežiūrą derina</w:t>
            </w:r>
            <w:r>
              <w:t xml:space="preserve"> su krizių valdymu, tačiau ji </w:t>
            </w:r>
            <w:r>
              <w:rPr>
                <w:b/>
                <w:i/>
              </w:rPr>
              <w:t>vis dar neužbaigta, nes ne iki galo įgyvendinta Europos 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ir Bendras pertvarkymo mechanizmas (BPeM), </w:t>
            </w:r>
            <w:r>
              <w:rPr>
                <w:b/>
                <w:i/>
              </w:rPr>
              <w:t>priežiūra derinama</w:t>
            </w:r>
            <w:r>
              <w:t xml:space="preserve"> su krizių valdymu, tačiau ji </w:t>
            </w:r>
            <w:r>
              <w:rPr>
                <w:b/>
                <w:i/>
              </w:rPr>
              <w:t>tebėra struktūriškai neišsami ir neveiksminga; </w:t>
            </w:r>
            <w:r>
              <w:t xml:space="preserve"> </w:t>
            </w:r>
            <w:r>
              <w:rPr>
                <w:b/>
                <w:i/>
              </w:rPr>
              <w:t>pabrėžia, kad rizikos tarpusavio susiejimas be rinkos atskaitomybės iškraipo konkurencinį neutralumą ir fiskaliniu požiūriu atsakingos valstybės narės susiduria su nepagrįstais neapibrėžtaisiais įsipareigojimais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w:t>
            </w:r>
            <w:r>
              <w:t xml:space="preserve"> ir bendras pertvarkymo mechanizmas (BPeM), </w:t>
            </w:r>
            <w:r>
              <w:rPr>
                <w:b/>
                <w:i/>
              </w:rPr>
              <w:t>priežiūrą derina</w:t>
            </w:r>
            <w:r>
              <w:t xml:space="preserve"> su krizių valdymu, tačiau ji </w:t>
            </w:r>
            <w:r>
              <w:rPr>
                <w:b/>
                <w:i/>
              </w:rPr>
              <w:t>vis dar neužbaigta, nes ne iki galo įgyvendinta Europos 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ir Bendras pertvarkymo mechanizmas (BPeM), </w:t>
            </w:r>
            <w:r>
              <w:rPr>
                <w:b/>
                <w:i/>
              </w:rPr>
              <w:t>priežiūra derinama</w:t>
            </w:r>
            <w:r>
              <w:t xml:space="preserve"> su krizių valdymu, tačiau ji </w:t>
            </w:r>
            <w:r>
              <w:rPr>
                <w:b/>
                <w:i/>
              </w:rPr>
              <w:t>tebėra neišsami be EIGS, kurioje visapusiškai atsižvelgiama į nacionalinius ypatumus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w:t>
            </w:r>
            <w:r>
              <w:t xml:space="preserve"> ir bendras pertvarkymo mechanizmas (BPeM), </w:t>
            </w:r>
            <w:r>
              <w:rPr>
                <w:b/>
                <w:i/>
              </w:rPr>
              <w:t>priežiūrą derina</w:t>
            </w:r>
            <w:r>
              <w:t xml:space="preserve"> su krizių valdymu, tačiau ji </w:t>
            </w:r>
            <w:r>
              <w:rPr>
                <w:b/>
                <w:i/>
              </w:rPr>
              <w:t>vis dar neužbaigta, nes ne iki galo</w:t>
            </w:r>
            <w:r>
              <w:t xml:space="preserve"> įgyvendinta </w:t>
            </w:r>
            <w:r>
              <w:rPr>
                <w:b/>
                <w:i/>
              </w:rPr>
              <w:t>Europos 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ir Bendras pertvarkymo mechanizmas (BPeM), </w:t>
            </w:r>
            <w:r>
              <w:rPr>
                <w:b/>
                <w:i/>
              </w:rPr>
              <w:t>priežiūra derinama</w:t>
            </w:r>
            <w:r>
              <w:t xml:space="preserve"> su krizių valdymu, tačiau ji </w:t>
            </w:r>
            <w:r>
              <w:rPr>
                <w:b/>
                <w:i/>
              </w:rPr>
              <w:t>tebėra neišsami, jei nebus visapusiškai</w:t>
            </w:r>
            <w:r>
              <w:t xml:space="preserve"> įgyvendinta </w:t>
            </w:r>
            <w:r>
              <w:rPr>
                <w:b/>
                <w:i/>
              </w:rPr>
              <w:t>EIGS ir BPF bendra finansinio stabilumo stiprinimo priemonė, kuri priklauso nuo peržiūrėtos ESM sutarties ratifikavimo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bankų </w:t>
            </w:r>
            <w:r>
              <w:rPr>
                <w:b/>
                <w:i/>
              </w:rPr>
              <w:t>sąjunga</w:t>
            </w:r>
            <w:r>
              <w:t xml:space="preserve">, kurią sudaro </w:t>
            </w:r>
            <w:r>
              <w:rPr>
                <w:b/>
                <w:i/>
              </w:rPr>
              <w:t>Bendras priežiūros mechanizmas (BPM)</w:t>
            </w:r>
            <w:r>
              <w:t xml:space="preserve"> ir bendras pertvarkymo mechanizmas (BPeM)</w:t>
            </w:r>
            <w:r>
              <w:rPr>
                <w:b/>
                <w:i/>
              </w:rPr>
              <w:t>, priežiūrą derina</w:t>
            </w:r>
            <w:r>
              <w:t xml:space="preserve"> su krizių valdymu, tačiau ji </w:t>
            </w:r>
            <w:r>
              <w:rPr>
                <w:b/>
                <w:i/>
              </w:rPr>
              <w:t>vis dar neužbaigta, nes ne iki galo</w:t>
            </w:r>
            <w:r>
              <w:t xml:space="preserve"> įgyvendinta </w:t>
            </w:r>
            <w:r>
              <w:rPr>
                <w:b/>
                <w:i/>
              </w:rPr>
              <w:t>Europos indėlių draudimo sistema (EDIS)</w:t>
            </w:r>
            <w:r>
              <w:t>;</w:t>
            </w:r>
          </w:p>
        </w:tc>
        <w:tc>
          <w:tcPr>
            <w:tcW w:w="4876" w:type="dxa"/>
            <w:tcBorders>
              <w:top w:val="nil"/>
              <w:left w:val="nil"/>
              <w:bottom w:val="nil"/>
              <w:right w:val="nil"/>
            </w:tcBorders>
          </w:tcPr>
          <w:p>
            <w:pPr>
              <w:pStyle w:val="Normal6a"/>
            </w:pPr>
            <w:r>
              <w:t>B.</w:t>
            </w:r>
            <w:r>
              <w:tab/>
            </w:r>
            <w:r>
              <w:t xml:space="preserve">kadangi bankų </w:t>
            </w:r>
            <w:r>
              <w:rPr>
                <w:b/>
                <w:i/>
              </w:rPr>
              <w:t>sąjungoje</w:t>
            </w:r>
            <w:r>
              <w:t xml:space="preserve">, kurią sudaro </w:t>
            </w:r>
            <w:r>
              <w:rPr>
                <w:b/>
                <w:i/>
              </w:rPr>
              <w:t>BPM</w:t>
            </w:r>
            <w:r>
              <w:t xml:space="preserve"> ir Bendras pertvarkymo mechanizmas (BPeM) </w:t>
            </w:r>
            <w:r>
              <w:rPr>
                <w:b/>
                <w:i/>
              </w:rPr>
              <w:t>ir kurios pagrindas yra bendras taisyklių sąvadas, priežiūra derinama</w:t>
            </w:r>
            <w:r>
              <w:t xml:space="preserve"> su krizių valdymu, tačiau ji </w:t>
            </w:r>
            <w:r>
              <w:rPr>
                <w:b/>
                <w:i/>
              </w:rPr>
              <w:t>tebėra neišsami, jei nebus visapusiškai</w:t>
            </w:r>
            <w:r>
              <w:t xml:space="preserve"> įgyvendinta </w:t>
            </w:r>
            <w:r>
              <w:rPr>
                <w:b/>
                <w:i/>
              </w:rPr>
              <w:t>EIGS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baigta kurti bankų sąjunga būtų teigiamas pokytis piliečiams ir ES ekonomikai, suteikiantis pagrindą stabilesnei bankų sistemai, sisteminės rizikos mažinimui, didesnei konkurencijai, geresniam vartotojų pasirinkimui, didesnėms tarpvalstybinės bankininkystės galimybėms ir galimybei naudotis mažmeninėmis finansinėmis paslaugomis, didesnėms ekonominėms investicijoms, geresnėms namų ūkių ir įmonių galimybėms gauti finansavimą ir bankų klientų išlaidų mažinimui;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ECB ragina baigti kurti bankų sąjungą, kad būtų skatinama tarpvalstybinė integracija ir sudaromos sąlygos veiksmingesniam kapitalo paskirstymui, nes tai yra būtinos sąlygos siekiant pašalinti dabartinę nepalankią konkurencinę padėtį, su kuria ES bankai susiduria dėl masto trūkumo, kadangi jis taip pat rekomenduoja supaprastinti Europos prudencinę reguliavimo, priežiūros ir ataskaitų teikimo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ne bankų finansų tarpininkai (NBFI arba šešėliniai bankai) ir toliau nepatenka į bankų sąjungos struktūrą, todėl ES bankų sektorius tampa pažeidžiamas dėl rizikos, kylančios dėl vis glaudėjančių NBFI ir bankų sektoriaus tarpusavio sąsajų;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stabilus, atsparus, dinamiškas ir konkurencingas bankų sektorius yra gyvybiškai svarbus ekonomikos augimui, mažųjų ir vidutinių įmonių rėmimui, būsto nuosavybės galimybių didinimui, inovacijoms, investicijoms ir ekonominių galimybių visiems didinimui;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remiantis literatūra apie optimalias valiutos zonas, visapusiška bankų sąjunga yra labai svarbi siekiant išvengti asimetrinio sukrėtimų poveikio visoje ES, nes tai lemia didesnį finansinį ir ekonominį stabilumą ir atsparumą;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kadangi ES turėtų nedelsdama visapusiškai įgyvendinti susitarimo „Bazelis III“ standartus;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ES </w:t>
            </w:r>
            <w:r>
              <w:rPr>
                <w:b/>
                <w:i/>
              </w:rPr>
              <w:t>turėtų nedelsdama visapusiškai</w:t>
            </w:r>
            <w:r>
              <w:t xml:space="preserve"> įgyvendinti </w:t>
            </w:r>
            <w:r>
              <w:rPr>
                <w:b/>
                <w:i/>
              </w:rPr>
              <w:t>susitarimo</w:t>
            </w:r>
            <w:r>
              <w:t xml:space="preserve"> „Bazelis III“ </w:t>
            </w:r>
            <w:r>
              <w:rPr>
                <w:b/>
                <w:i/>
              </w:rPr>
              <w:t>standartus</w:t>
            </w:r>
            <w:r>
              <w:t>;</w:t>
            </w:r>
          </w:p>
        </w:tc>
        <w:tc>
          <w:tcPr>
            <w:tcW w:w="4876" w:type="dxa"/>
            <w:tcBorders>
              <w:top w:val="nil"/>
              <w:left w:val="nil"/>
              <w:bottom w:val="nil"/>
              <w:right w:val="nil"/>
            </w:tcBorders>
          </w:tcPr>
          <w:p>
            <w:pPr>
              <w:pStyle w:val="Normal6a"/>
            </w:pPr>
            <w:r>
              <w:t>C.</w:t>
            </w:r>
            <w:r>
              <w:tab/>
            </w:r>
            <w:r>
              <w:rPr>
                <w:b/>
                <w:i/>
              </w:rPr>
              <w:t>kadangi finansinis stabilumas yra būtina veiksmingos pinigų politikos ir atsparios finansų sistemos sąlyga,</w:t>
            </w:r>
            <w:r>
              <w:t xml:space="preserve"> kadangi ES </w:t>
            </w:r>
            <w:r>
              <w:rPr>
                <w:b/>
                <w:i/>
              </w:rPr>
              <w:t>jau susitarė</w:t>
            </w:r>
            <w:r>
              <w:t xml:space="preserve"> įgyvendinti </w:t>
            </w:r>
            <w:r>
              <w:rPr>
                <w:b/>
                <w:i/>
              </w:rPr>
              <w:t>sistemą</w:t>
            </w:r>
            <w:r>
              <w:t xml:space="preserve"> „Bazelis III“;</w:t>
            </w:r>
            <w:r>
              <w:rPr>
                <w:b/>
                <w:i/>
              </w:rPr>
              <w:t> </w:t>
            </w:r>
            <w:r>
              <w:t xml:space="preserve"> </w:t>
            </w:r>
            <w:r>
              <w:rPr>
                <w:b/>
                <w:i/>
              </w:rPr>
              <w:t>nors taip pat labai svarbu užtikrinti tinkamą pusiausvyrą tarp finansinio stabilumo, tarptautinių sistemų laikymosi ir vienodų tarptautinių sąlygų, siekiant užtikrinti, kad Europos bankai galėtų vienodomis sąlygomis konkuruoti su kitų jurisdikcijų bankais;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w:t>
            </w:r>
            <w:r>
              <w:rPr>
                <w:b/>
                <w:i/>
              </w:rPr>
              <w:t>ES turėtų nedelsdama visapusiškai įgyvendinti</w:t>
            </w:r>
            <w:r>
              <w:t xml:space="preserve"> susitarimo „Bazelis III“ </w:t>
            </w:r>
            <w:r>
              <w:rPr>
                <w:b/>
                <w:i/>
              </w:rPr>
              <w:t>standartus</w:t>
            </w:r>
            <w:r>
              <w:t>;</w:t>
            </w:r>
          </w:p>
        </w:tc>
        <w:tc>
          <w:tcPr>
            <w:tcW w:w="4876" w:type="dxa"/>
            <w:tcBorders>
              <w:top w:val="nil"/>
              <w:left w:val="nil"/>
              <w:bottom w:val="nil"/>
              <w:right w:val="nil"/>
            </w:tcBorders>
          </w:tcPr>
          <w:p>
            <w:pPr>
              <w:pStyle w:val="Normal6a"/>
            </w:pPr>
            <w:r>
              <w:t>C.</w:t>
            </w:r>
            <w:r>
              <w:tab/>
            </w:r>
            <w:r>
              <w:t xml:space="preserve">kadangi susitarimo „Bazelis III“ </w:t>
            </w:r>
            <w:r>
              <w:rPr>
                <w:b/>
                <w:i/>
              </w:rPr>
              <w:t>taisyklės turėtų būti pritaikytos prie Europos bankų sektoriaus ypatumų, atsižvelgiant į proporcingumo kriterijų ir supaprastinimą mažesniems bankams, o tai atitinka Europos Centrinio Banko aukšto lygio darbo grupės supaprastinimo klausimais, kuriai pritarė ECB valdančioji taryba, rezultatus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ES turėtų </w:t>
            </w:r>
            <w:r>
              <w:rPr>
                <w:b/>
                <w:i/>
              </w:rPr>
              <w:t>nedelsdama visapusiškai</w:t>
            </w:r>
            <w:r>
              <w:t xml:space="preserve"> įgyvendinti </w:t>
            </w:r>
            <w:r>
              <w:rPr>
                <w:b/>
                <w:i/>
              </w:rPr>
              <w:t>susitarimo</w:t>
            </w:r>
            <w:r>
              <w:t xml:space="preserve"> „Bazelis III“ </w:t>
            </w:r>
            <w:r>
              <w:rPr>
                <w:b/>
                <w:i/>
              </w:rPr>
              <w:t>standartus</w:t>
            </w:r>
            <w:r>
              <w:t>;</w:t>
            </w:r>
          </w:p>
        </w:tc>
        <w:tc>
          <w:tcPr>
            <w:tcW w:w="4876" w:type="dxa"/>
            <w:tcBorders>
              <w:top w:val="nil"/>
              <w:left w:val="nil"/>
              <w:bottom w:val="nil"/>
              <w:right w:val="nil"/>
            </w:tcBorders>
          </w:tcPr>
          <w:p>
            <w:pPr>
              <w:pStyle w:val="Normal6a"/>
            </w:pPr>
            <w:r>
              <w:t>C.</w:t>
            </w:r>
            <w:r>
              <w:tab/>
            </w:r>
            <w:r>
              <w:t xml:space="preserve">kadangi ES turėtų </w:t>
            </w:r>
            <w:r>
              <w:rPr>
                <w:b/>
                <w:i/>
              </w:rPr>
              <w:t>nuosekliai</w:t>
            </w:r>
            <w:r>
              <w:t xml:space="preserve"> įgyvendinti </w:t>
            </w:r>
            <w:r>
              <w:rPr>
                <w:b/>
                <w:i/>
              </w:rPr>
              <w:t>susitarimą</w:t>
            </w:r>
            <w:r>
              <w:t xml:space="preserve"> „Bazelis III“</w:t>
            </w:r>
            <w:r>
              <w:rPr>
                <w:b/>
                <w:i/>
              </w:rPr>
              <w:t>, kartu užtikrindama, kad įgyvendinimas būtų proporcingas, laipsniškas ir pritaikytas Europos finansų sistemos ypatumams, nedarant poveikio Sąjungos bankų sistemos konkurencingumui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ES turėtų nedelsdama </w:t>
            </w:r>
            <w:r>
              <w:rPr>
                <w:b/>
                <w:i/>
              </w:rPr>
              <w:t>visapusiškai</w:t>
            </w:r>
            <w:r>
              <w:t xml:space="preserve"> įgyvendinti susitarimo „Bazelis III“ standartus;</w:t>
            </w:r>
          </w:p>
        </w:tc>
        <w:tc>
          <w:tcPr>
            <w:tcW w:w="4876" w:type="dxa"/>
            <w:tcBorders>
              <w:top w:val="nil"/>
              <w:left w:val="nil"/>
              <w:bottom w:val="nil"/>
              <w:right w:val="nil"/>
            </w:tcBorders>
          </w:tcPr>
          <w:p>
            <w:pPr>
              <w:pStyle w:val="Normal6a"/>
            </w:pPr>
            <w:r>
              <w:t>C.</w:t>
            </w:r>
            <w:r>
              <w:tab/>
            </w:r>
            <w:r>
              <w:t xml:space="preserve">kadangi ES turėtų nedelsdama įgyvendinti susitarimo „Bazelis III“ standartus </w:t>
            </w:r>
            <w:r>
              <w:rPr>
                <w:b/>
                <w:i/>
              </w:rPr>
              <w:t>taip, kad būtų apsaugotas tarptautinis Europos bankų sektoriaus konkurencingumas ir užtikrintos vienodos sąlygos visame pasaulyje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ES turėtų </w:t>
            </w:r>
            <w:r>
              <w:rPr>
                <w:b/>
                <w:i/>
              </w:rPr>
              <w:t>nedelsdama</w:t>
            </w:r>
            <w:r>
              <w:t xml:space="preserve"> visapusiškai įgyvendinti susitarimo „Bazelis III“ standartus;</w:t>
            </w:r>
          </w:p>
        </w:tc>
        <w:tc>
          <w:tcPr>
            <w:tcW w:w="4876" w:type="dxa"/>
            <w:tcBorders>
              <w:top w:val="nil"/>
              <w:left w:val="nil"/>
              <w:bottom w:val="nil"/>
              <w:right w:val="nil"/>
            </w:tcBorders>
          </w:tcPr>
          <w:p>
            <w:pPr>
              <w:pStyle w:val="Normal6a"/>
            </w:pPr>
            <w:r>
              <w:t>C.</w:t>
            </w:r>
            <w:r>
              <w:tab/>
            </w:r>
            <w:r>
              <w:t xml:space="preserve">kadangi ES turėtų visapusiškai įgyvendinti susitarimo „Bazelis III“ standartus </w:t>
            </w:r>
            <w:r>
              <w:rPr>
                <w:b/>
                <w:i/>
              </w:rPr>
              <w:t>nepakenkdama tarptautiniam bankų sektoriaus konkurencingumui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ES turėtų nedelsdama visapusiškai įgyvendinti susitarimo „Bazelis III“ standartus;</w:t>
            </w:r>
          </w:p>
        </w:tc>
        <w:tc>
          <w:tcPr>
            <w:tcW w:w="4876" w:type="dxa"/>
            <w:tcBorders>
              <w:top w:val="nil"/>
              <w:left w:val="nil"/>
              <w:bottom w:val="nil"/>
              <w:right w:val="nil"/>
            </w:tcBorders>
          </w:tcPr>
          <w:p>
            <w:pPr>
              <w:pStyle w:val="Normal6a"/>
            </w:pPr>
            <w:r>
              <w:t>C.</w:t>
            </w:r>
            <w:r>
              <w:tab/>
            </w:r>
            <w:r>
              <w:rPr>
                <w:b/>
                <w:i/>
              </w:rPr>
              <w:t>kadangi ES įgyvendino susitarimo „Bazelis III“ standartus visiems bankams, nepriklausomai nuo jų dydžio ir veiksmų apimties; </w:t>
            </w:r>
            <w:r>
              <w:t xml:space="preserve"> kadangi ES turėtų nedelsdama visapusiškai įgyvendinti susitarimo „Bazelis III“ standartus </w:t>
            </w:r>
            <w:r>
              <w:rPr>
                <w:b/>
                <w:i/>
              </w:rPr>
              <w:t>tik tarptautiniu mastu veikiantiems Europos bankams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ES turėtų nedelsdama visapusiškai įgyvendinti susitarimo „Bazelis III“ standartus;</w:t>
            </w:r>
          </w:p>
        </w:tc>
        <w:tc>
          <w:tcPr>
            <w:tcW w:w="4876" w:type="dxa"/>
            <w:tcBorders>
              <w:top w:val="nil"/>
              <w:left w:val="nil"/>
              <w:bottom w:val="nil"/>
              <w:right w:val="nil"/>
            </w:tcBorders>
          </w:tcPr>
          <w:p>
            <w:pPr>
              <w:pStyle w:val="Normal6a"/>
            </w:pPr>
            <w:r>
              <w:t>C.</w:t>
            </w:r>
            <w:r>
              <w:tab/>
            </w:r>
            <w:r>
              <w:t xml:space="preserve">kadangi </w:t>
            </w:r>
            <w:r>
              <w:rPr>
                <w:b/>
                <w:i/>
              </w:rPr>
              <w:t>atsižvelgdama į tai, kokios svarbios yra vienodos sąlygos visame pasaulyje ir koks didelis ES bankų vaidmuo finansuojant ekonomiką, be kita ko, namų ūkius ir MVĮ, bei užtikrinant bankų sistemos konkurencingumą,</w:t>
            </w:r>
            <w:r>
              <w:t xml:space="preserve"> ES turėtų nedelsdama visapusiškai įgyvendinti susitarimo „Bazelis III“ standartus;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ES turėtų nedelsdama visapusiškai įgyvendinti susitarimo „Bazelis III“ standartus;</w:t>
            </w:r>
          </w:p>
        </w:tc>
        <w:tc>
          <w:tcPr>
            <w:tcW w:w="4876" w:type="dxa"/>
            <w:tcBorders>
              <w:top w:val="nil"/>
              <w:left w:val="nil"/>
              <w:bottom w:val="nil"/>
              <w:right w:val="nil"/>
            </w:tcBorders>
          </w:tcPr>
          <w:p>
            <w:pPr>
              <w:pStyle w:val="Normal6a"/>
            </w:pPr>
            <w:r>
              <w:t>C.</w:t>
            </w:r>
            <w:r>
              <w:tab/>
            </w:r>
            <w:r>
              <w:t>kadangi ES turėtų nedelsdama visapusiškai įgyvendinti susitarimo „Bazelis III“ standartus</w:t>
            </w:r>
            <w:r>
              <w:rPr>
                <w:b/>
                <w:i/>
              </w:rPr>
              <w:t>, įskaitant rinkos rizikos sistemą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ES turėtų nedelsdama visapusiškai įgyvendinti susitarimo „Bazelis III“ standartus;</w:t>
            </w:r>
          </w:p>
        </w:tc>
        <w:tc>
          <w:tcPr>
            <w:tcW w:w="4876" w:type="dxa"/>
            <w:tcBorders>
              <w:top w:val="nil"/>
              <w:left w:val="nil"/>
              <w:bottom w:val="nil"/>
              <w:right w:val="nil"/>
            </w:tcBorders>
          </w:tcPr>
          <w:p>
            <w:pPr>
              <w:pStyle w:val="Normal6a"/>
            </w:pPr>
            <w:r>
              <w:t>C.</w:t>
            </w:r>
            <w:r>
              <w:tab/>
            </w:r>
            <w:r>
              <w:t xml:space="preserve">kadangi ES turėtų nedelsdama visapusiškai įgyvendinti susitarimo „Bazelis III“ standartus; </w:t>
            </w:r>
            <w:r>
              <w:rPr>
                <w:b/>
                <w:i/>
              </w:rPr>
              <w:t>kritikuoja ES pakartotinius atidėjimus ir nukrypimus nuo tarptautinių Bazelio standartų, įskaitant rinkos rizikos taisyklių atidėjimą iki 2026 m., dėl kurių ES bankai pasaulinėse didmeninėse rinkose patiria reguliacinį arbitražą ir nepalankią konkurencinę padėtį;</w:t>
            </w:r>
            <w:r>
              <w:t xml:space="preserve"> </w:t>
            </w:r>
            <w:r>
              <w:rPr>
                <w:b/>
                <w:i/>
              </w:rPr>
              <w:t>toks nevienodas įgyvendinimas iškraipo vienodas sąlygas ir didina sisteminę riziką dėl neveiksmingo rizikos kapitalo paskirstymo;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Rusijos agresija prieš Ukrainą ir tos agresijos ekonominiai ir socialiniai padariniai turės tiesioginį ir netiesioginį poveikį ES bankų sektoriui;</w:t>
            </w:r>
            <w:r>
              <w:t xml:space="preserve"> </w:t>
            </w:r>
            <w:r>
              <w:rPr>
                <w:b/>
                <w:i/>
              </w:rPr>
              <w:t>kadangi ES bankai atlieka pagrindinį vaidmenį užtikrinant nuolatinį sankcijų, kurias ES nustatė Rusijai reaguodama į invaziją, įgyvendinimą ir laikymąsi;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finansų skaitmeninimas suteikia didelių galimybių bankų sektoriui ir lėmė didelę technologinę pažangą ES bankų sektoriuje, nes padidėjo bankų paslaugų teikimo veiksmingumas ir padidėjo susidomėjimas inovacijomis ir dalijimasis duomenimis, jis taip pat kelia iššūkių, be kita ko, susijusių su kibernetine rizika, duomenų privatumu, rizika reputacijai, kovos su pinigų plovimu rizika ir vartotojų apsaugos problemomis;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kadangi vienas iš pagrindinių bankų sąjungos tikslų yra tai, kad mokesčių mokėtojai neturėtų padengti išlaidų, susijusių su taisomaisiais veiksmais, kai bankas žlunga;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vertinant bankų balanso riziką reikia atsižvelgti į klimato kaitą, riziką aplinkai ir perėjimą prie mažo anglies dioksido kiekio technologijų;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vertinant bankų balanso riziką reikia atsižvelgti į klimato kaitą, riziką aplinkai ir perėjimą prie mažo anglies dioksido kiekio technologijų;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vertinant bankų balanso riziką reikia atsižvelgti į klimato kaitą, riziką aplinkai ir perėjimą prie mažo anglies dioksido kiekio technologijų;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vertinant bankų balanso riziką reikia atsižvelgti į klimato kaitą, riziką aplinkai ir perėjimą prie mažo anglies dioksido kiekio technologijų;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vertinant bankų balanso riziką</w:t>
            </w:r>
            <w:r>
              <w:t xml:space="preserve"> reikia </w:t>
            </w:r>
            <w:r>
              <w:rPr>
                <w:b/>
                <w:i/>
              </w:rPr>
              <w:t>atsižvelgti į klimato kaitą, riziką aplinkai ir perėjimą prie mažo anglies dioksido kiekio technologijų</w:t>
            </w:r>
            <w:r>
              <w:t>;</w:t>
            </w:r>
          </w:p>
        </w:tc>
        <w:tc>
          <w:tcPr>
            <w:tcW w:w="4876" w:type="dxa"/>
            <w:tcBorders>
              <w:top w:val="nil"/>
              <w:left w:val="nil"/>
              <w:bottom w:val="nil"/>
              <w:right w:val="nil"/>
            </w:tcBorders>
          </w:tcPr>
          <w:p>
            <w:pPr>
              <w:pStyle w:val="Normal6a"/>
            </w:pPr>
            <w:r>
              <w:t>D.</w:t>
            </w:r>
            <w:r>
              <w:tab/>
            </w:r>
            <w:r>
              <w:t xml:space="preserve">kadangi </w:t>
            </w:r>
            <w:r>
              <w:rPr>
                <w:b/>
                <w:i/>
              </w:rPr>
              <w:t>skubiai</w:t>
            </w:r>
            <w:r>
              <w:t xml:space="preserve"> reikia </w:t>
            </w:r>
            <w:r>
              <w:rPr>
                <w:b/>
                <w:i/>
              </w:rPr>
              <w:t>nesubordinuoti tradicinių rizikos rodiklių su politiniais aplinkos apsaugos tikslais, dėl kurių gali būti padidinti kapitalo mokesčiai ir apribotas kreditų teikimas tose srityse, kuriose jie yra produktyviausi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vertinant bankų balanso riziką </w:t>
            </w:r>
            <w:r>
              <w:rPr>
                <w:b/>
                <w:i/>
              </w:rPr>
              <w:t>reikia</w:t>
            </w:r>
            <w:r>
              <w:t xml:space="preserve"> atsižvelgti į klimato kaitą, riziką aplinkai ir perėjimą prie mažo anglies dioksido kiekio technologijų;</w:t>
            </w:r>
          </w:p>
        </w:tc>
        <w:tc>
          <w:tcPr>
            <w:tcW w:w="4876" w:type="dxa"/>
            <w:tcBorders>
              <w:top w:val="nil"/>
              <w:left w:val="nil"/>
              <w:bottom w:val="nil"/>
              <w:right w:val="nil"/>
            </w:tcBorders>
          </w:tcPr>
          <w:p>
            <w:pPr>
              <w:pStyle w:val="Normal6a"/>
            </w:pPr>
            <w:r>
              <w:t>D.</w:t>
            </w:r>
            <w:r>
              <w:tab/>
            </w:r>
            <w:r>
              <w:t xml:space="preserve">kadangi vertinant bankų balanso riziką </w:t>
            </w:r>
            <w:r>
              <w:rPr>
                <w:b/>
                <w:i/>
              </w:rPr>
              <w:t>galima</w:t>
            </w:r>
            <w:r>
              <w:t xml:space="preserve"> atsižvelgti į klimato kaitą, riziką aplinkai ir perėjimą prie mažo anglies dioksido kiekio technologijų </w:t>
            </w:r>
            <w:r>
              <w:rPr>
                <w:b/>
                <w:i/>
              </w:rPr>
              <w:t>tik tuo atveju, jei ji daro poveikį finansiniam stabilumui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vertinant bankų balanso riziką reikia atsižvelgti į klimato kaitą, riziką aplinkai ir perėjimą prie </w:t>
            </w:r>
            <w:r>
              <w:rPr>
                <w:b/>
                <w:i/>
              </w:rPr>
              <w:t>mažo anglies dioksido kiekio technologijų</w:t>
            </w:r>
            <w:r>
              <w:t>;</w:t>
            </w:r>
          </w:p>
        </w:tc>
        <w:tc>
          <w:tcPr>
            <w:tcW w:w="4876" w:type="dxa"/>
            <w:tcBorders>
              <w:top w:val="nil"/>
              <w:left w:val="nil"/>
              <w:bottom w:val="nil"/>
              <w:right w:val="nil"/>
            </w:tcBorders>
          </w:tcPr>
          <w:p>
            <w:pPr>
              <w:pStyle w:val="Normal6a"/>
            </w:pPr>
            <w:r>
              <w:t>D.</w:t>
            </w:r>
            <w:r>
              <w:tab/>
            </w:r>
            <w:r>
              <w:t xml:space="preserve">kadangi vertinant bankų balanso riziką reikia atsižvelgti į klimato kaitą, riziką aplinkai ir perėjimą prie </w:t>
            </w:r>
            <w:r>
              <w:rPr>
                <w:b/>
                <w:i/>
              </w:rPr>
              <w:t>neutralaus poveikio klimatui ekonomikos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skaitmeninis euras galėtų padidinti ES mokėjimų veiksmingumą, atsparumą, finansinę įtrauktį, inovacijas, visuomenės pasitikėjimą ir tarptautinį euro vaidmenį</w:t>
            </w:r>
            <w:r>
              <w:t>;</w:t>
            </w:r>
          </w:p>
        </w:tc>
        <w:tc>
          <w:tcPr>
            <w:tcW w:w="4876" w:type="dxa"/>
            <w:tcBorders>
              <w:top w:val="nil"/>
              <w:left w:val="nil"/>
              <w:bottom w:val="nil"/>
              <w:right w:val="nil"/>
            </w:tcBorders>
          </w:tcPr>
          <w:p>
            <w:pPr>
              <w:pStyle w:val="Normal6a"/>
            </w:pPr>
            <w:r>
              <w:t>E.</w:t>
            </w:r>
            <w:r>
              <w:tab/>
            </w:r>
            <w:r>
              <w:t xml:space="preserve">kadangi </w:t>
            </w:r>
            <w:r>
              <w:rPr>
                <w:b/>
                <w:i/>
              </w:rPr>
              <w:t>skaitmeninio euro projektas kelia iššūkių ir galimų grėsmių ES bankų sektoriaus likvidumui ir stabilumui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skaitmeninis euras galėtų padidinti ES mokėjimų veiksmingumą</w:t>
            </w:r>
            <w:r>
              <w:rPr>
                <w:b/>
                <w:i/>
              </w:rPr>
              <w:t>,</w:t>
            </w:r>
            <w:r>
              <w:t xml:space="preserve"> atsparumą, </w:t>
            </w:r>
            <w:r>
              <w:rPr>
                <w:b/>
                <w:i/>
              </w:rPr>
              <w:t>finansinę įtrauktį, inovacijas, visuomenės pasitikėjimą ir tarptautinį euro vaidmenį</w:t>
            </w:r>
            <w:r>
              <w:t>;</w:t>
            </w:r>
          </w:p>
        </w:tc>
        <w:tc>
          <w:tcPr>
            <w:tcW w:w="4876" w:type="dxa"/>
            <w:tcBorders>
              <w:top w:val="nil"/>
              <w:left w:val="nil"/>
              <w:bottom w:val="nil"/>
              <w:right w:val="nil"/>
            </w:tcBorders>
          </w:tcPr>
          <w:p>
            <w:pPr>
              <w:pStyle w:val="Normal6a"/>
            </w:pPr>
            <w:r>
              <w:t>E.</w:t>
            </w:r>
            <w:r>
              <w:tab/>
            </w:r>
            <w:r>
              <w:t xml:space="preserve">kadangi </w:t>
            </w:r>
            <w:r>
              <w:rPr>
                <w:b/>
                <w:i/>
              </w:rPr>
              <w:t>neinternetinis ir didmeninis</w:t>
            </w:r>
            <w:r>
              <w:t xml:space="preserve"> skaitmeninis euras galėtų padidinti ES mokėjimų veiksmingumą </w:t>
            </w:r>
            <w:r>
              <w:rPr>
                <w:b/>
                <w:i/>
              </w:rPr>
              <w:t>ir</w:t>
            </w:r>
            <w:r>
              <w:t xml:space="preserve"> atsparumą, </w:t>
            </w:r>
            <w:r>
              <w:rPr>
                <w:b/>
                <w:i/>
              </w:rPr>
              <w:t>tačiau taip pat galėtų iš esmės susilpninti komercinių bankų indėlių bazes ir pakenkti finansiniam stabilumui, skatindamas pereiti prie centrinio banko indėlių, ypač nepalankiausių sąlygų laikotarpiais</w:t>
            </w:r>
            <w:r>
              <w:t xml:space="preserve">; </w:t>
            </w:r>
            <w:r>
              <w:rPr>
                <w:b/>
                <w:i/>
              </w:rPr>
              <w:t>toks pokytis galėtų sumažinti bankų galimybes skolinti namų ūkiams ir MVĮ, todėl padidėtų priklausomybė nuo centralizuotų piniginio finansavimo mechanizmų, o ne nuo diversifikuoto rinkos finansavimo;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skaitmeninis euras </w:t>
            </w:r>
            <w:r>
              <w:rPr>
                <w:b/>
                <w:i/>
              </w:rPr>
              <w:t>galėtų padidinti</w:t>
            </w:r>
            <w:r>
              <w:t xml:space="preserve"> ES mokėjimų veiksmingumą, atsparumą, finansinę įtrauktį, inovacijas, visuomenės pasitikėjimą ir tarptautinį euro vaidmenį;</w:t>
            </w:r>
          </w:p>
        </w:tc>
        <w:tc>
          <w:tcPr>
            <w:tcW w:w="4876" w:type="dxa"/>
            <w:tcBorders>
              <w:top w:val="nil"/>
              <w:left w:val="nil"/>
              <w:bottom w:val="nil"/>
              <w:right w:val="nil"/>
            </w:tcBorders>
          </w:tcPr>
          <w:p>
            <w:pPr>
              <w:pStyle w:val="Normal6a"/>
            </w:pPr>
            <w:r>
              <w:t>E.</w:t>
            </w:r>
            <w:r>
              <w:tab/>
            </w:r>
            <w:r>
              <w:t xml:space="preserve">kadangi skaitmeninis euras </w:t>
            </w:r>
            <w:r>
              <w:rPr>
                <w:b/>
                <w:i/>
              </w:rPr>
              <w:t>padidins</w:t>
            </w:r>
            <w:r>
              <w:t xml:space="preserve"> ES mokėjimų veiksmingumą</w:t>
            </w:r>
            <w:r>
              <w:rPr>
                <w:b/>
                <w:i/>
              </w:rPr>
              <w:t>, konkurencingumą</w:t>
            </w:r>
            <w:r>
              <w:t>, atsparumą, finansinę įtrauktį, inovacijas, visuomenės pasitikėjimą ir tarptautinį euro vaidmenį;</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skaitmeninis euras </w:t>
            </w:r>
            <w:r>
              <w:rPr>
                <w:b/>
                <w:i/>
              </w:rPr>
              <w:t>galėtų padidinti</w:t>
            </w:r>
            <w:r>
              <w:t xml:space="preserve"> ES mokėjimų veiksmingumą, atsparumą, finansinę įtrauktį, inovacijas, visuomenės pasitikėjimą ir tarptautinį euro vaidmenį;</w:t>
            </w:r>
          </w:p>
        </w:tc>
        <w:tc>
          <w:tcPr>
            <w:tcW w:w="4876" w:type="dxa"/>
            <w:tcBorders>
              <w:top w:val="nil"/>
              <w:left w:val="nil"/>
              <w:bottom w:val="nil"/>
              <w:right w:val="nil"/>
            </w:tcBorders>
          </w:tcPr>
          <w:p>
            <w:pPr>
              <w:pStyle w:val="Normal6a"/>
            </w:pPr>
            <w:r>
              <w:t>E.</w:t>
            </w:r>
            <w:r>
              <w:tab/>
            </w:r>
            <w:r>
              <w:t xml:space="preserve">kadangi skaitmeninis euras </w:t>
            </w:r>
            <w:r>
              <w:rPr>
                <w:b/>
                <w:i/>
              </w:rPr>
              <w:t>padidintų</w:t>
            </w:r>
            <w:r>
              <w:t xml:space="preserve"> ES mokėjimų veiksmingumą, atsparumą, finansinę įtrauktį, inovacijas, visuomenės pasitikėjimą ir tarptautinį euro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skaitmeninis euras</w:t>
            </w:r>
            <w:r>
              <w:t xml:space="preserve"> galėtų padidinti ES mokėjimų veiksmingumą, atsparumą, finansinę įtrauktį, inovacijas, visuomenės pasitikėjimą ir tarptautinį euro vaidmenį;</w:t>
            </w:r>
          </w:p>
        </w:tc>
        <w:tc>
          <w:tcPr>
            <w:tcW w:w="4876" w:type="dxa"/>
            <w:tcBorders>
              <w:top w:val="nil"/>
              <w:left w:val="nil"/>
              <w:bottom w:val="nil"/>
              <w:right w:val="nil"/>
            </w:tcBorders>
          </w:tcPr>
          <w:p>
            <w:pPr>
              <w:pStyle w:val="Normal6a"/>
            </w:pPr>
            <w:r>
              <w:t>E.</w:t>
            </w:r>
            <w:r>
              <w:tab/>
            </w:r>
            <w:r>
              <w:t xml:space="preserve">kadangi </w:t>
            </w:r>
            <w:r>
              <w:rPr>
                <w:b/>
                <w:i/>
              </w:rPr>
              <w:t>visos Europos suverenus mažmeninių mokėjimų sprendimas</w:t>
            </w:r>
            <w:r>
              <w:t xml:space="preserve"> galėtų padidinti ES mokėjimų veiksmingumą</w:t>
            </w:r>
            <w:r>
              <w:rPr>
                <w:b/>
                <w:i/>
              </w:rPr>
              <w:t>, suverenumą</w:t>
            </w:r>
            <w:r>
              <w:t xml:space="preserve">, atsparumą, finansinę įtrauktį, inovacijas, visuomenės pasitikėjimą ir tarptautinį euro vaidmenį; </w:t>
            </w:r>
            <w:r>
              <w:rPr>
                <w:b/>
                <w:i/>
              </w:rPr>
              <w:t>kadangi sprendimas, kuriuo visapusiškai integruojami rinkos dalyviai, skatintų nuolatines inovacijas, pasitikėjimą ir finansinį stabilumą gilesnėse ir likvidesnėse rinkose;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skaitmeninis euras galėtų padidinti ES mokėjimų veiksmingumą, atsparumą, finansinę įtrauktį, inovacijas, visuomenės pasitikėjimą ir tarptautinį euro vaidmenį;</w:t>
            </w:r>
          </w:p>
        </w:tc>
        <w:tc>
          <w:tcPr>
            <w:tcW w:w="4876" w:type="dxa"/>
            <w:tcBorders>
              <w:top w:val="nil"/>
              <w:left w:val="nil"/>
              <w:bottom w:val="nil"/>
              <w:right w:val="nil"/>
            </w:tcBorders>
          </w:tcPr>
          <w:p>
            <w:pPr>
              <w:pStyle w:val="Normal6a"/>
            </w:pPr>
            <w:r>
              <w:t>E.</w:t>
            </w:r>
            <w:r>
              <w:tab/>
            </w:r>
            <w:r>
              <w:t xml:space="preserve">kadangi </w:t>
            </w:r>
            <w:r>
              <w:rPr>
                <w:b/>
                <w:i/>
              </w:rPr>
              <w:t>mažmeninis</w:t>
            </w:r>
            <w:r>
              <w:t xml:space="preserve"> skaitmeninis euras galėtų padidinti ES mokėjimų veiksmingumą, atsparumą, finansinę įtrauktį, inovacijas, </w:t>
            </w:r>
            <w:r>
              <w:rPr>
                <w:b/>
                <w:i/>
              </w:rPr>
              <w:t>konkurencingumą,</w:t>
            </w:r>
            <w:r>
              <w:t xml:space="preserve"> visuomenės pasitikėjimą</w:t>
            </w:r>
            <w:r>
              <w:rPr>
                <w:b/>
                <w:i/>
              </w:rPr>
              <w:t>, klientų privatumą, susijusį su skaitmeniniais mokėjimais,</w:t>
            </w:r>
            <w:r>
              <w:t xml:space="preserve"> ir tarptautinį euro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Sąjungos finansų rinkų infrastruktūrų veiksmingumas, atsparumas ir strateginis savarankiškumas yra labai svarbūs tinkamam bankų sąjungos veikimui ir ES finansų sistemos konkurencingumui; </w:t>
            </w:r>
            <w:r>
              <w:t xml:space="preserve"> </w:t>
            </w:r>
            <w:r>
              <w:rPr>
                <w:b/>
                <w:i/>
              </w:rPr>
              <w:t>kadangi sukūrus didmeninę centrinio banko skaitmeninę valiutę (CBDC), skirtą tik reguliuojamų finansų įstaigų tarpusavio atsiskaitymams, galima gerokai pagerinti tarptautinius mokėjimus, vertybinių popierių atsiskaitymą ir likvidumo valdymą, be kita ko, didinant mokėjimo sistemų ir rinkos infrastruktūrų sąveikumą;</w:t>
            </w:r>
            <w:r>
              <w:t xml:space="preserve"> </w:t>
            </w:r>
            <w:r>
              <w:rPr>
                <w:b/>
                <w:i/>
              </w:rPr>
              <w:t>kadangi vykdomos Eurosistemos iniciatyvos yra svarbūs žingsniai siekiant kontroliuojamu ir į rinką orientuotu būdu ištirti šią naudą;</w:t>
            </w:r>
            <w:r>
              <w:t xml:space="preserve"> </w:t>
            </w:r>
            <w:r>
              <w:rPr>
                <w:b/>
                <w:i/>
              </w:rPr>
              <w:t>kadangi spartesnis perėjimas prie visapusiško veikimo lygmens galėtų padėti stiprinti tarptautinį euro vaidmenį, mažinti ES finansų rinkų susiskaidymą ir remti finansinį stabilumą, kartu visapusiškai išsaugant pinigų vientisumą ir privačiojo sektoriaus tarpininkų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ECB sparčiai plėtoja didmeninį skaitmeninį eurą, vykdydamas trumpalaikius (Pontes) ir ilgalaikius (Appia) išsklaidytosios operacijų knygos technologijos projektus, skirtus didmeniniam centrinio banko atsiskaitymui pinigais;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kadangi dėl vėluojančio pinigų politikos griežtinimo poveikio ES bankai nuo 2022 m. gauna rekordinį pelną;</w:t>
            </w:r>
            <w:r>
              <w:t xml:space="preserve"> </w:t>
            </w:r>
            <w:r>
              <w:rPr>
                <w:b/>
                <w:i/>
              </w:rPr>
              <w:t>kadangi kelios valstybės narės nustatė laikinus bankų mokesčius, kad būtų užtikrintas teisingas jų indėlis, kartu išsaugant stabilumą ir socialinę sanglaudą;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kadangi dėl vėluojančio pinigų politikos griežtinimo poveikio ES bankai nuo 2022 m. gauna rekordinį pelną;</w:t>
            </w:r>
            <w:r>
              <w:t xml:space="preserve"> </w:t>
            </w:r>
            <w:r>
              <w:rPr>
                <w:b/>
                <w:i/>
              </w:rPr>
              <w:t>kadangi kelios valstybės narės nustatė laikinus bankų mokesčius, kad būtų užtikrintas teisingas jų indėlis, kartu išsaugant stabilumą ir socialinę sanglaudą;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dėl vėluojančio pinigų politikos griežtinimo poveikio </w:t>
            </w:r>
            <w:r>
              <w:rPr>
                <w:b/>
                <w:i/>
              </w:rPr>
              <w:t>ES bankai nuo 2022 m. gauna rekordinį pelną</w:t>
            </w:r>
            <w:r>
              <w:t xml:space="preserve">; kadangi kelios valstybės narės nustatė laikinus bankų mokesčius, </w:t>
            </w:r>
            <w:r>
              <w:rPr>
                <w:b/>
                <w:i/>
              </w:rPr>
              <w:t>kad būtų užtikrintas teisingas jų indėlis, kartu išsaugant stabilumą ir socialinę sanglaudą</w:t>
            </w:r>
            <w:r>
              <w:t>;</w:t>
            </w:r>
          </w:p>
        </w:tc>
        <w:tc>
          <w:tcPr>
            <w:tcW w:w="4876" w:type="dxa"/>
            <w:tcBorders>
              <w:top w:val="nil"/>
              <w:left w:val="nil"/>
              <w:bottom w:val="nil"/>
              <w:right w:val="nil"/>
            </w:tcBorders>
          </w:tcPr>
          <w:p>
            <w:pPr>
              <w:pStyle w:val="Normal6a"/>
            </w:pPr>
            <w:r>
              <w:t>F.</w:t>
            </w:r>
            <w:r>
              <w:tab/>
            </w:r>
            <w:r>
              <w:t xml:space="preserve">kadangi </w:t>
            </w:r>
            <w:r>
              <w:rPr>
                <w:b/>
                <w:i/>
              </w:rPr>
              <w:t>ES bankai nuo 2022 m. gauna rekordinį pelną</w:t>
            </w:r>
            <w:r>
              <w:t xml:space="preserve"> dėl vėluojančio pinigų politikos griežtinimo poveikio</w:t>
            </w:r>
            <w:r>
              <w:rPr>
                <w:b/>
                <w:i/>
              </w:rPr>
              <w:t>, o tai padeda po daugiau kaip 15 metų panaikinti ES ir JAV bankų nuosavo kapitalo grąžos skirtumą</w:t>
            </w:r>
            <w:r>
              <w:t xml:space="preserve">; kadangi kelios valstybės narės nustatė laikinus bankų mokesčius, </w:t>
            </w:r>
            <w:r>
              <w:rPr>
                <w:b/>
                <w:i/>
              </w:rPr>
              <w:t>nors tokios institucijos kaip ECB savo nuomonėse ne kartą nurodė, kad finansų įstaigoms taikomi mokesčiai dėl bendrų biudžeto problemų būtų nepageidautini ir kad jų taikymas galėtų iškraipyti rinkos konkurenciją ir pakenkti vienodoms sąlygoms tiek šalyje, tiek visoje bankų sąjungoje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dėl vėluojančio pinigų politikos griežtinimo poveikio ES bankai nuo 2022 m. gauna rekordinį pelną; kadangi kelios valstybės narės nustatė laikinus bankų mokesčius</w:t>
            </w:r>
            <w:r>
              <w:rPr>
                <w:b/>
                <w:i/>
              </w:rPr>
              <w:t>, kad būtų užtikrintas teisingas jų indėlis, kartu išsaugant stabilumą ir socialinę sanglaudą</w:t>
            </w:r>
            <w:r>
              <w:t>;</w:t>
            </w:r>
          </w:p>
        </w:tc>
        <w:tc>
          <w:tcPr>
            <w:tcW w:w="4876" w:type="dxa"/>
            <w:tcBorders>
              <w:top w:val="nil"/>
              <w:left w:val="nil"/>
              <w:bottom w:val="nil"/>
              <w:right w:val="nil"/>
            </w:tcBorders>
          </w:tcPr>
          <w:p>
            <w:pPr>
              <w:pStyle w:val="Normal6a"/>
            </w:pPr>
            <w:r>
              <w:t>F.</w:t>
            </w:r>
            <w:r>
              <w:tab/>
            </w:r>
            <w:r>
              <w:t>kadangi dėl vėluojančio pinigų politikos griežtinimo poveikio ES bankai nuo 2022 m. gauna rekordinį pelną; kadangi kelios valstybės narės nustatė laikinus bankų mokesčius;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dėl vėluojančio pinigų politikos griežtinimo poveikio ES bankai nuo 2022 m. gauna rekordinį pelną; kadangi kelios valstybės narės nustatė laikinus bankų mokesčius, kad būtų užtikrintas teisingas jų indėlis, kartu išsaugant stabilumą ir socialinę sanglaudą;</w:t>
            </w:r>
          </w:p>
        </w:tc>
        <w:tc>
          <w:tcPr>
            <w:tcW w:w="4876" w:type="dxa"/>
            <w:tcBorders>
              <w:top w:val="nil"/>
              <w:left w:val="nil"/>
              <w:bottom w:val="nil"/>
              <w:right w:val="nil"/>
            </w:tcBorders>
          </w:tcPr>
          <w:p>
            <w:pPr>
              <w:pStyle w:val="Normal6a"/>
            </w:pPr>
            <w:r>
              <w:t>F.</w:t>
            </w:r>
            <w:r>
              <w:tab/>
            </w:r>
            <w:r>
              <w:t xml:space="preserve">kadangi dėl vėluojančio pinigų politikos griežtinimo poveikio ES bankai nuo 2022 m. gauna rekordinį pelną; kadangi kelios valstybės narės nustatė laikinus bankų mokesčius, kad būtų užtikrintas teisingas jų indėlis, kartu išsaugant stabilumą ir socialinę sanglaudą; </w:t>
            </w:r>
            <w:r>
              <w:rPr>
                <w:b/>
                <w:i/>
              </w:rPr>
              <w:t>kadangi nuo 2022 m. vykdant griežtesnę pinigų politiką, kuri padėjo pritraukti kapitalo ir užtikrinti finansinį stabilumą, ES bankų pelningumas padidėjo;</w:t>
            </w:r>
            <w:r>
              <w:t xml:space="preserve"> </w:t>
            </w:r>
            <w:r>
              <w:rPr>
                <w:b/>
                <w:i/>
              </w:rPr>
              <w:t>kadangi bankų pelningumas tebėra ciklinis ir priklauso nuo viso palūkanų normų ciklo;</w:t>
            </w:r>
            <w:r>
              <w:t xml:space="preserve"> </w:t>
            </w:r>
            <w:r>
              <w:rPr>
                <w:b/>
                <w:i/>
              </w:rPr>
              <w:t>kadangi kai kurios valstybės narės nustatė laikinus mokesčius bankams, tačiau jie visada turėtų būti išimtiniai, proporcingi ir atidžiai vertinami, kad būtų išvengta neigiamo poveikio bankų kapitalo pozicijai ir skolinimo pajėgumui, taip pat finansiniam stabilumui ir vienodoms sąlygoms bankų sąjungoje;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dėl vėluojančio pinigų politikos griežtinimo poveikio ES bankai nuo 2022 m. gauna rekordinį pelną; kadangi kelios valstybės narės nustatė laikinus bankų mokesčius, kad būtų užtikrintas teisingas jų indėlis, kartu išsaugant stabilumą ir socialinę sanglaudą;</w:t>
            </w:r>
          </w:p>
        </w:tc>
        <w:tc>
          <w:tcPr>
            <w:tcW w:w="4876" w:type="dxa"/>
            <w:tcBorders>
              <w:top w:val="nil"/>
              <w:left w:val="nil"/>
              <w:bottom w:val="nil"/>
              <w:right w:val="nil"/>
            </w:tcBorders>
          </w:tcPr>
          <w:p>
            <w:pPr>
              <w:pStyle w:val="Normal6a"/>
            </w:pPr>
            <w:r>
              <w:t>F.</w:t>
            </w:r>
            <w:r>
              <w:tab/>
            </w:r>
            <w:r>
              <w:t xml:space="preserve">kadangi dėl vėluojančio pinigų politikos griežtinimo poveikio ES bankai nuo 2022 m. gauna rekordinį pelną; kadangi kelios valstybės narės nustatė laikinus bankų mokesčius, kad būtų užtikrintas teisingas jų indėlis, kartu išsaugant stabilumą ir socialinę sanglaudą; </w:t>
            </w:r>
            <w:r>
              <w:rPr>
                <w:b/>
                <w:i/>
              </w:rPr>
              <w:t>kadangi dideles nepaskirstytąsias pajamas iš esmės absorbavo didėjantys kapitalo reikalavimai ir išpūstos reikalavimų laikymosi išlaidos, įskaitant tvarumo ataskaitų teikimą, o tai riboja bankų gebėjimą remti realiąją ekonomiką, ir kadangi pinigų politikos griežtinimas sumažino grynąsias palūkanų maržas, o tai atspindi platesnį makroprudencinį spaudimą pelningumui;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kredito įstaigoms taikomi konkretiems sektoriams skirti mokesčiai, net jei tai laikinos priemonės, gali iškraipyti vidaus rinką, daryti neigiamą poveikį įstaigų gebėjimui teikti kreditus namų ūkiams ir įmonėms ir sumažinti mokesčių sistemos nuspėjamumą;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2025 m. kovo mėn. komunikate dėl santaupų ir investicijų sąjungos Komisija įsipareigoja imtis ryžtingų veiksmų, kad toliau plėtotų bankų sąjungą, be kita ko, nustatydama tolesnius veiksmus dėl Europos indėlių garantijų sistemos, tačiau nuo to laiko vis dar nepateikė jokio pasiūlymo, susijusio su bankų sąjungos užbaigimu;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bankai yra pagrindinis mūsų ekonomikos ramstis ir vienas iš strategiškai svarbiausių sektorių; kadangi stabilumas, atsparumas ir konkurencingumas yra labai svarbūs siekiant užtikrinti, kad finansų sistema galėtų prisitaikyti prie pasaulinių iššūkių, skatinti inovacijas ir veiksmingai patenkinti įmonių ir piliečių poreikius;</w:t>
            </w:r>
            <w:r>
              <w:t xml:space="preserve"> </w:t>
            </w:r>
            <w:r>
              <w:rPr>
                <w:b/>
                <w:i/>
              </w:rPr>
              <w:t>kadangi stabilumas, atsparumas ir konkurencingumas yra labai svarbūs siekiant užtikrinti, kad finansų sistema galėtų prisitaikyti prie pasaulinių iššūkių, skatinti inovacijas ir veiksmingai patenkinti įmonių ir piliečių poreikius;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2022 m. perteklinis likvidumas euro zonoje pasiekė 4,7 trln. EUR, o šiuo metu siekia 2,8 trln. EUR; </w:t>
            </w:r>
            <w:r>
              <w:t xml:space="preserve"> </w:t>
            </w:r>
            <w:r>
              <w:rPr>
                <w:b/>
                <w:i/>
              </w:rPr>
              <w:t>kadangi 2022 m. euro zonos bankų padengimo likvidžiuoju turtu rodiklis taip pat pasiekė aukščiausią lygį ir viršijo 170 proc., o 2025 m. trečiąjį ketvirtį jis siekė 156 proc.;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e. pinigų žetonai vis dažniau naudojami ir tampa vis glaudžiau susiję su bankais bankų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kadangi bankai yra mūsų ekonomikos kertinis akmuo ir yra vienas iš svarbiausių strateginių sektorių, labai svarbu užtikrinti, kad jie veiktų tokioje aplinkoje, kurioje skatinamas stabilumas, atsparumas, dinamiškumas ir konkurencingumas;</w:t>
            </w:r>
            <w:r>
              <w:t xml:space="preserve"> </w:t>
            </w:r>
            <w:r>
              <w:rPr>
                <w:b/>
                <w:i/>
              </w:rPr>
              <w:t>kadangi šie principai yra labai svarbūs ne tik tvariam ekonomikos augimui, bet ir siekiant užtikrinti, kad finansų sistema galėtų prisitaikyti prie pasaulinių iššūkių, sudaryti palankesnes sąlygas inovacijoms ir veiksmingai reaguoti į įmonių ir piliečių poreikius;</w:t>
            </w:r>
            <w:r>
              <w:t xml:space="preserve"> </w:t>
            </w:r>
            <w:r>
              <w:rPr>
                <w:b/>
                <w:i/>
              </w:rPr>
              <w:t>kadangi gyvybingai ekonomikai reikalingas bankų sektorius, kuriame tvirtumas derinamas su lankstumu, pritraukiamos investicijos ir veiksmingai nukreipiamas kapitalas, taip stiprinant mūsų pajėgumą konkuruoti nuolat kintančioje pasaulinėje rinkoje;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kadangi Reglamentu (ES) 2023/1114 (MiCA) nustatomi diferencijuoti patekimo į rinką reikalavimai, išpirkimo pareigos ir priežiūros sistemos su turtu susietų žetonų ir e. pinigų žetonų emitentams, atsižvelgiant į skirtingus jų rizikos profilius ir piniginį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kadangi stiprus bankų sektorius yra labai svarbus siekiant užtikrinti ekonomikos augimą ir finansuoti mažąsias ir vidutines įmones (MVĮ) bei startuolius;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palankiai vertina per pastarąjį dešimtmetį padarytą pažangą, susijusią</w:t>
            </w:r>
            <w:r>
              <w:t xml:space="preserve"> su BPM ir BPeM; ragina </w:t>
            </w:r>
            <w:r>
              <w:rPr>
                <w:b/>
                <w:i/>
              </w:rPr>
              <w:t>visiškai ir sparčiai baigti kurti bankų sąjungą, įskaitant visavertę Europos indėlių draudimo sistemą (EIDS)</w:t>
            </w:r>
            <w:r>
              <w:t xml:space="preserve">; pabrėžia, kad </w:t>
            </w:r>
            <w:r>
              <w:rPr>
                <w:b/>
                <w:i/>
              </w:rPr>
              <w:t>bankų sąjunga turi remti įtraukesnę ir tvaresnę finansų sistemą, suderintą su socialine sanglauda ir ES žaliuoju kursu</w:t>
            </w:r>
            <w:r>
              <w:t>;</w:t>
            </w:r>
          </w:p>
        </w:tc>
        <w:tc>
          <w:tcPr>
            <w:tcW w:w="4876" w:type="dxa"/>
            <w:tcBorders>
              <w:top w:val="nil"/>
              <w:left w:val="nil"/>
              <w:bottom w:val="nil"/>
              <w:right w:val="nil"/>
            </w:tcBorders>
          </w:tcPr>
          <w:p>
            <w:pPr>
              <w:pStyle w:val="Normal6a"/>
            </w:pPr>
            <w:r>
              <w:t>1.</w:t>
            </w:r>
            <w:r>
              <w:tab/>
            </w:r>
            <w:r>
              <w:rPr>
                <w:b/>
                <w:i/>
              </w:rPr>
              <w:t>atkreipia dėmesį į pastarojo dešimtmečio pokyčius, susijusius</w:t>
            </w:r>
            <w:r>
              <w:t xml:space="preserve"> su BPM ir BPeM; ragina </w:t>
            </w:r>
            <w:r>
              <w:rPr>
                <w:b/>
                <w:i/>
              </w:rPr>
              <w:t>vykdyti reformas, kuriomis būtų stiprinama rinkos drausmė, o ne biurokratinė plėtra</w:t>
            </w:r>
            <w:r>
              <w:t xml:space="preserve">; pabrėžia, kad </w:t>
            </w:r>
            <w:r>
              <w:rPr>
                <w:b/>
                <w:i/>
              </w:rPr>
              <w:t>pasiūlymai, kuriais toliau centralizuojama rizika, turėtų būti kompensuojami atitinkama atskaitomybe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w:t>
            </w:r>
            <w:r>
              <w:rPr>
                <w:b/>
                <w:i/>
              </w:rPr>
              <w:t>ragina visiškai ir sparčiai baigti kurti bankų sąjungą, įskaitant visavertę Europos indėlių draudimo sistemą (EIDS);</w:t>
            </w:r>
            <w:r>
              <w:t xml:space="preserve"> </w:t>
            </w:r>
            <w:r>
              <w:rPr>
                <w:b/>
                <w:i/>
              </w:rPr>
              <w:t>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palankiai vertina per pastarąjį dešimtmetį padarytą pažangą, susijusią su BPM ir BPeM;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visiškai ir sparčiai baigti kurti</w:t>
            </w:r>
            <w:r>
              <w:t xml:space="preserve"> bankų sąjungą, </w:t>
            </w:r>
            <w:r>
              <w:rPr>
                <w:b/>
                <w:i/>
              </w:rPr>
              <w:t>įskaitant visavertę Europos</w:t>
            </w:r>
            <w:r>
              <w:t xml:space="preserve"> indėlių draudimo </w:t>
            </w:r>
            <w:r>
              <w:rPr>
                <w:b/>
                <w:i/>
              </w:rPr>
              <w:t>sistemą (EIDS)</w:t>
            </w:r>
            <w:r>
              <w:t xml:space="preserve">; </w:t>
            </w:r>
            <w:r>
              <w:rPr>
                <w:b/>
                <w:i/>
              </w:rPr>
              <w:t>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toliau plėtoti</w:t>
            </w:r>
            <w:r>
              <w:t xml:space="preserve"> bankų sąjungą, </w:t>
            </w:r>
            <w:r>
              <w:rPr>
                <w:b/>
                <w:i/>
              </w:rPr>
              <w:t>atsižvelgiant į konkrečius nacionalinių bankų sektorių ypatumus ir užtikrinant institucinių užtikrinimo sistemų (IUS) savarankiškumą ir veiksmingą veikimą, nedarant poveikio konkrečioms IUS nuostatoms, dėl kurių susitarta atliekant krizių valdymo ir</w:t>
            </w:r>
            <w:r>
              <w:t xml:space="preserve"> indėlių draudimo </w:t>
            </w:r>
            <w:r>
              <w:rPr>
                <w:b/>
                <w:i/>
              </w:rPr>
              <w:t>sistemos peržiūrą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visiškai ir sparčiai baigti kurti</w:t>
            </w:r>
            <w:r>
              <w:t xml:space="preserve"> bankų sąjungą, </w:t>
            </w:r>
            <w:r>
              <w:rPr>
                <w:b/>
                <w:i/>
              </w:rPr>
              <w:t>įskaitant visavertę Europos indėlių draudimo sistemą (EIDS)</w:t>
            </w:r>
            <w:r>
              <w:t xml:space="preserve">; </w:t>
            </w:r>
            <w:r>
              <w:rPr>
                <w:b/>
                <w:i/>
              </w:rPr>
              <w:t>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palaipsniui toliau plėtoti</w:t>
            </w:r>
            <w:r>
              <w:t xml:space="preserve"> bankų sąjungą, </w:t>
            </w:r>
            <w:r>
              <w:rPr>
                <w:b/>
                <w:i/>
              </w:rPr>
              <w:t>kartu tinkamai atsižvelgiant į nacionalinius ypatumus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visiškai ir sparčiai</w:t>
            </w:r>
            <w:r>
              <w:t xml:space="preserve"> baigti kurti bankų sąjungą, įskaitant </w:t>
            </w:r>
            <w:r>
              <w:rPr>
                <w:b/>
                <w:i/>
              </w:rPr>
              <w:t>visavertę Europos indėlių draudimo sistemą (EIDS);</w:t>
            </w:r>
            <w:r>
              <w:t xml:space="preserve"> </w:t>
            </w:r>
            <w:r>
              <w:rPr>
                <w:b/>
                <w:i/>
              </w:rPr>
              <w:t>pabrėžia, kad bankų sąjunga turi remti įtraukesnę ir tvaresnę finansų sistemą, suderintą su socialine sanglauda ir ES žaliuoju kursu</w:t>
            </w:r>
            <w:r>
              <w:t>;</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visapusiškai ir greitai</w:t>
            </w:r>
            <w:r>
              <w:t xml:space="preserve"> baigti kurti bankų sąjungą, įskaitant </w:t>
            </w:r>
            <w:r>
              <w:rPr>
                <w:b/>
                <w:i/>
              </w:rPr>
              <w:t>EIGS, kurioje būtų atsižvelgiama į nacionalinius ypatumus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palankiai vertina per pastarąjį dešimtmetį padarytą pažangą, susijusią su BPM ir BPeM</w:t>
            </w:r>
            <w:r>
              <w:rPr>
                <w:b/>
                <w:i/>
              </w:rPr>
              <w:t>;</w:t>
            </w:r>
            <w:r>
              <w:t xml:space="preserve"> </w:t>
            </w:r>
            <w:r>
              <w:rPr>
                <w:b/>
                <w:i/>
              </w:rPr>
              <w:t>ragina visiškai ir sparčiai baigti kurti bankų sąjungą, įskaitant visavertę Europos indėlių draudimo sistemą (EIDS)</w:t>
            </w:r>
            <w:r>
              <w:t xml:space="preserve">; pabrėžia, kad bankų sąjunga turi remti įtraukesnę ir tvaresnę finansų sistemą, suderintą su </w:t>
            </w:r>
            <w:r>
              <w:rPr>
                <w:b/>
                <w:i/>
              </w:rPr>
              <w:t>socialine sanglauda ir ES žaliuoju kursu</w:t>
            </w:r>
            <w:r>
              <w:t>;</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pabrėžia, kad bankų sąjunga turi remti įtraukesnę ir tvaresnę finansų sistemą, suderintą su </w:t>
            </w:r>
            <w:r>
              <w:rPr>
                <w:b/>
                <w:i/>
              </w:rPr>
              <w:t>dvejopa pertvarka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visiškai ir sparčiai baigti kurti bankų sąjungą, įskaitant visavertę Europos indėlių draudimo sistemą (EIDS); </w:t>
            </w:r>
            <w:r>
              <w:rPr>
                <w:b/>
                <w:i/>
              </w:rPr>
              <w:t>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palankiai vertina per pastarąjį dešimtmetį padarytą pažangą, susijusią su BPM ir BPeM; ragina visiškai ir sparčiai baigti kurti bankų sąjungą, įskaitant visavertę Europos indėlių draudimo sistemą (EIDS);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visiškai ir sparčiai baigti kurti bankų sąjungą, įskaitant visavertę Europos indėlių draudimo sistemą (EIDS); </w:t>
            </w:r>
            <w:r>
              <w:rPr>
                <w:b/>
                <w:i/>
              </w:rPr>
              <w:t>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palankiai vertina per pastarąjį dešimtmetį padarytą pažangą, susijusią su BPM ir BPeM; ragina visiškai ir sparčiai baigti kurti bankų sąjungą, įskaitant visavertę Europos indėlių draudimo sistemą (EIDS);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visiškai ir sparčiai</w:t>
            </w:r>
            <w:r>
              <w:t xml:space="preserve"> baigti kurti bankų sąjungą</w:t>
            </w:r>
            <w:r>
              <w:rPr>
                <w:b/>
                <w:i/>
              </w:rPr>
              <w:t>, įskaitant visavertę Europos indėlių draudimo sistemą (EIDS)</w:t>
            </w:r>
            <w:r>
              <w:t xml:space="preserve">; pabrėžia, kad bankų sąjunga turi remti </w:t>
            </w:r>
            <w:r>
              <w:rPr>
                <w:b/>
                <w:i/>
              </w:rPr>
              <w:t>įtraukesnę ir tvaresnę</w:t>
            </w:r>
            <w:r>
              <w:t xml:space="preserve"> finansų sistemą, suderintą su socialine sanglauda ir ES žaliuoju kursu;</w:t>
            </w:r>
          </w:p>
        </w:tc>
        <w:tc>
          <w:tcPr>
            <w:tcW w:w="4876" w:type="dxa"/>
            <w:tcBorders>
              <w:top w:val="nil"/>
              <w:left w:val="nil"/>
              <w:bottom w:val="nil"/>
              <w:right w:val="nil"/>
            </w:tcBorders>
          </w:tcPr>
          <w:p>
            <w:pPr>
              <w:pStyle w:val="Normal6a"/>
            </w:pPr>
            <w:r>
              <w:t>1.</w:t>
            </w:r>
            <w:r>
              <w:tab/>
            </w:r>
            <w:r>
              <w:t>palankiai vertina per pastarąjį dešimtmetį padarytą pažangą, susijusią su BPM ir BPeM; ragina baigti kurti bankų sąjungą;</w:t>
            </w:r>
            <w:r>
              <w:rPr>
                <w:b/>
                <w:i/>
              </w:rPr>
              <w:t> </w:t>
            </w:r>
            <w:r>
              <w:t xml:space="preserve"> pabrėžia, kad bankų sąjunga turi remti </w:t>
            </w:r>
            <w:r>
              <w:rPr>
                <w:b/>
                <w:i/>
              </w:rPr>
              <w:t>įtraukią ir tvarią</w:t>
            </w:r>
            <w:r>
              <w:t xml:space="preserve"> finansų sistemą, suderintą su socialine sanglauda ir ES žaliuoju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visiškai ir sparčiai baigti</w:t>
            </w:r>
            <w:r>
              <w:t xml:space="preserve"> kurti bankų sąjungą, įskaitant </w:t>
            </w:r>
            <w:r>
              <w:rPr>
                <w:b/>
                <w:i/>
              </w:rPr>
              <w:t>visavertę Europos indėlių draudimo sistemą (EIDS)</w:t>
            </w:r>
            <w:r>
              <w:t>; 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visapusiškai ir greitai užbaigti</w:t>
            </w:r>
            <w:r>
              <w:t xml:space="preserve"> kurti bankų sąjungą, įskaitant </w:t>
            </w:r>
            <w:r>
              <w:rPr>
                <w:b/>
                <w:i/>
              </w:rPr>
              <w:t>tolesnį darbą, susijusį su EIGS, ir priemones, kuriomis siekiama stiprinti rinkos integraciją ir sudaryti palankesnes sąlygas veiksmingam kapitalo judėjimui ir likvidumui bankų grupėse</w:t>
            </w:r>
            <w:r>
              <w:t>; pabrėžia, kad bankų sąjunga turi remti įtraukesnę ir tvaresnę finansų sistemą, suderintą su socialine sanglauda ir ES žaliuoju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visiškai ir sparčiai</w:t>
            </w:r>
            <w:r>
              <w:t xml:space="preserve"> baigti kurti bankų sąjungą, įskaitant </w:t>
            </w:r>
            <w:r>
              <w:rPr>
                <w:b/>
                <w:i/>
              </w:rPr>
              <w:t>visavertę Europos indėlių draudimo sistemą (EIDS)</w:t>
            </w:r>
            <w:r>
              <w:t>; 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visapusiškai ir greitai</w:t>
            </w:r>
            <w:r>
              <w:t xml:space="preserve"> baigti kurti bankų sąjungą, įskaitant </w:t>
            </w:r>
            <w:r>
              <w:rPr>
                <w:b/>
                <w:i/>
              </w:rPr>
              <w:t>EIGS, kurioje būtų atsižvelgiama į nacionalinius ypatumus</w:t>
            </w:r>
            <w:r>
              <w:t>; pabrėžia, kad bankų sąjunga turi remti įtraukesnę ir tvaresnę finansų sistemą, suderintą su socialine sanglauda ir ES žaliuoju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palankiai vertina per pastarąjį dešimtmetį padarytą pažangą, susijusią su BPM ir BPeM; ragina visiškai ir sparčiai baigti kurti bankų sąjungą, įskaitant visavertę Europos indėlių draudimo sistemą (EIDS); pabrėžia, kad bankų sąjunga turi remti įtraukesnę ir tvaresnę finansų sistemą</w:t>
            </w:r>
            <w:r>
              <w:rPr>
                <w:b/>
                <w:i/>
              </w:rPr>
              <w:t>, suderintą su socialine sanglauda ir ES žaliuoju kursu</w:t>
            </w:r>
            <w:r>
              <w:t>;</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visiškai ir sparčiai baigti kurti bankų sąjungą, įskaitant visavertę </w:t>
            </w:r>
            <w:r>
              <w:rPr>
                <w:b/>
                <w:i/>
              </w:rPr>
              <w:t>abipusę</w:t>
            </w:r>
            <w:r>
              <w:t xml:space="preserve"> Europos indėlių draudimo sistemą (EIDS); pabrėžia, kad bankų sąjunga turi remti </w:t>
            </w:r>
            <w:r>
              <w:rPr>
                <w:b/>
                <w:i/>
              </w:rPr>
              <w:t>konkurencingesnę,</w:t>
            </w:r>
            <w:r>
              <w:t xml:space="preserve"> įtraukesnę ir tvaresnę finansų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visiškai ir sparčiai baigti kurti bankų sąjungą, įskaitant visavertę Europos indėlių draudimo sistemą (EIDS); pabrėžia, kad bankų sąjunga turi remti įtraukesnę ir tvaresnę finansų sistemą, suderintą su socialine sanglauda ir </w:t>
            </w:r>
            <w:r>
              <w:rPr>
                <w:b/>
                <w:i/>
              </w:rPr>
              <w:t>ES žaliuoju kursu</w:t>
            </w:r>
            <w:r>
              <w:t>;</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visiškai ir sparčiai baigti kurti bankų sąjungą, įskaitant visavertę Europos indėlių draudimo sistemą (EIDS); pabrėžia, kad bankų sąjunga turi remti įtraukesnę ir tvaresnę finansų sistemą, suderintą su socialine sanglauda ir </w:t>
            </w:r>
            <w:r>
              <w:rPr>
                <w:b/>
                <w:i/>
              </w:rPr>
              <w:t>konkurencingumu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visiškai ir sparčiai baigti</w:t>
            </w:r>
            <w:r>
              <w:t xml:space="preserve"> kurti bankų sąjungą, įskaitant visavertę </w:t>
            </w:r>
            <w:r>
              <w:rPr>
                <w:b/>
                <w:i/>
              </w:rPr>
              <w:t>Europos indėlių draudimo sistemą (EIDS)</w:t>
            </w:r>
            <w:r>
              <w:t>; pabrėžia, kad bankų sąjunga turi remti įtraukesnę ir tvaresnę finansų sistemą, suderintą su socialine sanglauda ir ES žaliuoju kursu;</w:t>
            </w:r>
          </w:p>
        </w:tc>
        <w:tc>
          <w:tcPr>
            <w:tcW w:w="4876" w:type="dxa"/>
            <w:tcBorders>
              <w:top w:val="nil"/>
              <w:left w:val="nil"/>
              <w:bottom w:val="nil"/>
              <w:right w:val="nil"/>
            </w:tcBorders>
          </w:tcPr>
          <w:p>
            <w:pPr>
              <w:pStyle w:val="Normal6a"/>
            </w:pPr>
            <w:r>
              <w:t>1.</w:t>
            </w:r>
            <w:r>
              <w:tab/>
            </w:r>
            <w:r>
              <w:t xml:space="preserve">palankiai vertina per pastarąjį dešimtmetį padarytą pažangą, susijusią su BPM ir BPeM; ragina </w:t>
            </w:r>
            <w:r>
              <w:rPr>
                <w:b/>
                <w:i/>
              </w:rPr>
              <w:t>visapusiškai ir greitai užbaigti</w:t>
            </w:r>
            <w:r>
              <w:t xml:space="preserve"> kurti bankų sąjungą, įskaitant visavertę </w:t>
            </w:r>
            <w:r>
              <w:rPr>
                <w:b/>
                <w:i/>
              </w:rPr>
              <w:t>EIGS, pagal kurią būtų padengiami nuostoliai</w:t>
            </w:r>
            <w:r>
              <w:t>; pabrėžia, kad bankų sąjunga turi remti įtraukesnę ir tvaresnę finansų sistemą, suderintą su socialine sanglauda ir ES žaliuoju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pažymi, kad labiau integruota bankų sąjunga padėtų padidinti ES bankų sektoriaus atsparumą ir būtų naudinga klientams; </w:t>
            </w:r>
            <w:r>
              <w:t xml:space="preserve"> </w:t>
            </w:r>
            <w:r>
              <w:rPr>
                <w:b/>
                <w:i/>
              </w:rPr>
              <w:t>atsižvelgdamas į tai, pažymi, kad reikia spręsti problemas ir iššūkius, susijusius su buveinės ir priimančiosios šalių klausimu, visų pirma patikimomis garantijomis priimančiosioms šalims, kurios atspindėtos ES teisėje;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ragina Komisiją teikti pirmenybę bankų sąjungos bei santaupų ir investicijų sąjungos užbaigimui;</w:t>
            </w:r>
            <w:r>
              <w:t xml:space="preserve"> </w:t>
            </w:r>
            <w:r>
              <w:rPr>
                <w:b/>
                <w:i/>
              </w:rPr>
              <w:t>pabrėžia jų svarbą piliečiams, MVĮ ir realiajai ekonomikai, nes jos skatina tvarų klestėjimą, kokybiškas darbo vietas ir finansinį stabilumą;</w:t>
            </w:r>
            <w:r>
              <w:t xml:space="preserve"> </w:t>
            </w:r>
            <w:r>
              <w:rPr>
                <w:b/>
                <w:i/>
              </w:rPr>
              <w:t>pabrėžia, kad reikia tvirtos solidarumu grindžiamos sistemos, kuri užkirstų kelią masiniam indėlių atsiėmimui;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ragina Komisiją teikti pirmenybę bankų sąjungos bei</w:t>
            </w:r>
            <w:r>
              <w:t xml:space="preserve"> santaupų ir investicijų sąjungos </w:t>
            </w:r>
            <w:r>
              <w:rPr>
                <w:b/>
                <w:i/>
              </w:rPr>
              <w:t>užbaigimui;</w:t>
            </w:r>
            <w:r>
              <w:t xml:space="preserve"> </w:t>
            </w:r>
            <w:r>
              <w:rPr>
                <w:b/>
                <w:i/>
              </w:rPr>
              <w:t>pabrėžia jų svarbą piliečiams, MVĮ ir realiajai ekonomikai, nes jos skatina tvarų klestėjimą, kokybiškas darbo vietas ir finansinį stabilumą;</w:t>
            </w:r>
            <w:r>
              <w:t xml:space="preserve"> </w:t>
            </w:r>
            <w:r>
              <w:rPr>
                <w:b/>
                <w:i/>
              </w:rPr>
              <w:t>pabrėžia, kad reikia tvirtos solidarumu grindžiamos sistemos, kuri užkirstų kelią masiniam indėlių atsiėmimui</w:t>
            </w:r>
            <w:r>
              <w:t>;</w:t>
            </w:r>
          </w:p>
        </w:tc>
        <w:tc>
          <w:tcPr>
            <w:tcW w:w="4876" w:type="dxa"/>
            <w:tcBorders>
              <w:top w:val="nil"/>
              <w:left w:val="nil"/>
              <w:bottom w:val="nil"/>
              <w:right w:val="nil"/>
            </w:tcBorders>
          </w:tcPr>
          <w:p>
            <w:pPr>
              <w:pStyle w:val="Normal6a"/>
            </w:pPr>
            <w:r>
              <w:t>2.</w:t>
            </w:r>
            <w:r>
              <w:tab/>
            </w:r>
            <w:r>
              <w:rPr>
                <w:b/>
                <w:i/>
              </w:rPr>
              <w:t>Atkreipia dėmesį į Komisijos pasiūlymus, susijusius su santaupų ir investicijų sąjunga;</w:t>
            </w:r>
            <w:r>
              <w:t xml:space="preserve"> </w:t>
            </w:r>
            <w:r>
              <w:rPr>
                <w:b/>
                <w:i/>
              </w:rPr>
              <w:t>pažymi, kad dėl dabartinės</w:t>
            </w:r>
            <w:r>
              <w:t xml:space="preserve"> santaupų ir investicijų sąjungos </w:t>
            </w:r>
            <w:r>
              <w:rPr>
                <w:b/>
                <w:i/>
              </w:rPr>
              <w:t>struktūros kyla rizika, kad santaupos bus nukreiptos į didelės rizikos kapitalo rinkas be tinkamos investuotojų apsaugos ar aiškių rinkos paskatų;</w:t>
            </w:r>
            <w:r>
              <w:t xml:space="preserve"> </w:t>
            </w:r>
            <w:r>
              <w:rPr>
                <w:b/>
                <w:i/>
              </w:rPr>
              <w:t>toks centralizuotas planavimas gali iškreipti santaupų paskirstymą ir sukelti neprofesionaliesiems investuotojams nepastovumą, jei nėra patikimų saugumo mechanizmų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ragina Komisiją teikti pirmenybę bankų sąjungos </w:t>
            </w:r>
            <w:r>
              <w:rPr>
                <w:b/>
                <w:i/>
              </w:rPr>
              <w:t>bei</w:t>
            </w:r>
            <w:r>
              <w:t xml:space="preserve"> santaupų ir investicijų sąjungos </w:t>
            </w:r>
            <w:r>
              <w:rPr>
                <w:b/>
                <w:i/>
              </w:rPr>
              <w:t>užbaigimui</w:t>
            </w:r>
            <w:r>
              <w:t xml:space="preserve">; pabrėžia jų svarbą piliečiams, MVĮ ir realiajai ekonomikai, nes jos skatina tvarų klestėjimą, kokybiškas darbo vietas ir finansinį stabilumą; </w:t>
            </w:r>
            <w:r>
              <w:rPr>
                <w:b/>
                <w:i/>
              </w:rPr>
              <w:t>pabrėžia, kad reikia tvirtos solidarumu grindžiamos sistemos, kuri užkirstų kelią masiniam indėlių atsiėmimui;</w:t>
            </w:r>
          </w:p>
        </w:tc>
        <w:tc>
          <w:tcPr>
            <w:tcW w:w="4876" w:type="dxa"/>
            <w:tcBorders>
              <w:top w:val="nil"/>
              <w:left w:val="nil"/>
              <w:bottom w:val="nil"/>
              <w:right w:val="nil"/>
            </w:tcBorders>
          </w:tcPr>
          <w:p>
            <w:pPr>
              <w:pStyle w:val="Normal6a"/>
            </w:pPr>
            <w:r>
              <w:t>2.</w:t>
            </w:r>
            <w:r>
              <w:tab/>
            </w:r>
            <w:r>
              <w:t xml:space="preserve">ragina Komisiją teikti pirmenybę </w:t>
            </w:r>
            <w:r>
              <w:rPr>
                <w:b/>
                <w:i/>
              </w:rPr>
              <w:t>tolesniam</w:t>
            </w:r>
            <w:r>
              <w:t xml:space="preserve"> bankų sąjungos </w:t>
            </w:r>
            <w:r>
              <w:rPr>
                <w:b/>
                <w:i/>
              </w:rPr>
              <w:t>ir</w:t>
            </w:r>
            <w:r>
              <w:t xml:space="preserve"> santaupų ir investicijų sąjungos </w:t>
            </w:r>
            <w:r>
              <w:rPr>
                <w:b/>
                <w:i/>
              </w:rPr>
              <w:t>(SIU) plėtojimui</w:t>
            </w:r>
            <w:r>
              <w:t>; pabrėžia jų svarbą piliečiams, MVĮ ir realiajai ekonomikai, nes jos skatina tvarų klestėjimą, kokybiškas darbo vietas ir finansinį stabilumą;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ragina Komisiją teikti pirmenybę bankų sąjungos bei santaupų ir investicijų sąjungos užbaigimui; pabrėžia jų svarbą piliečiams, MVĮ ir </w:t>
            </w:r>
            <w:r>
              <w:rPr>
                <w:b/>
                <w:i/>
              </w:rPr>
              <w:t>realiajai</w:t>
            </w:r>
            <w:r>
              <w:t xml:space="preserve"> ekonomikai, nes jos skatina </w:t>
            </w:r>
            <w:r>
              <w:rPr>
                <w:b/>
                <w:i/>
              </w:rPr>
              <w:t>tvarų</w:t>
            </w:r>
            <w:r>
              <w:t xml:space="preserve"> klestėjimą, kokybiškas darbo vietas ir finansinį stabilumą; pabrėžia, kad reikia tvirtos </w:t>
            </w:r>
            <w:r>
              <w:rPr>
                <w:b/>
                <w:i/>
              </w:rPr>
              <w:t>solidarumu</w:t>
            </w:r>
            <w:r>
              <w:t xml:space="preserve"> grindžiamos </w:t>
            </w:r>
            <w:r>
              <w:rPr>
                <w:b/>
                <w:i/>
              </w:rPr>
              <w:t>sistemos, kuri užkirstų kelią</w:t>
            </w:r>
            <w:r>
              <w:t xml:space="preserve"> masiniam indėlių atsiėmimui;</w:t>
            </w:r>
          </w:p>
        </w:tc>
        <w:tc>
          <w:tcPr>
            <w:tcW w:w="4876" w:type="dxa"/>
            <w:tcBorders>
              <w:top w:val="nil"/>
              <w:left w:val="nil"/>
              <w:bottom w:val="nil"/>
              <w:right w:val="nil"/>
            </w:tcBorders>
          </w:tcPr>
          <w:p>
            <w:pPr>
              <w:pStyle w:val="Normal6a"/>
            </w:pPr>
            <w:r>
              <w:t>2.</w:t>
            </w:r>
            <w:r>
              <w:tab/>
            </w:r>
            <w:r>
              <w:t>ragina Komisiją teikti pirmenybę bankų sąjungos bei santaupų ir investicijų sąjungos užbaigimui</w:t>
            </w:r>
            <w:r>
              <w:rPr>
                <w:b/>
                <w:i/>
              </w:rPr>
              <w:t>, nes tai esminės priemonės siekiant nukreipti santaupas į investicijas</w:t>
            </w:r>
            <w:r>
              <w:t xml:space="preserve">; pabrėžia jų svarbą piliečiams, MVĮ ir ekonomikai, nes jos skatina klestėjimą, kokybiškas darbo vietas ir finansinį stabilumą; pabrėžia, kad reikia tvirtos </w:t>
            </w:r>
            <w:r>
              <w:rPr>
                <w:b/>
                <w:i/>
              </w:rPr>
              <w:t>sistemos,</w:t>
            </w:r>
            <w:r>
              <w:t xml:space="preserve"> grindžiamos </w:t>
            </w:r>
            <w:r>
              <w:rPr>
                <w:b/>
                <w:i/>
              </w:rPr>
              <w:t>aiškiomis taisyklėmis ir veiksmingais mechanizmais, kuriais būtų stiprinamas indėlininkų pasitikėjimas ir užkertamas kelias</w:t>
            </w:r>
            <w:r>
              <w:t xml:space="preserve"> masiniam indėlių atsiėmimui;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ragina Komisiją teikti pirmenybę bankų sąjungos bei santaupų ir investicijų sąjungos užbaigimui; pabrėžia jų svarbą piliečiams, MVĮ ir realiajai ekonomikai, nes jos skatina tvarų klestėjimą, kokybiškas darbo vietas ir finansinį stabilumą; pabrėžia, kad reikia tvirtos </w:t>
            </w:r>
            <w:r>
              <w:rPr>
                <w:b/>
                <w:i/>
              </w:rPr>
              <w:t>solidarumu grindžiamos</w:t>
            </w:r>
            <w:r>
              <w:t xml:space="preserve"> sistemos, kuri užkirstų kelią masiniam indėlių atsiėmimui;</w:t>
            </w:r>
          </w:p>
        </w:tc>
        <w:tc>
          <w:tcPr>
            <w:tcW w:w="4876" w:type="dxa"/>
            <w:tcBorders>
              <w:top w:val="nil"/>
              <w:left w:val="nil"/>
              <w:bottom w:val="nil"/>
              <w:right w:val="nil"/>
            </w:tcBorders>
          </w:tcPr>
          <w:p>
            <w:pPr>
              <w:pStyle w:val="Normal6a"/>
            </w:pPr>
            <w:r>
              <w:t>2.</w:t>
            </w:r>
            <w:r>
              <w:tab/>
            </w:r>
            <w:r>
              <w:t xml:space="preserve">ragina Komisiją teikti pirmenybę bankų sąjungos bei santaupų ir investicijų sąjungos užbaigimui; pabrėžia jų svarbą piliečiams, MVĮ ir realiajai ekonomikai, nes jos skatina tvarų klestėjimą, kokybiškas darbo vietas ir finansinį stabilumą; pabrėžia, kad </w:t>
            </w:r>
            <w:r>
              <w:rPr>
                <w:b/>
                <w:i/>
              </w:rPr>
              <w:t>integruota bankų sąjunga remtų Europos bankų augimą ir konkurencingumą; </w:t>
            </w:r>
            <w:r>
              <w:t xml:space="preserve"> </w:t>
            </w:r>
            <w:r>
              <w:rPr>
                <w:b/>
                <w:i/>
              </w:rPr>
              <w:t>pabrėžia, kad</w:t>
            </w:r>
            <w:r>
              <w:t xml:space="preserve"> reikia tvirtos sistemos, kuri užkirstų kelią masiniam indėlių atsiėmimui;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ragina Komisiją teikti pirmenybę bankų sąjungos bei santaupų ir investicijų sąjungos užbaigimui; pabrėžia jų svarbą piliečiams, MVĮ ir realiajai ekonomikai, nes jos skatina tvarų klestėjimą, kokybiškas darbo vietas ir finansinį stabilumą; pabrėžia, kad reikia tvirtos </w:t>
            </w:r>
            <w:r>
              <w:rPr>
                <w:b/>
                <w:i/>
              </w:rPr>
              <w:t>solidarumu</w:t>
            </w:r>
            <w:r>
              <w:t xml:space="preserve"> grindžiamos </w:t>
            </w:r>
            <w:r>
              <w:rPr>
                <w:b/>
                <w:i/>
              </w:rPr>
              <w:t>sistemos, kuri užkirstų</w:t>
            </w:r>
            <w:r>
              <w:t xml:space="preserve"> kelią masiniam indėlių atsiėmimui;</w:t>
            </w:r>
          </w:p>
        </w:tc>
        <w:tc>
          <w:tcPr>
            <w:tcW w:w="4876" w:type="dxa"/>
            <w:tcBorders>
              <w:top w:val="nil"/>
              <w:left w:val="nil"/>
              <w:bottom w:val="nil"/>
              <w:right w:val="nil"/>
            </w:tcBorders>
          </w:tcPr>
          <w:p>
            <w:pPr>
              <w:pStyle w:val="Normal6a"/>
            </w:pPr>
            <w:r>
              <w:t>2.</w:t>
            </w:r>
            <w:r>
              <w:tab/>
            </w:r>
            <w:r>
              <w:t xml:space="preserve">ragina Komisiją teikti pirmenybę bankų sąjungos bei santaupų ir investicijų sąjungos užbaigimui; pabrėžia jų svarbą piliečiams, MVĮ ir realiajai ekonomikai, nes jos skatina tvarų klestėjimą, kokybiškas darbo vietas ir finansinį stabilumą; pabrėžia, kad reikia tvirtos </w:t>
            </w:r>
            <w:r>
              <w:rPr>
                <w:b/>
                <w:i/>
              </w:rPr>
              <w:t>ir tvirtos sistemos,</w:t>
            </w:r>
            <w:r>
              <w:t xml:space="preserve"> grindžiamos </w:t>
            </w:r>
            <w:r>
              <w:rPr>
                <w:b/>
                <w:i/>
              </w:rPr>
              <w:t>aiškiomis taisyklėmis ir įsipareigojimais ir užkertančios</w:t>
            </w:r>
            <w:r>
              <w:t xml:space="preserve"> kelią masiniam indėlių atsiėmimui</w:t>
            </w:r>
            <w:r>
              <w:rPr>
                <w:b/>
                <w:i/>
              </w:rPr>
              <w:t>, didinančios finansinį stabilumą ir konkurencingumą bei stiprinančios ES bankų sektorių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ragina Komisiją </w:t>
            </w:r>
            <w:r>
              <w:rPr>
                <w:b/>
                <w:i/>
              </w:rPr>
              <w:t>teikti</w:t>
            </w:r>
            <w:r>
              <w:t xml:space="preserve"> pirmenybę bankų sąjungos </w:t>
            </w:r>
            <w:r>
              <w:rPr>
                <w:b/>
                <w:i/>
              </w:rPr>
              <w:t>bei</w:t>
            </w:r>
            <w:r>
              <w:t xml:space="preserve"> santaupų ir investicijų sąjungos </w:t>
            </w:r>
            <w:r>
              <w:rPr>
                <w:b/>
                <w:i/>
              </w:rPr>
              <w:t>užbaigimui</w:t>
            </w:r>
            <w:r>
              <w:t>; pabrėžia jų svarbą piliečiams, MVĮ ir realiajai ekonomikai, nes jos skatina tvarų klestėjimą, kokybiškas darbo vietas ir finansinį stabilumą; pabrėžia, kad reikia tvirtos solidarumu grindžiamos sistemos, kuri užkirstų kelią masiniam indėlių atsiėmimui;</w:t>
            </w:r>
          </w:p>
        </w:tc>
        <w:tc>
          <w:tcPr>
            <w:tcW w:w="4876" w:type="dxa"/>
            <w:tcBorders>
              <w:top w:val="nil"/>
              <w:left w:val="nil"/>
              <w:bottom w:val="nil"/>
              <w:right w:val="nil"/>
            </w:tcBorders>
          </w:tcPr>
          <w:p>
            <w:pPr>
              <w:pStyle w:val="Normal6a"/>
            </w:pPr>
            <w:r>
              <w:t>2.</w:t>
            </w:r>
            <w:r>
              <w:tab/>
            </w:r>
            <w:r>
              <w:t xml:space="preserve">ragina Komisiją pirmenybę </w:t>
            </w:r>
            <w:r>
              <w:rPr>
                <w:b/>
                <w:i/>
              </w:rPr>
              <w:t>teikti</w:t>
            </w:r>
            <w:r>
              <w:t xml:space="preserve"> bankų sąjungos</w:t>
            </w:r>
            <w:r>
              <w:rPr>
                <w:b/>
                <w:i/>
              </w:rPr>
              <w:t>, kuri yra</w:t>
            </w:r>
            <w:r>
              <w:t xml:space="preserve"> santaupų ir investicijų sąjungos </w:t>
            </w:r>
            <w:r>
              <w:rPr>
                <w:b/>
                <w:i/>
              </w:rPr>
              <w:t>(SIU) dalis, sukūrimui</w:t>
            </w:r>
            <w:r>
              <w:t>; pabrėžia jų svarbą piliečiams, MVĮ ir realiajai ekonomikai, nes jos skatina tvarų klestėjimą, kokybiškas darbo vietas ir finansinį stabilumą; pabrėžia, kad reikia tvirtos solidarumu grindžiamos sistemos, kuri užkirstų kelią masiniam indėlių atsiėmimui;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Komisiją teikti pirmenybę bankų sąjungos bei santaupų ir investicijų sąjungos užbaigimui; pabrėžia jų svarbą piliečiams, MVĮ ir realiajai ekonomikai</w:t>
            </w:r>
            <w:r>
              <w:rPr>
                <w:b/>
                <w:i/>
              </w:rPr>
              <w:t>, nes jos skatina tvarų klestėjimą</w:t>
            </w:r>
            <w:r>
              <w:t>, kokybiškas darbo vietas ir finansinį stabilumą; pabrėžia, kad reikia tvirtos solidarumu grindžiamos sistemos, kuri užkirstų kelią masiniam indėlių atsiėmimui;</w:t>
            </w:r>
          </w:p>
        </w:tc>
        <w:tc>
          <w:tcPr>
            <w:tcW w:w="4876" w:type="dxa"/>
            <w:tcBorders>
              <w:top w:val="nil"/>
              <w:left w:val="nil"/>
              <w:bottom w:val="nil"/>
              <w:right w:val="nil"/>
            </w:tcBorders>
          </w:tcPr>
          <w:p>
            <w:pPr>
              <w:pStyle w:val="Normal6a"/>
            </w:pPr>
            <w:r>
              <w:t>2.</w:t>
            </w:r>
            <w:r>
              <w:tab/>
            </w:r>
            <w:r>
              <w:t xml:space="preserve">ragina Komisiją teikti pirmenybę bankų sąjungos bei santaupų ir investicijų sąjungos užbaigimui; pabrėžia jų svarbą piliečiams, MVĮ ir realiajai ekonomikai </w:t>
            </w:r>
            <w:r>
              <w:rPr>
                <w:b/>
                <w:i/>
              </w:rPr>
              <w:t>skatinant atsparumą, konkurencingumą, tvarią gerovę</w:t>
            </w:r>
            <w:r>
              <w:t>, kokybiškas darbo vietas ir finansinį stabilumą; pabrėžia, kad reikia tvirtos solidarumu grindžiamos sistemos, kuri užkirstų kelią masiniam indėlių atsiėmimui;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Komisiją teikti pirmenybę bankų sąjungos bei santaupų ir investicijų sąjungos užbaigimui; pabrėžia jų svarbą piliečiams, MVĮ ir realiajai ekonomikai, nes jos skatina tvarų klestėjimą, kokybiškas darbo vietas ir finansinį stabilumą; pabrėžia, kad reikia tvirtos solidarumu grindžiamos sistemos, kuri užkirstų kelią masiniam indėlių atsiėmimui;</w:t>
            </w:r>
          </w:p>
        </w:tc>
        <w:tc>
          <w:tcPr>
            <w:tcW w:w="4876" w:type="dxa"/>
            <w:tcBorders>
              <w:top w:val="nil"/>
              <w:left w:val="nil"/>
              <w:bottom w:val="nil"/>
              <w:right w:val="nil"/>
            </w:tcBorders>
          </w:tcPr>
          <w:p>
            <w:pPr>
              <w:pStyle w:val="Normal6a"/>
            </w:pPr>
            <w:r>
              <w:t>2.</w:t>
            </w:r>
            <w:r>
              <w:tab/>
            </w:r>
            <w:r>
              <w:t xml:space="preserve">ragina Komisiją teikti pirmenybę bankų sąjungos bei santaupų ir investicijų sąjungos užbaigimui; pabrėžia jų svarbą piliečiams, MVĮ ir realiajai ekonomikai, nes jos skatina tvarų klestėjimą, kokybiškas darbo vietas ir finansinį stabilumą; pabrėžia, kad reikia tvirtos solidarumu grindžiamos sistemos, kuri užkirstų kelią masiniam indėlių atsiėmimui; </w:t>
            </w:r>
            <w:r>
              <w:rPr>
                <w:b/>
                <w:i/>
              </w:rPr>
              <w:t>pabrėžia, kad kapitalo rinkų sąjungos sukūrimas kartu su bankų sąjungos kūrimu padės sudaryti geresnes Europos ekonomikos finansavimo sąlygas tiek namų ūkiams, tiek įmonėms, kurios vis dar labai priklausomos nuo bankų kreditų, kad paskatintų investicijas ir darbo vietų kūrimą, kartu prisidedant prie Europos ekonomikos atsparumo;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pabrėžia, kad įvairiose valstybėse narėse namų ūkiams ir MVĮ taikomos labai skirtingos palūkanų normos;</w:t>
            </w:r>
            <w:r>
              <w:t xml:space="preserve"> </w:t>
            </w:r>
            <w:r>
              <w:rPr>
                <w:b/>
                <w:i/>
              </w:rPr>
              <w:t>primygtinai ragina Komisiją ir bankų priežiūros institucijas apsvarstyti priemones, kuriomis būtų užtikrinta, kad visi piliečiai ir įmonės galėtų gauti labai reikalingą kapitalą sąžiningomis ir konkurencingomis kainomis;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pabrėžia bankų sektoriaus vaidmenį finansuojant perėjimą prie neutralaus anglies dioksido poveikio ekonomikos;</w:t>
            </w:r>
            <w:r>
              <w:t xml:space="preserve"> </w:t>
            </w:r>
            <w:r>
              <w:rPr>
                <w:b/>
                <w:i/>
              </w:rPr>
              <w:t>ragina parengti griežtesnes priežiūros gaires, kad finansų įstaigų veikla derėtų su ES klimato tikslais;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pabrėžia bankų sektoriaus vaidmenį finansuojant perėjimą prie neutralaus anglies dioksido poveikio ekonomikos;</w:t>
            </w:r>
            <w:r>
              <w:t xml:space="preserve"> </w:t>
            </w:r>
            <w:r>
              <w:rPr>
                <w:b/>
                <w:i/>
              </w:rPr>
              <w:t>ragina parengti griežtesnes priežiūros gaires, kad finansų įstaigų veikla derėtų su ES klimato tikslais;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pabrėžia bankų sektoriaus vaidmenį finansuojant perėjimą prie neutralaus anglies dioksido poveikio ekonomikos;</w:t>
            </w:r>
            <w:r>
              <w:t xml:space="preserve"> </w:t>
            </w:r>
            <w:r>
              <w:rPr>
                <w:b/>
                <w:i/>
              </w:rPr>
              <w:t>ragina parengti griežtesnes priežiūros gaires, kad finansų įstaigų veikla derėtų su ES klimato tikslais;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pabrėžia bankų sektoriaus vaidmenį finansuojant perėjimą prie neutralaus anglies dioksido poveikio ekonomikos;</w:t>
            </w:r>
            <w:r>
              <w:t xml:space="preserve"> </w:t>
            </w:r>
            <w:r>
              <w:rPr>
                <w:b/>
                <w:i/>
              </w:rPr>
              <w:t>ragina parengti griežtesnes priežiūros gaires, kad finansų įstaigų veikla derėtų su ES klimato tikslais;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pabrėžia bankų sektoriaus vaidmenį finansuojant </w:t>
            </w:r>
            <w:r>
              <w:rPr>
                <w:b/>
                <w:i/>
              </w:rPr>
              <w:t>perėjimą prie neutralaus anglies dioksido poveikio ekonomikos</w:t>
            </w:r>
            <w:r>
              <w:t xml:space="preserve">; </w:t>
            </w:r>
            <w:r>
              <w:rPr>
                <w:b/>
                <w:i/>
              </w:rPr>
              <w:t>ragina parengti griežtesnes priežiūros gaires, kad finansų įstaigų veikla derėtų su ES klimato tikslais;</w:t>
            </w:r>
          </w:p>
        </w:tc>
        <w:tc>
          <w:tcPr>
            <w:tcW w:w="4876" w:type="dxa"/>
            <w:tcBorders>
              <w:top w:val="nil"/>
              <w:left w:val="nil"/>
              <w:bottom w:val="nil"/>
              <w:right w:val="nil"/>
            </w:tcBorders>
          </w:tcPr>
          <w:p>
            <w:pPr>
              <w:pStyle w:val="Normal6a"/>
            </w:pPr>
            <w:r>
              <w:t>3.</w:t>
            </w:r>
            <w:r>
              <w:tab/>
            </w:r>
            <w:r>
              <w:t xml:space="preserve">pabrėžia bankų sektoriaus vaidmenį finansuojant </w:t>
            </w:r>
            <w:r>
              <w:rPr>
                <w:b/>
                <w:i/>
              </w:rPr>
              <w:t>skaitmeninę pertvarką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pabrėžia </w:t>
            </w:r>
            <w:r>
              <w:rPr>
                <w:b/>
                <w:i/>
              </w:rPr>
              <w:t>bankų sektoriaus vaidmenį finansuojant perėjimą prie neutralaus anglies dioksido poveikio ekonomikos;</w:t>
            </w:r>
            <w:r>
              <w:t xml:space="preserve"> </w:t>
            </w:r>
            <w:r>
              <w:rPr>
                <w:b/>
                <w:i/>
              </w:rPr>
              <w:t>ragina parengti griežtesnes priežiūros gaires</w:t>
            </w:r>
            <w:r>
              <w:t xml:space="preserve">, kad finansų </w:t>
            </w:r>
            <w:r>
              <w:rPr>
                <w:b/>
                <w:i/>
              </w:rPr>
              <w:t>įstaigų veikla derėtų su ES klimato tikslais</w:t>
            </w:r>
            <w:r>
              <w:t>;</w:t>
            </w:r>
          </w:p>
        </w:tc>
        <w:tc>
          <w:tcPr>
            <w:tcW w:w="4876" w:type="dxa"/>
            <w:tcBorders>
              <w:top w:val="nil"/>
              <w:left w:val="nil"/>
              <w:bottom w:val="nil"/>
              <w:right w:val="nil"/>
            </w:tcBorders>
          </w:tcPr>
          <w:p>
            <w:pPr>
              <w:pStyle w:val="Normal6a"/>
            </w:pPr>
            <w:r>
              <w:t>3.</w:t>
            </w:r>
            <w:r>
              <w:tab/>
            </w:r>
            <w:r>
              <w:t xml:space="preserve">pabrėžia, kad </w:t>
            </w:r>
            <w:r>
              <w:rPr>
                <w:b/>
                <w:i/>
              </w:rPr>
              <w:t>žalieji</w:t>
            </w:r>
            <w:r>
              <w:t xml:space="preserve"> finansų </w:t>
            </w:r>
            <w:r>
              <w:rPr>
                <w:b/>
                <w:i/>
              </w:rPr>
              <w:t>teisės aktai neturėtų pakeisti kreditingumo, tradicinių rizikos vertinimų ar kainų atskleidimo mechanizmų, kuriais grindžiami patikimi skolinimo sprendimai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pabrėžia bankų sektoriaus vaidmenį finansuojant </w:t>
            </w:r>
            <w:r>
              <w:rPr>
                <w:b/>
                <w:i/>
              </w:rPr>
              <w:t>perėjimą prie neutralaus anglies dioksido poveikio ekonomikos;</w:t>
            </w:r>
            <w:r>
              <w:t xml:space="preserve"> </w:t>
            </w:r>
            <w:r>
              <w:rPr>
                <w:b/>
                <w:i/>
              </w:rPr>
              <w:t>ragina parengti griežtesnes priežiūros gaires, kad finansų įstaigų veikla derėtų su ES klimato tikslais</w:t>
            </w:r>
            <w:r>
              <w:t>;</w:t>
            </w:r>
          </w:p>
        </w:tc>
        <w:tc>
          <w:tcPr>
            <w:tcW w:w="4876" w:type="dxa"/>
            <w:tcBorders>
              <w:top w:val="nil"/>
              <w:left w:val="nil"/>
              <w:bottom w:val="nil"/>
              <w:right w:val="nil"/>
            </w:tcBorders>
          </w:tcPr>
          <w:p>
            <w:pPr>
              <w:pStyle w:val="Normal6a"/>
            </w:pPr>
            <w:r>
              <w:t>3.</w:t>
            </w:r>
            <w:r>
              <w:tab/>
            </w:r>
            <w:r>
              <w:t xml:space="preserve">pabrėžia bankų sektoriaus vaidmenį finansuojant </w:t>
            </w:r>
            <w:r>
              <w:rPr>
                <w:b/>
                <w:i/>
              </w:rPr>
              <w:t>dvejopą pertvarką</w:t>
            </w:r>
            <w:r>
              <w:t xml:space="preserve"> </w:t>
            </w:r>
            <w:r>
              <w:rPr>
                <w:b/>
                <w:i/>
              </w:rPr>
              <w:t>pabrėžia, kad reikia supaprastinti ES tvaraus finansavimo sistemą, kad būtų užtikrintas nuoseklumas, sumažintas dubliavimasis ir suderintos pareigos pagal bankininkystės, informacijos atskleidimo ir rizikos valdymo taisykles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pabrėžia bankų sektoriaus vaidmenį finansuojant </w:t>
            </w:r>
            <w:r>
              <w:rPr>
                <w:b/>
                <w:i/>
              </w:rPr>
              <w:t>perėjimą prie neutralaus anglies dioksido poveikio ekonomikos;</w:t>
            </w:r>
            <w:r>
              <w:t xml:space="preserve"> </w:t>
            </w:r>
            <w:r>
              <w:rPr>
                <w:b/>
                <w:i/>
              </w:rPr>
              <w:t>ragina parengti griežtesnes priežiūros gaires, kad finansų įstaigų veikla derėtų su ES klimato tikslais;</w:t>
            </w:r>
          </w:p>
        </w:tc>
        <w:tc>
          <w:tcPr>
            <w:tcW w:w="4876" w:type="dxa"/>
            <w:tcBorders>
              <w:top w:val="nil"/>
              <w:left w:val="nil"/>
              <w:bottom w:val="nil"/>
              <w:right w:val="nil"/>
            </w:tcBorders>
          </w:tcPr>
          <w:p>
            <w:pPr>
              <w:pStyle w:val="Normal6a"/>
            </w:pPr>
            <w:r>
              <w:t>3.</w:t>
            </w:r>
            <w:r>
              <w:tab/>
            </w:r>
            <w:r>
              <w:t xml:space="preserve">pabrėžia bankų sektoriaus vaidmenį finansuojant </w:t>
            </w:r>
            <w:r>
              <w:rPr>
                <w:b/>
                <w:i/>
              </w:rPr>
              <w:t>dvejopą pertvarką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pabrėžia</w:t>
            </w:r>
            <w:r>
              <w:t xml:space="preserve"> bankų sektoriaus vaidmenį </w:t>
            </w:r>
            <w:r>
              <w:rPr>
                <w:b/>
                <w:i/>
              </w:rPr>
              <w:t>finansuojant perėjimą prie neutralaus anglies dioksido poveikio</w:t>
            </w:r>
            <w:r>
              <w:t xml:space="preserve"> ekonomikos; ragina parengti griežtesnes priežiūros gaires, kad finansų </w:t>
            </w:r>
            <w:r>
              <w:rPr>
                <w:b/>
                <w:i/>
              </w:rPr>
              <w:t>įstaigų veikla derėtų</w:t>
            </w:r>
            <w:r>
              <w:t xml:space="preserve"> su ES </w:t>
            </w:r>
            <w:r>
              <w:rPr>
                <w:b/>
                <w:i/>
              </w:rPr>
              <w:t>klimato tikslais</w:t>
            </w:r>
            <w:r>
              <w:t>;</w:t>
            </w:r>
          </w:p>
        </w:tc>
        <w:tc>
          <w:tcPr>
            <w:tcW w:w="4876" w:type="dxa"/>
            <w:tcBorders>
              <w:top w:val="nil"/>
              <w:left w:val="nil"/>
              <w:bottom w:val="nil"/>
              <w:right w:val="nil"/>
            </w:tcBorders>
          </w:tcPr>
          <w:p>
            <w:pPr>
              <w:pStyle w:val="Normal6a"/>
            </w:pPr>
            <w:r>
              <w:t>3.</w:t>
            </w:r>
            <w:r>
              <w:tab/>
            </w:r>
            <w:r>
              <w:rPr>
                <w:b/>
                <w:i/>
              </w:rPr>
              <w:t>pripažįsta</w:t>
            </w:r>
            <w:r>
              <w:t xml:space="preserve"> bankų sektoriaus vaidmenį </w:t>
            </w:r>
            <w:r>
              <w:rPr>
                <w:b/>
                <w:i/>
              </w:rPr>
              <w:t>tenkinant realiosios ekonomikos finansavimo poreikius, įskaitant investicijas, susijusias su perėjimu prie konkurencingesnės</w:t>
            </w:r>
            <w:r>
              <w:t xml:space="preserve"> ekonomikos; ragina parengti griežtesnes priežiūros gaires, kad finansų </w:t>
            </w:r>
            <w:r>
              <w:rPr>
                <w:b/>
                <w:i/>
              </w:rPr>
              <w:t>įstaigos būtų suderintos</w:t>
            </w:r>
            <w:r>
              <w:t xml:space="preserve"> su ES </w:t>
            </w:r>
            <w:r>
              <w:rPr>
                <w:b/>
                <w:i/>
              </w:rPr>
              <w:t>ekonomikos konkurencingumo darbotvarke</w:t>
            </w:r>
            <w:r>
              <w:t>;</w:t>
            </w:r>
            <w:r>
              <w:rPr>
                <w:b/>
                <w:i/>
              </w:rPr>
              <w:t> </w:t>
            </w:r>
            <w:r>
              <w:t xml:space="preserve"> </w:t>
            </w:r>
            <w:r>
              <w:rPr>
                <w:b/>
                <w:i/>
              </w:rPr>
              <w:t>pabrėžia, kad priežiūros veiksmai tvarumo srityje ir toliau turėtų būti tvirtai grindžiami rizika grindžiamu požiūriu ir laikantis prudencinių įgaliojimų, daugiausia dėmesio skiriant reikšmingos su klimatu susijusios finansinės rizikos nustatymui, vertinimui ir valdymui, nepakenkiant rinkos neutralumui ar pagrindiniams finansinio stabilumo ir patikimo rizikos valdymo tikslams;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pabrėžia bankų sektoriaus vaidmenį finansuojant perėjimą prie neutralaus anglies dioksido poveikio ekonomikos; ragina parengti griežtesnes priežiūros gaires, kad finansų įstaigų veikla derėtų su ES klimato tikslais;</w:t>
            </w:r>
          </w:p>
        </w:tc>
        <w:tc>
          <w:tcPr>
            <w:tcW w:w="4876" w:type="dxa"/>
            <w:tcBorders>
              <w:top w:val="nil"/>
              <w:left w:val="nil"/>
              <w:bottom w:val="nil"/>
              <w:right w:val="nil"/>
            </w:tcBorders>
          </w:tcPr>
          <w:p>
            <w:pPr>
              <w:pStyle w:val="Normal6a"/>
            </w:pPr>
            <w:r>
              <w:t>3.</w:t>
            </w:r>
            <w:r>
              <w:tab/>
            </w:r>
            <w:r>
              <w:t xml:space="preserve">pabrėžia bankų sektoriaus vaidmenį finansuojant perėjimą prie neutralaus anglies dioksido poveikio ekonomikos; ragina </w:t>
            </w:r>
            <w:r>
              <w:rPr>
                <w:b/>
                <w:i/>
              </w:rPr>
              <w:t>Komisiją pateikti pasiūlymą visapusiškai įtraukti tvarumo riziką į prudencinę sistemą, be kita ko, nustatant didesnius kapitalo reikalavimus iškastinio kuro pozicijoms, kaip rekomendavo Europos draudimo ir profesinių pensijų institucija;</w:t>
            </w:r>
            <w:r>
              <w:t xml:space="preserve"> </w:t>
            </w:r>
            <w:r>
              <w:rPr>
                <w:b/>
                <w:i/>
              </w:rPr>
              <w:t>ragina</w:t>
            </w:r>
            <w:r>
              <w:t xml:space="preserve"> parengti griežtesnes priežiūros gaires</w:t>
            </w:r>
            <w:r>
              <w:rPr>
                <w:b/>
                <w:i/>
              </w:rPr>
              <w:t>, be kita ko, pasitelkiant 2 ramsčio reikalavimus</w:t>
            </w:r>
            <w:r>
              <w:t xml:space="preserve">, kad finansų įstaigų veikla derėtų su ES klimato tikslais; </w:t>
            </w:r>
            <w:r>
              <w:rPr>
                <w:b/>
                <w:i/>
              </w:rPr>
              <w:t>pabrėžia, kad šiems tikslams pasiekti būtina patikima taksonomijos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mano, kad integruota bankų sąjunga turi būti neatsiejama nuo gerai veikiančios mažmeninių finansinių paslaugų bendrosios rinkos;</w:t>
            </w:r>
            <w:r>
              <w:t xml:space="preserve"> </w:t>
            </w:r>
            <w:r>
              <w:rPr>
                <w:b/>
                <w:i/>
              </w:rPr>
              <w:t>ragina Komisiją įvertinti kliūtis ir trukdžius, kurių kyla vartotojams, besinaudojantiems mažmeninės bankininkystės produktais, pavyzdžiui, tarpvalstybinėmis hipotekos paskolomis, ir pasiūlyti sprendimų, padėsiančių užtikrinti, kad vartotojai galėtų tarpvalstybiniu lygmeniu naudotis mažmeninėmis finansų paslaugomis;</w:t>
            </w:r>
            <w:r>
              <w:t xml:space="preserve"> </w:t>
            </w:r>
            <w:r>
              <w:rPr>
                <w:b/>
                <w:i/>
              </w:rPr>
              <w:t>taip pat atkreipia dėmesį į tai, kad hipotekos paskolų palūkanų normos Sąjungos valstybėse narėse yra labai skirtingos;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pabrėžia esminį bankų sektoriaus, kaip pagrindinio skolintojo ES, vaidmenį mažinant didėjantį konkurencingumo atotrūkį nuo kitų regionų;</w:t>
            </w:r>
            <w:r>
              <w:t xml:space="preserve"> </w:t>
            </w:r>
            <w:r>
              <w:rPr>
                <w:b/>
                <w:i/>
              </w:rPr>
              <w:t>primena bankų sektoriaus svarbą finansuojant Europos MVĮ toliau vystantis kapitalo rinkoms;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apgailestauja dėl likusių kliūčių tarpvalstybinėms mažmeninės bankininkystės paslaugoms;</w:t>
            </w:r>
            <w:r>
              <w:t xml:space="preserve"> </w:t>
            </w:r>
            <w:r>
              <w:rPr>
                <w:b/>
                <w:i/>
              </w:rPr>
              <w:t>pabrėžia integruotos bankų sąjungos potencialą pagerinti konkurenciją ir vartotojų pasirinkimą mažmeninės bankininkystės srityje, be kita ko, sudarant geresnes galimybes teikti tarpvalstybines mažmeninės bankininkystės paslaugas;</w:t>
            </w:r>
            <w:r>
              <w:t xml:space="preserve"> </w:t>
            </w:r>
            <w:r>
              <w:rPr>
                <w:b/>
                <w:i/>
              </w:rPr>
              <w:t>pabrėžia diversifikuoto ir konkurencingo bankų sektoriaus Europoje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palankiai</w:t>
            </w:r>
            <w:r>
              <w:t xml:space="preserve"> vertina </w:t>
            </w:r>
            <w:r>
              <w:rPr>
                <w:b/>
                <w:i/>
              </w:rPr>
              <w:t>pažangą</w:t>
            </w:r>
            <w:r>
              <w:t xml:space="preserve"> skaitmeninio euro </w:t>
            </w:r>
            <w:r>
              <w:rPr>
                <w:b/>
                <w:i/>
              </w:rPr>
              <w:t>srityje ir jo potencialą papildyti grynuosius pinigus, kartu didinant ES finansinį suverenumą ir savarankiškumą</w:t>
            </w:r>
            <w:r>
              <w:t>;</w:t>
            </w:r>
          </w:p>
        </w:tc>
        <w:tc>
          <w:tcPr>
            <w:tcW w:w="4876" w:type="dxa"/>
            <w:tcBorders>
              <w:top w:val="nil"/>
              <w:left w:val="nil"/>
              <w:bottom w:val="nil"/>
              <w:right w:val="nil"/>
            </w:tcBorders>
          </w:tcPr>
          <w:p>
            <w:pPr>
              <w:pStyle w:val="Normal6a"/>
            </w:pPr>
            <w:r>
              <w:t>4.</w:t>
            </w:r>
            <w:r>
              <w:tab/>
            </w:r>
            <w:r>
              <w:rPr>
                <w:b/>
                <w:i/>
              </w:rPr>
              <w:t>labai skeptiškai</w:t>
            </w:r>
            <w:r>
              <w:t xml:space="preserve"> vertina skaitmeninio euro </w:t>
            </w:r>
            <w:r>
              <w:rPr>
                <w:b/>
                <w:i/>
              </w:rPr>
              <w:t>poveikį bankų indėlių bazėms ir finansiniam tarpininkavimui;</w:t>
            </w:r>
            <w:r>
              <w:t xml:space="preserve"> </w:t>
            </w:r>
            <w:r>
              <w:rPr>
                <w:b/>
                <w:i/>
              </w:rPr>
              <w:t>ragina nustatyti griežtas turimos sumos ribas ir apsaugos priemones siekiant išvengti bankų indėlių perkėlimo ir išsaugoti bankų kredito tarpininkavimo pajėgumus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palankiai vertina</w:t>
            </w:r>
            <w:r>
              <w:t xml:space="preserve"> pažangą skaitmeninio euro srityje ir </w:t>
            </w:r>
            <w:r>
              <w:rPr>
                <w:b/>
                <w:i/>
              </w:rPr>
              <w:t>jo potencialą papildyti grynuosius pinigus, kartu didinant ES finansinį suverenumą ir savarankiškumą</w:t>
            </w:r>
            <w:r>
              <w:t>;</w:t>
            </w:r>
          </w:p>
        </w:tc>
        <w:tc>
          <w:tcPr>
            <w:tcW w:w="4876" w:type="dxa"/>
            <w:tcBorders>
              <w:top w:val="nil"/>
              <w:left w:val="nil"/>
              <w:bottom w:val="nil"/>
              <w:right w:val="nil"/>
            </w:tcBorders>
          </w:tcPr>
          <w:p>
            <w:pPr>
              <w:pStyle w:val="Normal6a"/>
            </w:pPr>
            <w:r>
              <w:t>4.</w:t>
            </w:r>
            <w:r>
              <w:tab/>
            </w:r>
            <w:r>
              <w:rPr>
                <w:b/>
                <w:i/>
              </w:rPr>
              <w:t>atkreipia dėmesį į</w:t>
            </w:r>
            <w:r>
              <w:t xml:space="preserve"> pažangą skaitmeninio euro srityje ir </w:t>
            </w:r>
            <w:r>
              <w:rPr>
                <w:b/>
                <w:i/>
              </w:rPr>
              <w:t>suvokia šio projekto iššūkius ir galimas grėsmes, susijusias su ES bankų sektoriaus likvidumu ir stabilumu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palankiai vertina</w:t>
            </w:r>
            <w:r>
              <w:t xml:space="preserve"> pažangą skaitmeninio euro srityje ir jo potencialą papildyti grynuosius pinigus, kartu didinant ES finansinį suverenumą ir savarankiškumą;</w:t>
            </w:r>
          </w:p>
        </w:tc>
        <w:tc>
          <w:tcPr>
            <w:tcW w:w="4876" w:type="dxa"/>
            <w:tcBorders>
              <w:top w:val="nil"/>
              <w:left w:val="nil"/>
              <w:bottom w:val="nil"/>
              <w:right w:val="nil"/>
            </w:tcBorders>
          </w:tcPr>
          <w:p>
            <w:pPr>
              <w:pStyle w:val="Normal6a"/>
            </w:pPr>
            <w:r>
              <w:t>4.</w:t>
            </w:r>
            <w:r>
              <w:tab/>
            </w:r>
            <w:r>
              <w:rPr>
                <w:b/>
                <w:i/>
              </w:rPr>
              <w:t>atkreipia dėmesį į</w:t>
            </w:r>
            <w:r>
              <w:t xml:space="preserve"> pažangą skaitmeninio euro srityje ir jo potencialą papildyti grynuosius pinigus, kartu didinant ES finansinį suverenumą ir savarankiškumą;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palankiai vertina pažangą skaitmeninio euro srityje </w:t>
            </w:r>
            <w:r>
              <w:rPr>
                <w:b/>
                <w:i/>
              </w:rPr>
              <w:t>ir jo potencialą</w:t>
            </w:r>
            <w:r>
              <w:t xml:space="preserve"> papildyti grynuosius pinigus, kartu didinant ES finansinį suverenumą ir savarankiškumą;</w:t>
            </w:r>
          </w:p>
        </w:tc>
        <w:tc>
          <w:tcPr>
            <w:tcW w:w="4876" w:type="dxa"/>
            <w:tcBorders>
              <w:top w:val="nil"/>
              <w:left w:val="nil"/>
              <w:bottom w:val="nil"/>
              <w:right w:val="nil"/>
            </w:tcBorders>
          </w:tcPr>
          <w:p>
            <w:pPr>
              <w:pStyle w:val="Normal6a"/>
            </w:pPr>
            <w:r>
              <w:t>4.</w:t>
            </w:r>
            <w:r>
              <w:tab/>
            </w:r>
            <w:r>
              <w:t xml:space="preserve">palankiai vertina pažangą </w:t>
            </w:r>
            <w:r>
              <w:rPr>
                <w:b/>
                <w:i/>
              </w:rPr>
              <w:t>didmeninio</w:t>
            </w:r>
            <w:r>
              <w:t xml:space="preserve"> skaitmeninio euro srityje</w:t>
            </w:r>
            <w:r>
              <w:rPr>
                <w:b/>
                <w:i/>
              </w:rPr>
              <w:t>, nes jis suteiks naudos, susijusios su veiksmingumu, tarpvalstybiniu atsiskaitymu ir finansų rinkos integracija;</w:t>
            </w:r>
            <w:r>
              <w:t xml:space="preserve"> </w:t>
            </w:r>
            <w:r>
              <w:rPr>
                <w:b/>
                <w:i/>
              </w:rPr>
              <w:t>pabrėžia, kad bet koks mažmeninis skaitmeninis euras turėtų tik</w:t>
            </w:r>
            <w:r>
              <w:t xml:space="preserve"> papildyti grynuosius pinigus</w:t>
            </w:r>
            <w:r>
              <w:rPr>
                <w:b/>
                <w:i/>
              </w:rPr>
              <w:t>, juo turėtų būti atsižvelgiama į esamą rinkos struktūrą ir vengiama išstumti privačius mokėjimo sprendimus, kurie jau užtikrina inovacijas ir veiksmingumą visoje Sąjungoje</w:t>
            </w:r>
            <w:r>
              <w:t>, kartu didinant ES finansinį suverenumą ir savarankiškumą;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palankiai vertina pažangą skaitmeninio euro srityje </w:t>
            </w:r>
            <w:r>
              <w:rPr>
                <w:b/>
                <w:i/>
              </w:rPr>
              <w:t>ir jo</w:t>
            </w:r>
            <w:r>
              <w:t xml:space="preserve"> potencialą papildyti grynuosius pinigus, kartu didinant ES finansinį suverenumą ir savarankiškumą;</w:t>
            </w:r>
          </w:p>
        </w:tc>
        <w:tc>
          <w:tcPr>
            <w:tcW w:w="4876" w:type="dxa"/>
            <w:tcBorders>
              <w:top w:val="nil"/>
              <w:left w:val="nil"/>
              <w:bottom w:val="nil"/>
              <w:right w:val="nil"/>
            </w:tcBorders>
          </w:tcPr>
          <w:p>
            <w:pPr>
              <w:pStyle w:val="Normal6a"/>
            </w:pPr>
            <w:r>
              <w:t>4.</w:t>
            </w:r>
            <w:r>
              <w:tab/>
            </w:r>
            <w:r>
              <w:t xml:space="preserve">palankiai vertina pažangą </w:t>
            </w:r>
            <w:r>
              <w:rPr>
                <w:b/>
                <w:i/>
              </w:rPr>
              <w:t>tiek didmeninio, tiek mažmeninio</w:t>
            </w:r>
            <w:r>
              <w:t xml:space="preserve"> skaitmeninio euro srityje</w:t>
            </w:r>
            <w:r>
              <w:rPr>
                <w:b/>
                <w:i/>
              </w:rPr>
              <w:t>;</w:t>
            </w:r>
            <w:r>
              <w:t xml:space="preserve"> </w:t>
            </w:r>
            <w:r>
              <w:rPr>
                <w:b/>
                <w:i/>
              </w:rPr>
              <w:t>palankiai vertina mažmeninio skaitmeninio euro</w:t>
            </w:r>
            <w:r>
              <w:t xml:space="preserve"> potencialą papildyti grynuosius pinigus, kartu didinant ES finansinį suverenumą ir savarankiškumą; </w:t>
            </w:r>
            <w:r>
              <w:rPr>
                <w:b/>
                <w:i/>
              </w:rPr>
              <w:t>palankiai vertina tai, kad 2025 m. gruodžio mėn. baigtas rengti Tarybos bendras požiūris dėl mažmeninio skaitmeninio euro, ir ragina Parlamentą kuo greičiau baigti rengti savo plataus užmojo poziciją;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palankiai vertina pažangą skaitmeninio euro srityje ir jo potencialą papildyti grynuosius pinigus, kartu didinant ES finansinį suverenumą ir savarankiškumą;</w:t>
            </w:r>
          </w:p>
        </w:tc>
        <w:tc>
          <w:tcPr>
            <w:tcW w:w="4876" w:type="dxa"/>
            <w:tcBorders>
              <w:top w:val="nil"/>
              <w:left w:val="nil"/>
              <w:bottom w:val="nil"/>
              <w:right w:val="nil"/>
            </w:tcBorders>
          </w:tcPr>
          <w:p>
            <w:pPr>
              <w:pStyle w:val="Normal6a"/>
            </w:pPr>
            <w:r>
              <w:t>4.</w:t>
            </w:r>
            <w:r>
              <w:tab/>
            </w:r>
            <w:r>
              <w:t xml:space="preserve">palankiai vertina pažangą skaitmeninio euro srityje ir jo potencialą papildyti grynuosius pinigus, kartu didinant ES finansinį suverenumą ir savarankiškumą </w:t>
            </w:r>
            <w:r>
              <w:rPr>
                <w:b/>
                <w:i/>
              </w:rPr>
              <w:t>ir prisidedant prie finansinės įtraukties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palankiai vertina tai, kad bankų sektorius prisitaiko prie skaitmeninimo iššūkių ir galimybių, nes tai leis bankams geriau aptarnauti savo klientus;</w:t>
            </w:r>
            <w:r>
              <w:t xml:space="preserve"> </w:t>
            </w:r>
            <w:r>
              <w:rPr>
                <w:b/>
                <w:i/>
              </w:rPr>
              <w:t>ragina bankus toliau pasinaudoti skaitmeninimo teikiamomis galimybėmis, sykiu išlaikant aukštą vartotojų ir investuotojų apsaugos lygį investuojant į IT sistemas, mokslinius tyrimus ir technologinę plėtrą, visapusiškai įgyvendinant Skaitmeninės veiklos atsparumo akto (SVAA) reikalavimus ir kuriant paskirtį atitinkančią reguliavimo sistemą, kuria būtų reaguojama į skaitmeninimo tendencijas ir kuri būtų grindžiama technologiniu neutralumu;</w:t>
            </w:r>
            <w:r>
              <w:t xml:space="preserve"> </w:t>
            </w:r>
            <w:r>
              <w:rPr>
                <w:b/>
                <w:i/>
              </w:rPr>
              <w:t>palankiai vertina pažangą, susijusią su skaitmeninių finansų dokumentų rinkiniu;</w:t>
            </w:r>
            <w:r>
              <w:t xml:space="preserve"> </w:t>
            </w:r>
            <w:r>
              <w:rPr>
                <w:b/>
                <w:i/>
              </w:rPr>
              <w:t>mano, kad būtina stiprinti vartotojų apsaugą skaitmeniniame kontekste ir kad pirmenybė turėtų būti teikiama finansinei įtraukčiai, visų pirma gerinant skaitmeninį ir finansinį raštingumą;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apgailestauja dėl nuolatinio lyčių disbalanso finansų įstaigose, ypač valdymo lygmeniu;</w:t>
            </w:r>
            <w:r>
              <w:t xml:space="preserve"> </w:t>
            </w:r>
            <w:r>
              <w:rPr>
                <w:b/>
                <w:i/>
              </w:rPr>
              <w:t>pabrėžia, kad dėl vadovų įvairovės ir geresnių moterų vadovaujamų įmonių galimybių gauti finansavimą</w:t>
            </w:r>
            <w:r>
              <w:rPr>
                <w:b/>
                <w:i/>
                <w:vertAlign w:val="superscript"/>
              </w:rPr>
              <w:t>13</w:t>
            </w:r>
            <w:r>
              <w:rPr>
                <w:b/>
                <w:i/>
              </w:rPr>
              <w:t>gerėja valdymas, inovacijų diegimas ir ekonominės veiklos rezultatai;</w:t>
            </w:r>
            <w:r>
              <w:t xml:space="preserve"> </w:t>
            </w:r>
            <w:r>
              <w:rPr>
                <w:b/>
                <w:i/>
              </w:rPr>
              <w:t>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apgailestauja dėl nuolatinio lyčių disbalanso finansų įstaigose, ypač valdymo lygmeniu;</w:t>
            </w:r>
            <w:r>
              <w:t xml:space="preserve"> </w:t>
            </w:r>
            <w:r>
              <w:rPr>
                <w:b/>
                <w:i/>
              </w:rPr>
              <w:t>pabrėžia, kad dėl vadovų įvairovės ir geresnių moterų vadovaujamų įmonių galimybių gauti finansavimą</w:t>
            </w:r>
            <w:r>
              <w:rPr>
                <w:b/>
                <w:i/>
                <w:vertAlign w:val="superscript"/>
              </w:rPr>
              <w:t>13</w:t>
            </w:r>
            <w:r>
              <w:rPr>
                <w:b/>
                <w:i/>
              </w:rPr>
              <w:t>gerėja valdymas, inovacijų diegimas ir ekonominės veiklos rezultatai;</w:t>
            </w:r>
            <w:r>
              <w:t xml:space="preserve"> </w:t>
            </w:r>
            <w:r>
              <w:rPr>
                <w:b/>
                <w:i/>
              </w:rPr>
              <w:t>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apgailestauja dėl nuolatinio lyčių disbalanso finansų įstaigose, ypač valdymo lygmeniu;</w:t>
            </w:r>
            <w:r>
              <w:t xml:space="preserve"> </w:t>
            </w:r>
            <w:r>
              <w:rPr>
                <w:b/>
                <w:i/>
              </w:rPr>
              <w:t>pabrėžia, kad dėl vadovų įvairovės ir geresnių moterų vadovaujamų įmonių galimybių gauti finansavimą</w:t>
            </w:r>
            <w:r>
              <w:rPr>
                <w:b/>
                <w:i/>
                <w:vertAlign w:val="superscript"/>
              </w:rPr>
              <w:t>13</w:t>
            </w:r>
            <w:r>
              <w:rPr>
                <w:b/>
                <w:i/>
              </w:rPr>
              <w:t>gerėja valdymas, inovacijų diegimas ir ekonominės veiklos rezultatai;</w:t>
            </w:r>
            <w:r>
              <w:t xml:space="preserve"> </w:t>
            </w:r>
            <w:r>
              <w:rPr>
                <w:b/>
                <w:i/>
              </w:rPr>
              <w:t>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apgailestauja dėl nuolatinio lyčių disbalanso finansų įstaigose, ypač valdymo lygmeniu;</w:t>
            </w:r>
            <w:r>
              <w:t xml:space="preserve"> </w:t>
            </w:r>
            <w:r>
              <w:rPr>
                <w:b/>
                <w:i/>
              </w:rPr>
              <w:t>pabrėžia, kad dėl vadovų įvairovės ir geresnių moterų vadovaujamų įmonių galimybių gauti finansavimą</w:t>
            </w:r>
            <w:r>
              <w:rPr>
                <w:b/>
                <w:i/>
                <w:vertAlign w:val="superscript"/>
              </w:rPr>
              <w:t>13</w:t>
            </w:r>
            <w:r>
              <w:rPr>
                <w:b/>
                <w:i/>
              </w:rPr>
              <w:t>gerėja valdymas, inovacijų diegimas ir ekonominės veiklos rezultatai;</w:t>
            </w:r>
            <w:r>
              <w:t xml:space="preserve"> </w:t>
            </w:r>
            <w:r>
              <w:rPr>
                <w:b/>
                <w:i/>
              </w:rPr>
              <w:t>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apgailestauja dėl nuolatinio lyčių disbalanso finansų įstaigose, ypač valdymo lygmeniu;</w:t>
            </w:r>
            <w:r>
              <w:t xml:space="preserve"> </w:t>
            </w:r>
            <w:r>
              <w:rPr>
                <w:b/>
                <w:i/>
              </w:rPr>
              <w:t>pabrėžia, kad dėl vadovų įvairovės ir geresnių moterų vadovaujamų įmonių galimybių gauti finansavimą</w:t>
            </w:r>
            <w:r>
              <w:rPr>
                <w:b/>
                <w:i/>
                <w:vertAlign w:val="superscript"/>
              </w:rPr>
              <w:t>13</w:t>
            </w:r>
            <w:r>
              <w:rPr>
                <w:b/>
                <w:i/>
              </w:rPr>
              <w:t>gerėja valdymas, inovacijų diegimas ir ekonominės veiklos rezultatai;</w:t>
            </w:r>
            <w:r>
              <w:t xml:space="preserve"> </w:t>
            </w:r>
            <w:r>
              <w:rPr>
                <w:b/>
                <w:i/>
              </w:rPr>
              <w:t>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apgailestauja dėl nuolatinio lyčių disbalanso finansų įstaigose, ypač valdymo lygmeniu;</w:t>
            </w:r>
            <w:r>
              <w:t xml:space="preserve"> pabrėžia, kad dėl vadovų įvairovės </w:t>
            </w:r>
            <w:r>
              <w:rPr>
                <w:b/>
                <w:i/>
              </w:rPr>
              <w:t>ir geresnių moterų vadovaujamų įmonių galimybių gauti finansavimą</w:t>
            </w:r>
            <w:r>
              <w:rPr>
                <w:b/>
                <w:i/>
                <w:vertAlign w:val="superscript"/>
              </w:rPr>
              <w:t>13</w:t>
            </w:r>
            <w:r>
              <w:t>gerėja valdymas, inovacijų diegimas ir ekonominės veiklos rezultatai; 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t>5.</w:t>
            </w:r>
            <w:r>
              <w:tab/>
            </w:r>
            <w:r>
              <w:t>pabrėžia, kad dėl vadovų įvairovės gerėja valdymas, inovacijų diegimas ir ekonominės veiklos rezultatai; 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apgailestauja dėl nuolatinio</w:t>
            </w:r>
            <w:r>
              <w:t xml:space="preserve"> lyčių </w:t>
            </w:r>
            <w:r>
              <w:rPr>
                <w:b/>
                <w:i/>
              </w:rPr>
              <w:t>disbalanso</w:t>
            </w:r>
            <w:r>
              <w:t xml:space="preserve"> finansų įstaigose, ypač valdymo lygmeniu; pabrėžia, kad dėl vadovų įvairovės ir geresnių moterų vadovaujamų įmonių galimybių gauti finansavimą</w:t>
            </w:r>
            <w:r>
              <w:rPr>
                <w:vertAlign w:val="superscript"/>
              </w:rPr>
              <w:t>13</w:t>
            </w:r>
            <w:r>
              <w:t>gerėja valdymas, inovacijų diegimas ir ekonominės veiklos rezultatai; 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t>5.</w:t>
            </w:r>
            <w:r>
              <w:tab/>
            </w:r>
            <w:r>
              <w:rPr>
                <w:b/>
                <w:i/>
              </w:rPr>
              <w:t>mano, kad pažanga siekiant</w:t>
            </w:r>
            <w:r>
              <w:t xml:space="preserve"> lyčių </w:t>
            </w:r>
            <w:r>
              <w:rPr>
                <w:b/>
                <w:i/>
              </w:rPr>
              <w:t>pusiausvyros</w:t>
            </w:r>
            <w:r>
              <w:t xml:space="preserve"> finansų įstaigose, ypač valdymo lygmeniu</w:t>
            </w:r>
            <w:r>
              <w:rPr>
                <w:b/>
                <w:i/>
              </w:rPr>
              <w:t>, yra ribota</w:t>
            </w:r>
            <w:r>
              <w:t>; pabrėžia, kad dėl vadovų įvairovės ir geresnių moterų vadovaujamų įmonių</w:t>
            </w:r>
            <w:r>
              <w:rPr>
                <w:b/>
                <w:i/>
                <w:vertAlign w:val="superscript"/>
              </w:rPr>
              <w:t>13</w:t>
            </w:r>
            <w:r>
              <w:t xml:space="preserve"> galimybių gauti finansavimą gerėja valdymas, inovacijų diegimas ir ekonominės veiklos rezultatai; 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apgailestauja dėl nuolatinio lyčių disbalanso finansų įstaigose, ypač valdymo lygmeniu; pabrėžia, kad dėl vadovų įvairovės ir geresnių moterų vadovaujamų įmonių galimybių gauti finansavimą</w:t>
            </w:r>
            <w:r>
              <w:rPr>
                <w:vertAlign w:val="superscript"/>
              </w:rPr>
              <w:t>13</w:t>
            </w:r>
            <w:r>
              <w:t xml:space="preserve">gerėja valdymas, inovacijų diegimas ir ekonominės veiklos rezultatai; ragina finansų įstaigas, suinteresuotuosius subjektus, Komisiją ir valstybes nares priimti veiksmingas įvairovės strategijas, stebėti lyčių nelygybę ir </w:t>
            </w:r>
            <w:r>
              <w:rPr>
                <w:b/>
                <w:i/>
              </w:rPr>
              <w:t>įtraukti</w:t>
            </w:r>
            <w:r>
              <w:t xml:space="preserve"> lyčių </w:t>
            </w:r>
            <w:r>
              <w:rPr>
                <w:b/>
                <w:i/>
              </w:rPr>
              <w:t>lygybės aspektą į priežiūros ir investicijų sistemas, kad visoje ES būtų užtikrintos įtraukios galimybės gauti kapitalo</w:t>
            </w:r>
            <w:r>
              <w:t>;</w:t>
            </w:r>
          </w:p>
        </w:tc>
        <w:tc>
          <w:tcPr>
            <w:tcW w:w="4876" w:type="dxa"/>
            <w:tcBorders>
              <w:top w:val="nil"/>
              <w:left w:val="nil"/>
              <w:bottom w:val="nil"/>
              <w:right w:val="nil"/>
            </w:tcBorders>
          </w:tcPr>
          <w:p>
            <w:pPr>
              <w:pStyle w:val="Normal6a"/>
            </w:pPr>
            <w:r>
              <w:t>5.</w:t>
            </w:r>
            <w:r>
              <w:tab/>
            </w:r>
            <w:r>
              <w:t>apgailestauja dėl nuolatinio lyčių disbalanso finansų įstaigose, ypač valdymo lygmeniu; pabrėžia, kad dėl vadovų įvairovės ir geresnių moterų vadovaujamų įmonių</w:t>
            </w:r>
            <w:r>
              <w:rPr>
                <w:b/>
                <w:i/>
                <w:vertAlign w:val="superscript"/>
              </w:rPr>
              <w:t>13</w:t>
            </w:r>
            <w:r>
              <w:t xml:space="preserve"> galimybių gauti finansavimą gerėja valdymas, inovacijų diegimas ir ekonominės veiklos rezultatai; ragina finansų įstaigas, suinteresuotuosius subjektus, Komisiją ir valstybes nares priimti veiksmingas įvairovės strategijas, stebėti lyčių nelygybę ir </w:t>
            </w:r>
            <w:r>
              <w:rPr>
                <w:b/>
                <w:i/>
              </w:rPr>
              <w:t>įtvirtinti</w:t>
            </w:r>
            <w:r>
              <w:t xml:space="preserve"> lyčių </w:t>
            </w:r>
            <w:r>
              <w:rPr>
                <w:b/>
                <w:i/>
              </w:rPr>
              <w:t>lygybę</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apgailestauja dėl nuolatinio lyčių disbalanso finansų įstaigose, ypač valdymo lygmeniu; pabrėžia, kad dėl vadovų įvairovės ir geresnių moterų vadovaujamų įmonių galimybių gauti finansavimą</w:t>
            </w:r>
            <w:r>
              <w:rPr>
                <w:vertAlign w:val="superscript"/>
              </w:rPr>
              <w:t>13</w:t>
            </w:r>
            <w:r>
              <w:t>gerėja valdymas, inovacijų diegimas ir ekonominės veiklos rezultatai; 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w:t>
            </w:r>
          </w:p>
        </w:tc>
        <w:tc>
          <w:tcPr>
            <w:tcW w:w="4876" w:type="dxa"/>
            <w:tcBorders>
              <w:top w:val="nil"/>
              <w:left w:val="nil"/>
              <w:bottom w:val="nil"/>
              <w:right w:val="nil"/>
            </w:tcBorders>
          </w:tcPr>
          <w:p>
            <w:pPr>
              <w:pStyle w:val="Normal6a"/>
            </w:pPr>
            <w:r>
              <w:t>5.</w:t>
            </w:r>
            <w:r>
              <w:tab/>
            </w:r>
            <w:r>
              <w:t>apgailestauja dėl nuolatinio lyčių disbalanso finansų įstaigose, ypač valdymo lygmeniu; pabrėžia, kad dėl vadovų įvairovės ir geresnių moterų vadovaujamų įmonių</w:t>
            </w:r>
            <w:r>
              <w:rPr>
                <w:b/>
                <w:i/>
                <w:vertAlign w:val="superscript"/>
              </w:rPr>
              <w:t>13</w:t>
            </w:r>
            <w:r>
              <w:t xml:space="preserve"> galimybių gauti finansavimą gerėja valdymas, inovacijų diegimas ir ekonominės veiklos rezultatai; 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 </w:t>
            </w:r>
            <w:r>
              <w:rPr>
                <w:b/>
                <w:i/>
              </w:rPr>
              <w:t>labai apgailestauja dėl to, kad galutiniame kandidatų į Europos bankininkystės institucijos pirmininko pareigas sąraše neužtikrinta lyčių pusiausvyra;</w:t>
            </w:r>
            <w:r>
              <w:t xml:space="preserve"> </w:t>
            </w:r>
            <w:r>
              <w:rPr>
                <w:b/>
                <w:i/>
              </w:rPr>
              <w:t>pakartoja savo įsipareigojimą nesvarstyti kandidatų sąrašų, kuriuos sudarant nebuvo laikomasi lyčių pusiausvyros principo;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Europos lyčių lygybės institutas, Gender in entrepreneurship („Lytys versle“), 2017 m., 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primena, kad finansų įstaigos turėtų būti valdomos remiantis nuopelnais, patirtimi ir profesiniu tinkamumu, užtikrinant, kad paskyrimai ir valdymo sprendimai būtų grindžiami objektyviais ir su rizika susijusiais kriterijais, nenustatant papildomų kriterijų, nesusijusių su geru įmonių valdymu ir finansiniu stabilumu;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apgailestauja dėl to, kad dėl didesnių išlaidų, mažesnio masto ir mažesnio pelningumo ES bankų pajėgumai finansuoti didelio masto investicijas yra riboti ir jų nepakanka ES bankų konkurencingumui užtikrinti;</w:t>
            </w:r>
            <w:r>
              <w:t xml:space="preserve"> </w:t>
            </w:r>
            <w:r>
              <w:rPr>
                <w:b/>
                <w:i/>
              </w:rPr>
              <w:t>vis dėlto pažymi, kad dėl specifinio ES bankų sistemos, kuriai priklauso daug mažesnių bankų, pobūdžio reikia konkrečių sprendimų, pritaikytų prie jos ypatumų;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pažymi, kad ECB padidinus palūkanų normas gerokai padidėjo ES bankų pelningumas ir atsparumas</w:t>
            </w:r>
            <w:r>
              <w:rPr>
                <w:b/>
                <w:i/>
                <w:vertAlign w:val="superscript"/>
              </w:rPr>
              <w:t>14</w:t>
            </w:r>
            <w:r>
              <w:rPr>
                <w:b/>
                <w:i/>
              </w:rPr>
              <w:t>;</w:t>
            </w:r>
            <w:r>
              <w:t xml:space="preserve"> </w:t>
            </w:r>
            <w:r>
              <w:rPr>
                <w:b/>
                <w:i/>
              </w:rPr>
              <w:t>pabrėžia, kad taip gali būti remiamos esminės investicijos ir kad valstybės pagalbą gaunančioms institucijoms turi būti taikomi griežti dividendų, atpirkimų ir kintamojo atlygio apribojimai;</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pažymi, kad ECB padidinus</w:t>
            </w:r>
            <w:r>
              <w:t xml:space="preserve"> palūkanų </w:t>
            </w:r>
            <w:r>
              <w:rPr>
                <w:b/>
                <w:i/>
              </w:rPr>
              <w:t>normas gerokai</w:t>
            </w:r>
            <w:r>
              <w:t xml:space="preserve"> padidėjo </w:t>
            </w:r>
            <w:r>
              <w:rPr>
                <w:b/>
                <w:i/>
              </w:rPr>
              <w:t>ES</w:t>
            </w:r>
            <w:r>
              <w:t xml:space="preserve"> bankų </w:t>
            </w:r>
            <w:r>
              <w:rPr>
                <w:b/>
                <w:i/>
              </w:rPr>
              <w:t>pelningumas ir atsparumas</w:t>
            </w:r>
            <w:r>
              <w:rPr>
                <w:b/>
                <w:i/>
                <w:vertAlign w:val="superscript"/>
              </w:rPr>
              <w:t>14</w:t>
            </w:r>
            <w:r>
              <w:rPr>
                <w:b/>
                <w:i/>
              </w:rPr>
              <w:t>;</w:t>
            </w:r>
            <w:r>
              <w:t xml:space="preserve"> </w:t>
            </w:r>
            <w:r>
              <w:rPr>
                <w:b/>
                <w:i/>
              </w:rPr>
              <w:t>pabrėžia, kad taip gali būti remiamos esminės investicijos ir kad valstybės pagalbą gaunančioms institucijoms turi būti taikomi griežti dividendų, atpirkimų ir kintamojo atlygio apribojimai</w:t>
            </w:r>
            <w:r>
              <w:t>;</w:t>
            </w:r>
          </w:p>
        </w:tc>
        <w:tc>
          <w:tcPr>
            <w:tcW w:w="4876" w:type="dxa"/>
            <w:tcBorders>
              <w:top w:val="nil"/>
              <w:left w:val="nil"/>
              <w:bottom w:val="nil"/>
              <w:right w:val="nil"/>
            </w:tcBorders>
          </w:tcPr>
          <w:p>
            <w:pPr>
              <w:pStyle w:val="Normal6a"/>
            </w:pPr>
            <w:r>
              <w:t>6.</w:t>
            </w:r>
            <w:r>
              <w:tab/>
            </w:r>
            <w:r>
              <w:rPr>
                <w:b/>
                <w:i/>
              </w:rPr>
              <w:t>pripažįsta, kad dėl užsitęsusios ribojamosios pinigų politikos sumažėjo grynosios</w:t>
            </w:r>
            <w:r>
              <w:t xml:space="preserve"> palūkanų </w:t>
            </w:r>
            <w:r>
              <w:rPr>
                <w:b/>
                <w:i/>
              </w:rPr>
              <w:t>maržos ir</w:t>
            </w:r>
            <w:r>
              <w:t xml:space="preserve"> padidėjo </w:t>
            </w:r>
            <w:r>
              <w:rPr>
                <w:b/>
                <w:i/>
              </w:rPr>
              <w:t>finansavimo išlaidos, o tai sumažino</w:t>
            </w:r>
            <w:r>
              <w:t xml:space="preserve"> bankų </w:t>
            </w:r>
            <w:r>
              <w:rPr>
                <w:b/>
                <w:i/>
              </w:rPr>
              <w:t>pajėgumą remti tvarų paskolų augimą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pažymi, kad ECB padidinus palūkanų normas</w:t>
            </w:r>
            <w:r>
              <w:t xml:space="preserve"> gerokai padidėjo ES bankų pelningumas ir atsparumas</w:t>
            </w:r>
            <w:r>
              <w:rPr>
                <w:vertAlign w:val="superscript"/>
              </w:rPr>
              <w:t>14</w:t>
            </w:r>
            <w:r>
              <w:t xml:space="preserve">; </w:t>
            </w:r>
            <w:r>
              <w:rPr>
                <w:b/>
                <w:i/>
              </w:rPr>
              <w:t>pabrėžia, kad taip gali būti remiamos esminės investicijos ir kad valstybės pagalbą gaunančioms institucijoms turi būti taikomi griežti dividendų, atpirkimų ir kintamojo atlygio apribojimai</w:t>
            </w:r>
            <w:r>
              <w:t>;</w:t>
            </w:r>
          </w:p>
        </w:tc>
        <w:tc>
          <w:tcPr>
            <w:tcW w:w="4876" w:type="dxa"/>
            <w:tcBorders>
              <w:top w:val="nil"/>
              <w:left w:val="nil"/>
              <w:bottom w:val="nil"/>
              <w:right w:val="nil"/>
            </w:tcBorders>
          </w:tcPr>
          <w:p>
            <w:pPr>
              <w:pStyle w:val="Normal6a"/>
            </w:pPr>
            <w:r>
              <w:t>6.</w:t>
            </w:r>
            <w:r>
              <w:tab/>
            </w:r>
            <w:r>
              <w:rPr>
                <w:b/>
                <w:i/>
              </w:rPr>
              <w:t>palankiai vertina tai, kad</w:t>
            </w:r>
            <w:r>
              <w:t xml:space="preserve"> gerokai padidėjo ES bankų pelningumas ir atsparumas</w:t>
            </w:r>
            <w:r>
              <w:rPr>
                <w:vertAlign w:val="superscript"/>
              </w:rPr>
              <w:t>14</w:t>
            </w:r>
            <w:r>
              <w:t xml:space="preserve">; </w:t>
            </w:r>
            <w:r>
              <w:rPr>
                <w:b/>
                <w:i/>
              </w:rPr>
              <w:t>vis dėlto pažymi, kad dar esama pelningumo atotrūkio, palyginti su kitomis jurisdikcijomis, visų pirma JAV;</w:t>
            </w:r>
            <w:r>
              <w:t xml:space="preserve"> </w:t>
            </w:r>
            <w:r>
              <w:rPr>
                <w:b/>
                <w:i/>
              </w:rPr>
              <w:t>mano, kad pelningumo atotrūkį, palyginti su kitomis jurisdikcijomis, lemia ir struktūrinės, ir reguliavimo priežastys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pažymi, kad </w:t>
            </w:r>
            <w:r>
              <w:rPr>
                <w:b/>
                <w:i/>
              </w:rPr>
              <w:t>ECB padidinus palūkanų normas gerokai padidėjo ES bankų pelningumas ir atsparumas</w:t>
            </w:r>
            <w:r>
              <w:rPr>
                <w:b/>
                <w:i/>
                <w:vertAlign w:val="superscript"/>
              </w:rPr>
              <w:t>14</w:t>
            </w:r>
            <w:r>
              <w:t xml:space="preserve">; pabrėžia, kad </w:t>
            </w:r>
            <w:r>
              <w:rPr>
                <w:b/>
                <w:i/>
              </w:rPr>
              <w:t>taip gali būti remiamos esminės investicijos ir kad valstybės pagalbą gaunančioms institucijoms turi būti taikomi griežti dividendų, atpirkimų ir kintamojo atlygio apribojimai</w:t>
            </w:r>
            <w:r>
              <w:t>;</w:t>
            </w:r>
          </w:p>
        </w:tc>
        <w:tc>
          <w:tcPr>
            <w:tcW w:w="4876" w:type="dxa"/>
            <w:tcBorders>
              <w:top w:val="nil"/>
              <w:left w:val="nil"/>
              <w:bottom w:val="nil"/>
              <w:right w:val="nil"/>
            </w:tcBorders>
          </w:tcPr>
          <w:p>
            <w:pPr>
              <w:pStyle w:val="Normal6a"/>
            </w:pPr>
            <w:r>
              <w:t>6.</w:t>
            </w:r>
            <w:r>
              <w:tab/>
            </w:r>
            <w:r>
              <w:t xml:space="preserve">pažymi, kad </w:t>
            </w:r>
            <w:r>
              <w:rPr>
                <w:b/>
                <w:i/>
              </w:rPr>
              <w:t>2025 m. pelningumo ir atsparumo lygis išliko aukštas</w:t>
            </w:r>
            <w:r>
              <w:t xml:space="preserve">; pabrėžia, kad </w:t>
            </w:r>
            <w:r>
              <w:rPr>
                <w:b/>
                <w:i/>
              </w:rPr>
              <w:t>toks pelningumas gali padėti finansuoti namų ūkius ir įmones, visų pirma MVĮ ir startuolius, taip pat jaunus specialistus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xml:space="preserve">; pabrėžia, kad taip gali būti remiamos esminės investicijos ir kad </w:t>
            </w:r>
            <w:r>
              <w:rPr>
                <w:b/>
                <w:i/>
              </w:rPr>
              <w:t>valstybės pagalbą gaunančioms institucijoms turi būti taikomi griežti dividendų, atpirkimų ir kintamojo atlygio apribojimai</w:t>
            </w:r>
            <w:r>
              <w:t>;</w:t>
            </w:r>
          </w:p>
        </w:tc>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pabrėžia, kad taip gali būti remiamos esminės investicijos</w:t>
            </w:r>
            <w:r>
              <w:rPr>
                <w:b/>
                <w:i/>
              </w:rPr>
              <w:t>;</w:t>
            </w:r>
            <w:r>
              <w:t xml:space="preserve"> </w:t>
            </w:r>
            <w:r>
              <w:rPr>
                <w:b/>
                <w:i/>
              </w:rPr>
              <w:t>primena, kad šis pelningumo padidėjimas daugiausia yra ciklinis</w:t>
            </w:r>
            <w:r>
              <w:t xml:space="preserve"> ir kad </w:t>
            </w:r>
            <w:r>
              <w:rPr>
                <w:b/>
                <w:i/>
              </w:rPr>
              <w:t>bankų konkurencingumas vis dar priklauso nuo bankų sąjungos, santaupų ir investicijų sąjungos ir bendrosios rinkos struktūrinių reformų pažangos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xml:space="preserve">; pabrėžia, kad taip gali būti remiamos esminės investicijos </w:t>
            </w:r>
            <w:r>
              <w:rPr>
                <w:b/>
                <w:i/>
              </w:rPr>
              <w:t>ir kad valstybės pagalbą gaunančioms institucijoms turi būti taikomi griežti dividendų, atpirkimų ir kintamojo atlygio apribojimai</w:t>
            </w:r>
            <w:r>
              <w:t>;</w:t>
            </w:r>
          </w:p>
        </w:tc>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pabrėžia, kad taip gali būti remiamos esminės investicijos;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 TVF, 2024 m. liepos mėn.</w:t>
            </w:r>
          </w:p>
        </w:tc>
        <w:tc>
          <w:tcPr>
            <w:tcW w:w="4876" w:type="dxa"/>
            <w:tcBorders>
              <w:top w:val="nil"/>
              <w:left w:val="nil"/>
              <w:bottom w:val="nil"/>
              <w:right w:val="nil"/>
            </w:tcBorders>
          </w:tcPr>
          <w:p>
            <w:pPr>
              <w:pStyle w:val="Normal6a"/>
            </w:pPr>
            <w:r>
              <w:rPr>
                <w:vertAlign w:val="superscript"/>
              </w:rPr>
              <w:t>14</w:t>
            </w:r>
            <w:r>
              <w:t xml:space="preserve"> </w:t>
            </w:r>
            <w:r>
              <w:t>M. Maneely/L.</w:t>
            </w:r>
            <w:r>
              <w:rPr>
                <w:b/>
                <w:i/>
              </w:rPr>
              <w:t> </w:t>
            </w:r>
            <w:r>
              <w:t xml:space="preserve"> Ratnovski, „Bank Profits and Bank Taxes in the EU“ („Bankų pelnas ir bankų mokesčiai ES“, TVF, 2024 m. liepos mėn.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xml:space="preserve">; pabrėžia, kad taip gali būti remiamos esminės investicijos </w:t>
            </w:r>
            <w:r>
              <w:rPr>
                <w:b/>
                <w:i/>
              </w:rPr>
              <w:t>ir kad valstybės pagalbą gaunančioms institucijoms turi būti taikomi griežti dividendų, atpirkimų ir kintamojo atlygio apribojimai</w:t>
            </w:r>
            <w:r>
              <w:t>;</w:t>
            </w:r>
          </w:p>
        </w:tc>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pabrėžia, kad taip gali būti remiamos esminės investicijos;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xml:space="preserve">; pabrėžia, kad taip gali būti remiamos esminės investicijos </w:t>
            </w:r>
            <w:r>
              <w:rPr>
                <w:b/>
                <w:i/>
              </w:rPr>
              <w:t>ir kad valstybės pagalbą gaunančioms institucijoms turi būti taikomi griežti dividendų, atpirkimų ir kintamojo atlygio apribojimai</w:t>
            </w:r>
            <w:r>
              <w:t>;</w:t>
            </w:r>
          </w:p>
        </w:tc>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pabrėžia, kad taip gali būti remiamos esminės investicijos;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pažymi</w:t>
            </w:r>
            <w:r>
              <w:t>, kad ECB padidinus palūkanų normas gerokai padidėjo ES bankų pelningumas ir atsparumas</w:t>
            </w:r>
            <w:r>
              <w:rPr>
                <w:vertAlign w:val="superscript"/>
              </w:rPr>
              <w:t>14</w:t>
            </w:r>
            <w:r>
              <w:t xml:space="preserve">; pabrėžia, kad taip gali būti </w:t>
            </w:r>
            <w:r>
              <w:rPr>
                <w:b/>
                <w:i/>
              </w:rPr>
              <w:t>remiamos</w:t>
            </w:r>
            <w:r>
              <w:t xml:space="preserve"> esminės investicijos ir kad valstybės pagalbą gaunančioms institucijoms turi būti taikomi griežti dividendų, atpirkimų ir kintamojo atlygio apribojimai;</w:t>
            </w:r>
          </w:p>
        </w:tc>
        <w:tc>
          <w:tcPr>
            <w:tcW w:w="4876" w:type="dxa"/>
            <w:tcBorders>
              <w:top w:val="nil"/>
              <w:left w:val="nil"/>
              <w:bottom w:val="nil"/>
              <w:right w:val="nil"/>
            </w:tcBorders>
          </w:tcPr>
          <w:p>
            <w:pPr>
              <w:pStyle w:val="Normal6a"/>
            </w:pPr>
            <w:r>
              <w:t>6.</w:t>
            </w:r>
            <w:r>
              <w:tab/>
            </w:r>
            <w:r>
              <w:rPr>
                <w:b/>
                <w:i/>
              </w:rPr>
              <w:t>atkreipia dėmesį į tai</w:t>
            </w:r>
            <w:r>
              <w:t>, kad ECB padidinus palūkanų normas gerokai padidėjo ES bankų pelningumas ir atsparumas</w:t>
            </w:r>
            <w:r>
              <w:rPr>
                <w:vertAlign w:val="superscript"/>
              </w:rPr>
              <w:t>14</w:t>
            </w:r>
            <w:r>
              <w:t xml:space="preserve">; pabrėžia, kad taip gali būti </w:t>
            </w:r>
            <w:r>
              <w:rPr>
                <w:b/>
                <w:i/>
              </w:rPr>
              <w:t>didinamos</w:t>
            </w:r>
            <w:r>
              <w:t xml:space="preserve"> esminės investicijos ir kad valstybės pagalbą gaunančioms institucijoms turi būti taikomi griežti dividendų, atpirkimų ir kintamojo atlygio apribojimai; </w:t>
            </w:r>
            <w:r>
              <w:rPr>
                <w:b/>
                <w:i/>
              </w:rPr>
              <w:t>pabrėžia, kad tvarus pelningumas sudaro sąlygas kapitalo kaupimui, sukrėtimų absorbavimo pajėgumams ir realiosios ekonomikos finansavimui;</w:t>
            </w:r>
            <w:r>
              <w:t xml:space="preserve"> </w:t>
            </w:r>
            <w:r>
              <w:rPr>
                <w:b/>
                <w:i/>
              </w:rPr>
              <w:t>primena, kad, kaip pabrėžta naujausiose ECB nuomonėse dėl nacionalinių mokesčių bankams, pajamomis pagrįsti mokesčiai bankams gali sumažinti nepaskirstytąjį pelną ir apriboti kredito įstaigų galimybes kaupti arba papildyti kapitalo rezervus; </w:t>
            </w:r>
            <w:r>
              <w:t xml:space="preserve"> </w:t>
            </w:r>
            <w:r>
              <w:rPr>
                <w:b/>
                <w:i/>
              </w:rPr>
              <w:t>pabrėžia, kad visos bankams poveikį darančios mokesčių priemonės turėtų būti išimtinės, proporcingos ir laikinos; </w:t>
            </w:r>
            <w:r>
              <w:t xml:space="preserve"> </w:t>
            </w:r>
            <w:r>
              <w:rPr>
                <w:b/>
                <w:i/>
              </w:rPr>
              <w:t>jos taip pat neturėtų kenkti finansiniam stabilumui ar bankų gebėjimui finansuoti realiąją ekonomiką;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 TVF, 2024 m. liepos mėn.</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w:t>
            </w:r>
            <w:r>
              <w:rPr>
                <w:b/>
                <w:i/>
              </w:rPr>
              <w:t>)</w:t>
            </w:r>
            <w:r>
              <w:t>, TVF, 2024 m. liepos mėn.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pabrėžia, kad taip gali būti remiamos esminės investicijos ir kad valstybės pagalbą gaunančioms institucijoms turi būti taikomi griežti dividendų, atpirkimų ir kintamojo atlygio apribojimai;</w:t>
            </w:r>
          </w:p>
        </w:tc>
        <w:tc>
          <w:tcPr>
            <w:tcW w:w="4876" w:type="dxa"/>
            <w:tcBorders>
              <w:top w:val="nil"/>
              <w:left w:val="nil"/>
              <w:bottom w:val="nil"/>
              <w:right w:val="nil"/>
            </w:tcBorders>
          </w:tcPr>
          <w:p>
            <w:pPr>
              <w:pStyle w:val="Normal6a"/>
            </w:pPr>
            <w:r>
              <w:t>6.</w:t>
            </w:r>
            <w:r>
              <w:tab/>
            </w:r>
            <w:r>
              <w:t>pažymi, kad ECB padidinus palūkanų normas gerokai padidėjo ES bankų pelningumas ir atsparumas</w:t>
            </w:r>
            <w:r>
              <w:rPr>
                <w:vertAlign w:val="superscript"/>
              </w:rPr>
              <w:t>14</w:t>
            </w:r>
            <w:r>
              <w:t xml:space="preserve">; pabrėžia, kad taip gali būti remiamos esminės investicijos ir </w:t>
            </w:r>
            <w:r>
              <w:rPr>
                <w:b/>
                <w:i/>
              </w:rPr>
              <w:t>Europos ekonomikos finansavimas ir</w:t>
            </w:r>
            <w:r>
              <w:t xml:space="preserve"> kad valstybės pagalbą gaunančioms institucijoms turi būti taikomi griežti dividendų, atpirkimų ir kintamojo atlygio apribojimai;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(„Bankų pelnas ir bankų mokesčiai ES“, TVF, 2024 m. liepos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atkreipia dėmesį į didelę ES bankų ilgalaikių valstybės skolos vertybinių popierių poziciją, visų pirma į valstybės vidaus skolos vertybinių popierių poziciją;</w:t>
            </w:r>
            <w:r>
              <w:t xml:space="preserve"> </w:t>
            </w:r>
            <w:r>
              <w:rPr>
                <w:b/>
                <w:i/>
              </w:rPr>
              <w:t>primena, kad svarbu labiau įvairinti šias pozicijas, kad Europos sektorius būtų atsparesnis asimetriniams fiskaliniams sukrėtimams;</w:t>
            </w:r>
            <w:r>
              <w:t xml:space="preserve"> </w:t>
            </w:r>
            <w:r>
              <w:rPr>
                <w:b/>
                <w:i/>
              </w:rPr>
              <w:t>pabrėžia, kad svarbu užtikrinti ES fiskalinių taisyklių, kuriomis siekiama užtikrinti pasitikėjimą valstybių narių valstybės skola, įvairinimą ir taip sumažinti sisteminę riziką euro zonoje, vykdymą;</w:t>
            </w:r>
            <w:r>
              <w:t xml:space="preserve"> </w:t>
            </w:r>
            <w:r>
              <w:rPr>
                <w:b/>
                <w:i/>
              </w:rPr>
              <w:t>primena, kad neturint bendro saugaus turto, kaip lyginamojo standarto, mažėja kapitalo rinkų ir bankų sektoriaus veiksmingumas;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ragina Komisiją parengti gaires dėl tikslinio bankų solidarumo indėlio, atspindinčio pastarojo meto pelną, kad būtų užtikrintas teisingas indėlis į viešuosius finansus, kartu remiant atsparumą ir finansinį stabilumą;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tinkamas bankų sąjungos veikimas ir patikimumas taip pat priklauso nuo visapusiško Sąjungos vartotojų apsaugos teisės aktų laikymosi ir veiksmingo jų vykdymo užtikrinimo bankų sektoriuje;</w:t>
            </w:r>
            <w:r>
              <w:t xml:space="preserve"> </w:t>
            </w:r>
            <w:r>
              <w:rPr>
                <w:b/>
                <w:i/>
              </w:rPr>
              <w:t>atkreipia dėmesį į tai, kad kredito įstaigos turėtų netaikyti nesąžiningų sutarčių sąlygų ir komercinės praktikos, ypač hipotekos ir mažmeninio skolinimo atvejais;</w:t>
            </w:r>
            <w:r>
              <w:t xml:space="preserve"> </w:t>
            </w:r>
            <w:r>
              <w:rPr>
                <w:b/>
                <w:i/>
              </w:rPr>
              <w:t>pabrėžia, kad vartotojams, įskaitant skolininkus, turi būti užtikrinama veiksminga apsauga, teisinis tikrumas ir galimybė naudotis veiksmingomis teisių gynimo priemonėmis;</w:t>
            </w:r>
            <w:r>
              <w:t xml:space="preserve"> </w:t>
            </w:r>
            <w:r>
              <w:rPr>
                <w:b/>
                <w:i/>
              </w:rPr>
              <w:t>atsižvelgdamas į tai, ragina valstybes nares ir kompetentingas institucijas pažeidimų atveju užtikrinti griežtas priežiūros ir vykdymo užtikrinimo priemones;</w:t>
            </w:r>
            <w:r>
              <w:t xml:space="preserve"> </w:t>
            </w:r>
            <w:r>
              <w:rPr>
                <w:b/>
                <w:i/>
              </w:rPr>
              <w:t>taip pat pabrėžia, kad svarbu užtikrinti tinkamą pagrindinės gyvenamosios vietos, kurios plotas ne didesnis kaip 250 m², apsaugą, ypač tais atvejais, kai skolininkai jau grąžino didelę savo paskolos dalį, pvz., 50 proc. pradinės paskolos;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visos nacionalinės priemonės, darančios poveikį bankų sektoriui, įskaitant solidarumo įnašus, turėtų būti išimtinės ir proporcingos ir neturėtų pakenkti bankų pajėgumui finansuoti realiąją ekonomiką, remti investicijas ar išlaikyti finansinį stabilumą;</w:t>
            </w:r>
            <w:r>
              <w:t xml:space="preserve"> </w:t>
            </w:r>
            <w:r>
              <w:rPr>
                <w:b/>
                <w:i/>
              </w:rPr>
              <w:t>ragina Komisiją stebėti jų poveikį konkurencingumui ir tarpvalstybinei integracijai vidaus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palankiai vertina Kovos su pinigų plovimu ir teroristų finansavimu institucijos (AMLA) vaidmenį stiprinant ES kovą su pinigų plovimu ir teroristų finansavimu;</w:t>
            </w:r>
            <w:r>
              <w:t xml:space="preserve"> </w:t>
            </w:r>
            <w:r>
              <w:rPr>
                <w:b/>
                <w:i/>
              </w:rPr>
              <w:t>ragina užtikrinti nuoseklų įgyvendinimą, tvirtesnį bendradarbiavimą, dalijimąsi informacija ir koordinuotą vykdymo užtikrinimą visoje 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palankiai vertina</w:t>
            </w:r>
            <w:r>
              <w:t xml:space="preserve"> Kovos su pinigų plovimu ir teroristų finansavimu </w:t>
            </w:r>
            <w:r>
              <w:rPr>
                <w:b/>
                <w:i/>
              </w:rPr>
              <w:t>institucijos (AMLA) vaidmenį</w:t>
            </w:r>
            <w:r>
              <w:t xml:space="preserve"> stiprinant ES kovą su pinigų plovimu ir teroristų finansavimu; ragina užtikrinti nuoseklų įgyvendinimą, tvirtesnį bendradarbiavimą, dalijimąsi informacija ir koordinuotą vykdymo užtikrinimą visoje ES;</w:t>
            </w:r>
          </w:p>
        </w:tc>
        <w:tc>
          <w:tcPr>
            <w:tcW w:w="4876" w:type="dxa"/>
            <w:tcBorders>
              <w:top w:val="nil"/>
              <w:left w:val="nil"/>
              <w:bottom w:val="nil"/>
              <w:right w:val="nil"/>
            </w:tcBorders>
          </w:tcPr>
          <w:p>
            <w:pPr>
              <w:pStyle w:val="Normal6a"/>
            </w:pPr>
            <w:r>
              <w:t>8.</w:t>
            </w:r>
            <w:r>
              <w:tab/>
            </w:r>
            <w:r>
              <w:rPr>
                <w:b/>
                <w:i/>
              </w:rPr>
              <w:t>tikisi, kad</w:t>
            </w:r>
            <w:r>
              <w:t xml:space="preserve"> Kovos su pinigų plovimu ir teroristų finansavimu </w:t>
            </w:r>
            <w:r>
              <w:rPr>
                <w:b/>
                <w:i/>
              </w:rPr>
              <w:t>institucija (AMLA) prisidės</w:t>
            </w:r>
            <w:r>
              <w:t xml:space="preserve"> stiprinant ES kovą su pinigų plovimu ir teroristų finansavimu; ragina užtikrinti nuoseklų įgyvendinimą, tvirtesnį bendradarbiavimą, dalijimąsi informacija ir koordinuotą vykdymo užtikrinimą visoje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w:t>
            </w:r>
          </w:p>
        </w:tc>
        <w:tc>
          <w:tcPr>
            <w:tcW w:w="4876" w:type="dxa"/>
            <w:tcBorders>
              <w:top w:val="nil"/>
              <w:left w:val="nil"/>
              <w:bottom w:val="nil"/>
              <w:right w:val="nil"/>
            </w:tcBorders>
          </w:tcPr>
          <w:p>
            <w:pPr>
              <w:pStyle w:val="Normal6a"/>
            </w:pPr>
            <w:r>
              <w:t>8.</w:t>
            </w:r>
            <w:r>
              <w:tab/>
            </w:r>
            <w:r>
              <w:t xml:space="preserve">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 </w:t>
            </w:r>
            <w:r>
              <w:rPr>
                <w:b/>
                <w:i/>
              </w:rPr>
              <w:t>pabrėžia, kad vykdydama priežiūros ir reguliavimo veiklą, AMLA turi laikytis proporcingumo principo;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w:t>
            </w:r>
          </w:p>
        </w:tc>
        <w:tc>
          <w:tcPr>
            <w:tcW w:w="4876" w:type="dxa"/>
            <w:tcBorders>
              <w:top w:val="nil"/>
              <w:left w:val="nil"/>
              <w:bottom w:val="nil"/>
              <w:right w:val="nil"/>
            </w:tcBorders>
          </w:tcPr>
          <w:p>
            <w:pPr>
              <w:pStyle w:val="Normal6a"/>
            </w:pPr>
            <w:r>
              <w:t>8.</w:t>
            </w:r>
            <w:r>
              <w:tab/>
            </w:r>
            <w:r>
              <w:t xml:space="preserve">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 </w:t>
            </w:r>
            <w:r>
              <w:rPr>
                <w:b/>
                <w:i/>
              </w:rPr>
              <w:t>primena, kad koordinuotas, supaprastintas ir proporcingas požiūris turėtų išlikti pagrindiniu Kovos su pinigų plovimu ir terorizmo finansavimu institucijos 2 lygmens darbo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w:t>
            </w:r>
          </w:p>
        </w:tc>
        <w:tc>
          <w:tcPr>
            <w:tcW w:w="4876" w:type="dxa"/>
            <w:tcBorders>
              <w:top w:val="nil"/>
              <w:left w:val="nil"/>
              <w:bottom w:val="nil"/>
              <w:right w:val="nil"/>
            </w:tcBorders>
          </w:tcPr>
          <w:p>
            <w:pPr>
              <w:pStyle w:val="Normal6a"/>
            </w:pPr>
            <w:r>
              <w:t>8.</w:t>
            </w:r>
            <w:r>
              <w:tab/>
            </w:r>
            <w:r>
              <w:t>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w:t>
            </w:r>
            <w:r>
              <w:rPr>
                <w:b/>
                <w:i/>
              </w:rPr>
              <w:t>, vengiant nereikalingo reguliavimo dubliavimo ir pernelyg didelės administracinės naštos finansų įstaigoms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w:t>
            </w:r>
          </w:p>
        </w:tc>
        <w:tc>
          <w:tcPr>
            <w:tcW w:w="4876" w:type="dxa"/>
            <w:tcBorders>
              <w:top w:val="nil"/>
              <w:left w:val="nil"/>
              <w:bottom w:val="nil"/>
              <w:right w:val="nil"/>
            </w:tcBorders>
          </w:tcPr>
          <w:p>
            <w:pPr>
              <w:pStyle w:val="Normal6a"/>
            </w:pPr>
            <w:r>
              <w:t>8.</w:t>
            </w:r>
            <w:r>
              <w:tab/>
            </w:r>
            <w:r>
              <w:t xml:space="preserve">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 </w:t>
            </w:r>
            <w:r>
              <w:rPr>
                <w:b/>
                <w:i/>
              </w:rPr>
              <w:t>pabrėžia, kad reikia užtikrinti veiksmingą AMLA, Europos priežiūros institucijų ir prudencinių priežiūros institucijų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atkreipia dėmesį į tai, kad reikia supaprastinti Europos bankų reguliavimo, priežiūros ir ataskaitų teikimo sistemą, nes jos sudėtingumas bereikalingai veikia Europos bankų konkurencingumą ir jų pajėgumą veiksmingai teikti paslaugas realiajai ekonomikai;</w:t>
            </w:r>
            <w:r>
              <w:t xml:space="preserve"> </w:t>
            </w:r>
            <w:r>
              <w:rPr>
                <w:b/>
                <w:i/>
              </w:rPr>
              <w:t>pabrėžia, kad supaprastinimo pastangos neturėtų daryti poveikio bankų atsparumui, finansiniam stabilumui ar pertvarkymo sistemos veiksmingumui;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w:t>
            </w:r>
            <w:r>
              <w:rPr>
                <w:b/>
                <w:i/>
              </w:rPr>
              <w:t>patikima, nuosekli ir laiku vykdoma finansinė atskaitomybė yra labai svarbi priežiūrai ir stabilumui;</w:t>
            </w:r>
            <w:r>
              <w:t xml:space="preserve"> </w:t>
            </w:r>
            <w:r>
              <w:rPr>
                <w:b/>
                <w:i/>
              </w:rPr>
              <w:t>pabrėžia, kad</w:t>
            </w:r>
            <w:r>
              <w:t xml:space="preserve"> supaprastinimas </w:t>
            </w:r>
            <w:r>
              <w:rPr>
                <w:b/>
                <w:i/>
              </w:rPr>
              <w:t>neturi</w:t>
            </w:r>
            <w:r>
              <w:t xml:space="preserve"> susilpninti </w:t>
            </w:r>
            <w:r>
              <w:rPr>
                <w:b/>
                <w:i/>
              </w:rPr>
              <w:t>prudencinių</w:t>
            </w:r>
            <w:r>
              <w:t xml:space="preserve">, vartotojų apsaugos ar stabilumo </w:t>
            </w:r>
            <w:r>
              <w:rPr>
                <w:b/>
                <w:i/>
              </w:rPr>
              <w:t>standartų;</w:t>
            </w:r>
            <w:r>
              <w:t xml:space="preserve"> </w:t>
            </w:r>
            <w:r>
              <w:rPr>
                <w:b/>
                <w:i/>
              </w:rPr>
              <w:t>ragina laikytis subalansuoto</w:t>
            </w:r>
            <w:r>
              <w:t xml:space="preserve"> ir labiau </w:t>
            </w:r>
            <w:r>
              <w:rPr>
                <w:b/>
                <w:i/>
              </w:rPr>
              <w:t>integruoto požiūrio į bendrųjų</w:t>
            </w:r>
            <w:r>
              <w:t xml:space="preserve"> duomenų </w:t>
            </w:r>
            <w:r>
              <w:rPr>
                <w:b/>
                <w:i/>
              </w:rPr>
              <w:t>žodyną ir prašymų saugyklą, kad būtų sumažintas nereikalingas sudėtingumas, kartu išsaugant bankų sąjungos sistemos patikimumą</w:t>
            </w:r>
            <w:r>
              <w:t>;</w:t>
            </w:r>
          </w:p>
        </w:tc>
        <w:tc>
          <w:tcPr>
            <w:tcW w:w="4876" w:type="dxa"/>
            <w:tcBorders>
              <w:top w:val="nil"/>
              <w:left w:val="nil"/>
              <w:bottom w:val="nil"/>
              <w:right w:val="nil"/>
            </w:tcBorders>
          </w:tcPr>
          <w:p>
            <w:pPr>
              <w:pStyle w:val="Normal6a"/>
            </w:pPr>
            <w:r>
              <w:t>9.</w:t>
            </w:r>
            <w:r>
              <w:tab/>
            </w:r>
            <w:r>
              <w:t xml:space="preserve">pabrėžia, kad </w:t>
            </w:r>
            <w:r>
              <w:rPr>
                <w:b/>
                <w:i/>
              </w:rPr>
              <w:t>reglamentavimo</w:t>
            </w:r>
            <w:r>
              <w:t xml:space="preserve"> supaprastinimas </w:t>
            </w:r>
            <w:r>
              <w:rPr>
                <w:b/>
                <w:i/>
              </w:rPr>
              <w:t>turėtų ne</w:t>
            </w:r>
            <w:r>
              <w:t xml:space="preserve"> susilpninti </w:t>
            </w:r>
            <w:r>
              <w:rPr>
                <w:b/>
                <w:i/>
              </w:rPr>
              <w:t>prudencinius</w:t>
            </w:r>
            <w:r>
              <w:t xml:space="preserve">, vartotojų apsaugos ar stabilumo </w:t>
            </w:r>
            <w:r>
              <w:rPr>
                <w:b/>
                <w:i/>
              </w:rPr>
              <w:t>standartus, o padaryti juos veiksmingesnius</w:t>
            </w:r>
            <w:r>
              <w:t xml:space="preserve"> ir labiau </w:t>
            </w:r>
            <w:r>
              <w:rPr>
                <w:b/>
                <w:i/>
              </w:rPr>
              <w:t>atitinkančius galutinį tikslą;</w:t>
            </w:r>
            <w:r>
              <w:t xml:space="preserve"> </w:t>
            </w:r>
            <w:r>
              <w:rPr>
                <w:b/>
                <w:i/>
              </w:rPr>
              <w:t>ragina stiprinti skaitmeninę plėtrą, ypač dirbtinį intelektą, priežiūros pareigų srityje;</w:t>
            </w:r>
            <w:r>
              <w:t xml:space="preserve"> </w:t>
            </w:r>
            <w:r>
              <w:rPr>
                <w:b/>
                <w:i/>
              </w:rPr>
              <w:t>ragina priežiūros ir reguliavimo institucijas sumažinti reguliuojamų subjektų patiriamas reikalavimų laikymosi ir ataskaitų teikimo išlaidas ir tuo tikslu aktyviau dalytis duomenimis su kitomis institucijomis ir išnagrinėti galimybę pasitelkus dirbtinį intelektą pereiti nuo „eksporto“ modelio (angl. push model) , pagal kurį duomenis tvarko prižiūrimos įstaigos, prie „importo“ modelio (angl. pull model), pagal kurį prižiūrimos įstaigos suteikia priežiūros institucijoms prieigą prie neapibendrintų</w:t>
            </w:r>
            <w:r>
              <w:t xml:space="preserve"> duomenų;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pabrėžia, kad patikima, nuosekli ir laiku vykdoma finansinė atskaitomybė yra labai svarbi priežiūrai ir stabilumui; pabrėžia</w:t>
            </w:r>
            <w:r>
              <w:rPr>
                <w:b/>
                <w:i/>
              </w:rPr>
              <w:t>, kad</w:t>
            </w:r>
            <w:r>
              <w:t xml:space="preserve"> supaprastinimas </w:t>
            </w:r>
            <w:r>
              <w:rPr>
                <w:b/>
                <w:i/>
              </w:rPr>
              <w:t>neturi susilpninti prudencinių</w:t>
            </w:r>
            <w:r>
              <w:t xml:space="preserve">, vartotojų apsaugos ar stabilumo </w:t>
            </w:r>
            <w:r>
              <w:rPr>
                <w:b/>
                <w:i/>
              </w:rPr>
              <w:t>standartų</w:t>
            </w:r>
            <w:r>
              <w:t xml:space="preserve">; ragina laikytis subalansuoto ir labiau integruoto požiūrio </w:t>
            </w:r>
            <w:r>
              <w:rPr>
                <w:b/>
                <w:i/>
              </w:rPr>
              <w:t>į bendrųjų</w:t>
            </w:r>
            <w:r>
              <w:t xml:space="preserve"> duomenų </w:t>
            </w:r>
            <w:r>
              <w:rPr>
                <w:b/>
                <w:i/>
              </w:rPr>
              <w:t>žodyną ir prašymų saugyklą, kad būtų sumažintas nereikalingas sudėtingumas, kartu išsaugant bankų sąjungos sistemos patikimumą</w:t>
            </w:r>
            <w:r>
              <w:t>;</w:t>
            </w:r>
          </w:p>
        </w:tc>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pabrėžia </w:t>
            </w:r>
            <w:r>
              <w:rPr>
                <w:b/>
                <w:i/>
              </w:rPr>
              <w:t>teisinio tikrumo, nuspėjamumo ir stabilumo svarbą bankų sektoriui;</w:t>
            </w:r>
            <w:r>
              <w:t xml:space="preserve"> </w:t>
            </w:r>
            <w:r>
              <w:rPr>
                <w:b/>
                <w:i/>
              </w:rPr>
              <w:t>atsižvelgdamas į tai, pabrėžia, kad reikia imtis tolesnių priemonių, kuriomis būtų skatinamas skaitmeninimas ir</w:t>
            </w:r>
            <w:r>
              <w:t xml:space="preserve"> supaprastinimas</w:t>
            </w:r>
            <w:r>
              <w:rPr>
                <w:b/>
                <w:i/>
              </w:rPr>
              <w:t>, kartu išlaikant prudencinius</w:t>
            </w:r>
            <w:r>
              <w:t xml:space="preserve">, vartotojų apsaugos ar stabilumo </w:t>
            </w:r>
            <w:r>
              <w:rPr>
                <w:b/>
                <w:i/>
              </w:rPr>
              <w:t>standartus</w:t>
            </w:r>
            <w:r>
              <w:t>; ragina laikytis subalansuoto ir labiau integruoto požiūrio</w:t>
            </w:r>
            <w:r>
              <w:rPr>
                <w:b/>
                <w:i/>
              </w:rPr>
              <w:t>, pvz., sukurti centralizuotą</w:t>
            </w:r>
            <w:r>
              <w:t xml:space="preserve"> duomenų </w:t>
            </w:r>
            <w:r>
              <w:rPr>
                <w:b/>
                <w:i/>
              </w:rPr>
              <w:t>platformą, kuri būtų grindžiama standartizuotomis apibrėžtimis ir kuria dalytųsi visos valdžios institucijos, siekiant sumažinti dubliavimąsi, pagerinti duomenų kokybę ir sumažinti bankams tenkančią administracinę naštą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w:t>
            </w:r>
            <w:r>
              <w:rPr>
                <w:b/>
                <w:i/>
              </w:rPr>
              <w:t>pabrėžia, kad supaprastinimas neturi susilpninti prudencinių, vartotojų apsaugos ar stabilumo standartų;</w:t>
            </w:r>
            <w:r>
              <w:t xml:space="preserve"> </w:t>
            </w:r>
            <w:r>
              <w:rPr>
                <w:b/>
                <w:i/>
              </w:rPr>
              <w:t>ragina laikytis subalansuoto ir labiau integruoto požiūrio į bendrųjų duomenų žodyną ir prašymų saugyklą, kad būtų sumažintas nereikalingas sudėtingumas, kartu išsaugant</w:t>
            </w:r>
            <w:r>
              <w:t xml:space="preserve"> bankų </w:t>
            </w:r>
            <w:r>
              <w:rPr>
                <w:b/>
                <w:i/>
              </w:rPr>
              <w:t>sąjungos sistemos patikimumą</w:t>
            </w:r>
            <w:r>
              <w:t>;</w:t>
            </w:r>
          </w:p>
        </w:tc>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w:t>
            </w:r>
            <w:r>
              <w:rPr>
                <w:b/>
                <w:i/>
              </w:rPr>
              <w:t>vis dėlto pažymi, kad reikia supaprastinimo, ypač mažesniems subjektams;</w:t>
            </w:r>
            <w:r>
              <w:t xml:space="preserve"> </w:t>
            </w:r>
            <w:r>
              <w:rPr>
                <w:b/>
                <w:i/>
              </w:rPr>
              <w:t>laikosi nuomonės, kad šios srities reikalavimai turėtų būti proporcingi ir pritaikyti prie Europos</w:t>
            </w:r>
            <w:r>
              <w:t xml:space="preserve"> bankų </w:t>
            </w:r>
            <w:r>
              <w:rPr>
                <w:b/>
                <w:i/>
              </w:rPr>
              <w:t>sektoriaus ypatumų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pabrėžia, kad </w:t>
            </w:r>
            <w:r>
              <w:rPr>
                <w:b/>
                <w:i/>
              </w:rPr>
              <w:t>supaprastinimas neturi susilpninti</w:t>
            </w:r>
            <w:r>
              <w:t xml:space="preserve"> prudencinių, vartotojų apsaugos ar stabilumo standartų; </w:t>
            </w:r>
            <w:r>
              <w:rPr>
                <w:b/>
                <w:i/>
              </w:rPr>
              <w:t>ragina laikytis subalansuoto ir labiau integruoto požiūrio į bendrųjų duomenų žodyną ir prašymų saugyklą, kad būtų sumažintas nereikalingas sudėtingumas, kartu išsaugant bankų sąjungos sistemos patikimumą;</w:t>
            </w:r>
          </w:p>
        </w:tc>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pabrėžia, kad </w:t>
            </w:r>
            <w:r>
              <w:rPr>
                <w:b/>
                <w:i/>
              </w:rPr>
              <w:t>supaprastinimu visų pirma turėtų būti siekiama panaikinti dubliavimą ir nereikalingą sudėtingumą nesusilpninant</w:t>
            </w:r>
            <w:r>
              <w:t xml:space="preserve"> prudencinių, vartotojų apsaugos ar stabilumo standartų;</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w:t>
            </w:r>
            <w:r>
              <w:rPr>
                <w:b/>
                <w:i/>
              </w:rPr>
              <w:t>pabrėžia, kad supaprastinimas neturi susilpninti prudencinių, vartotojų apsaugos ar stabilumo standartų;</w:t>
            </w:r>
            <w:r>
              <w:t xml:space="preserve"> ragina laikytis subalansuoto ir labiau integruoto požiūrio į bendrųjų duomenų žodyną ir prašymų saugyklą, kad būtų sumažintas nereikalingas sudėtingumas, kartu išsaugant bankų sąjungos sistemos patikimumą;</w:t>
            </w:r>
          </w:p>
        </w:tc>
        <w:tc>
          <w:tcPr>
            <w:tcW w:w="4876" w:type="dxa"/>
            <w:tcBorders>
              <w:top w:val="nil"/>
              <w:left w:val="nil"/>
              <w:bottom w:val="nil"/>
              <w:right w:val="nil"/>
            </w:tcBorders>
          </w:tcPr>
          <w:p>
            <w:pPr>
              <w:pStyle w:val="Normal6a"/>
            </w:pPr>
            <w:r>
              <w:t>9.</w:t>
            </w:r>
            <w:r>
              <w:tab/>
            </w:r>
            <w:r>
              <w:t>pabrėžia, kad patikima, nuosekli ir laiku vykdoma finansinė atskaitomybė yra labai svarbi priežiūrai ir stabilumui; ragina laikytis subalansuoto</w:t>
            </w:r>
            <w:r>
              <w:rPr>
                <w:b/>
                <w:i/>
              </w:rPr>
              <w:t>, mažiau apsunkinančio</w:t>
            </w:r>
            <w:r>
              <w:t xml:space="preserve"> ir labiau integruoto požiūrio į </w:t>
            </w:r>
            <w:r>
              <w:rPr>
                <w:b/>
                <w:i/>
              </w:rPr>
              <w:t>priežiūros ataskaitų teikimą ir parengti</w:t>
            </w:r>
            <w:r>
              <w:t xml:space="preserve"> bendrųjų duomenų žodyną ir prašymų saugyklą, kad būtų sumažintas nereikalingas sudėtingumas, kartu išsaugant bankų sąjungos sistemos patikimumą;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pabrėžia, kad supaprastinimas neturi susilpninti </w:t>
            </w:r>
            <w:r>
              <w:rPr>
                <w:b/>
                <w:i/>
              </w:rPr>
              <w:t>prudencinių</w:t>
            </w:r>
            <w:r>
              <w:t>, vartotojų apsaugos ar stabilumo standartų; ragina laikytis subalansuoto ir labiau integruoto požiūrio į bendrųjų duomenų žodyną ir prašymų saugyklą, kad būtų sumažintas nereikalingas sudėtingumas, kartu išsaugant bankų sąjungos sistemos patikimumą;</w:t>
            </w:r>
          </w:p>
        </w:tc>
        <w:tc>
          <w:tcPr>
            <w:tcW w:w="4876" w:type="dxa"/>
            <w:tcBorders>
              <w:top w:val="nil"/>
              <w:left w:val="nil"/>
              <w:bottom w:val="nil"/>
              <w:right w:val="nil"/>
            </w:tcBorders>
          </w:tcPr>
          <w:p>
            <w:pPr>
              <w:pStyle w:val="Normal6a"/>
            </w:pPr>
            <w:r>
              <w:t>9.</w:t>
            </w:r>
            <w:r>
              <w:tab/>
            </w:r>
            <w:r>
              <w:t xml:space="preserve">pabrėžia, kad patikima, nuosekli ir laiku vykdoma finansinė atskaitomybė yra labai svarbi priežiūrai ir stabilumui; pabrėžia, kad supaprastinimas neturi susilpninti </w:t>
            </w:r>
            <w:r>
              <w:rPr>
                <w:b/>
                <w:i/>
              </w:rPr>
              <w:t>prudencinio atsparumo</w:t>
            </w:r>
            <w:r>
              <w:t>, vartotojų apsaugos ar stabilumo standartų; ragina laikytis subalansuoto ir labiau integruoto požiūrio į bendrųjų duomenų žodyną ir prašymų saugyklą, kad būtų sumažintas nereikalingas sudėtingumas, kartu išsaugant bankų sąjungos sistemos patikimumą;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pažymi, kad bankų sektoriuje daugelis taisyklių sutampa, yra fragmentiškos, o kartais – prieštaringos;</w:t>
            </w:r>
            <w:r>
              <w:t xml:space="preserve"> </w:t>
            </w:r>
            <w:r>
              <w:rPr>
                <w:b/>
                <w:i/>
              </w:rPr>
              <w:t>palankiai vertina būsimą Komisijos 2026 m. ES bankų sektoriaus konkurencingumo išsamią peržiūrą;</w:t>
            </w:r>
            <w:r>
              <w:t xml:space="preserve"> </w:t>
            </w:r>
            <w:r>
              <w:rPr>
                <w:b/>
                <w:i/>
              </w:rPr>
              <w:t>ragina Komisiją sumažinti nereikalingą reglamentavimo naštą bankų sektoriui, kad būtų išvengta poveikio jo konkurencingumui;</w:t>
            </w:r>
            <w:r>
              <w:t xml:space="preserve"> </w:t>
            </w:r>
            <w:r>
              <w:rPr>
                <w:b/>
                <w:i/>
              </w:rPr>
              <w:t>atsižvelgdamas į tai, ragina Komisiją nustatyti visų naujų teisės aktų konkurencingumo patikras, supaprastinti teisėkūros procesus, pvz., sumažinti automatinės peržiūros nuostatų skaičių ir paskelbti neesminių naujų taisyklių moratoriumą, taip pat sistemingai panaikinti perteklines ataskaitų teikimo ar informacijos atskleidimo prievoles;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sudaryti palankesnes sąlygas priežiūros institucijoms išvengti nepagrįstų apribojimų taikant novatoriškas skaitmenines priemones, kurios gali padidinti našumą ir konkurencingumą apskritai;</w:t>
            </w:r>
            <w:r>
              <w:t xml:space="preserve"> </w:t>
            </w:r>
            <w:r>
              <w:rPr>
                <w:b/>
                <w:i/>
              </w:rPr>
              <w:t>ragina laikytis principais grindžiamo ir proporcingo požiūrio, kad būtų išvengta kliūčių inovacijoms;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palankiai vertina Europos Centrinio Banko aukšto lygio darbo grupę supaprastinimo klausimais;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pabrėžia, kad svarbu užtikrinti ES bankų reguliavimo sistemos proporcingumą, atsižvelgiant į skirtingų įstaigų dydį ir sudėtingumą;</w:t>
            </w:r>
            <w:r>
              <w:t xml:space="preserve"> </w:t>
            </w:r>
            <w:r>
              <w:rPr>
                <w:b/>
                <w:i/>
              </w:rPr>
              <w:t>atkreipia dėmesį į mažų bankų svarbą remiant MVĮ ir vietos ekonomiką ir ragina Komisiją užtikrinti, kad bet koks reguliavimas išliktų jautrus rizikai, subalansuotas ir juo būtų remiamas įvairus ir konkurencingas bankų sektorius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pripažįsta </w:t>
            </w:r>
            <w:r>
              <w:rPr>
                <w:b/>
                <w:i/>
              </w:rPr>
              <w:t>institucinę ir reguliavimo pažangą, dėl kurios sustiprėjo euro zonos bankų atsparumas</w:t>
            </w:r>
            <w:r>
              <w:t xml:space="preserve">; pažymi, kad </w:t>
            </w:r>
            <w:r>
              <w:rPr>
                <w:b/>
                <w:i/>
              </w:rPr>
              <w:t>vis dar yra kliūčių, trukdančių išnaudoti visą ES bendrosios finansinių paslaugų rinkos potencialą</w:t>
            </w:r>
            <w:r>
              <w:t xml:space="preserve">; </w:t>
            </w:r>
            <w:r>
              <w:rPr>
                <w:b/>
                <w:i/>
              </w:rPr>
              <w:t>ragina Komisiją, valstybes nares ir ES įstaigas suderinti užmojus su konkrečiais veiksmais, kad būtų baigta kurti santaupų ir investicijų sąjunga ir bendroji rinka, skatinant supaprastinimą ir konkurencingumą;</w:t>
            </w:r>
          </w:p>
        </w:tc>
        <w:tc>
          <w:tcPr>
            <w:tcW w:w="4876" w:type="dxa"/>
            <w:tcBorders>
              <w:top w:val="nil"/>
              <w:left w:val="nil"/>
              <w:bottom w:val="nil"/>
              <w:right w:val="nil"/>
            </w:tcBorders>
          </w:tcPr>
          <w:p>
            <w:pPr>
              <w:pStyle w:val="Normal6a"/>
            </w:pPr>
            <w:r>
              <w:t>10.</w:t>
            </w:r>
            <w:r>
              <w:tab/>
            </w:r>
            <w:r>
              <w:t xml:space="preserve">pripažįsta </w:t>
            </w:r>
            <w:r>
              <w:rPr>
                <w:b/>
                <w:i/>
              </w:rPr>
              <w:t>institucinius pokyčius atsparumo srityje</w:t>
            </w:r>
            <w:r>
              <w:t xml:space="preserve">; pažymi, kad </w:t>
            </w:r>
            <w:r>
              <w:rPr>
                <w:b/>
                <w:i/>
              </w:rPr>
              <w:t>dėl vis didėjančio reguliavimo priemonių skaičiaus toliau mažėja tikrasis Europos bankų sektoriaus potencialas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pripažįsta institucinę ir reguliavimo pažangą, dėl kurios sustiprėjo </w:t>
            </w:r>
            <w:r>
              <w:rPr>
                <w:b/>
                <w:i/>
              </w:rPr>
              <w:t>euro zonos</w:t>
            </w:r>
            <w:r>
              <w:t xml:space="preserve"> bankų atsparumas; pažymi, kad vis dar yra kliūčių, trukdančių išnaudoti visą ES bendrosios finansinių paslaugų rinkos potencialą; ragina Komisiją, valstybes nares ir ES įstaigas suderinti užmojus su konkrečiais veiksmais, kad būtų baigta kurti santaupų ir investicijų sąjunga ir bendroji rinka</w:t>
            </w:r>
            <w:r>
              <w:rPr>
                <w:b/>
                <w:i/>
              </w:rPr>
              <w:t>, skatinant supaprastinimą ir konkurencingumą</w:t>
            </w:r>
            <w:r>
              <w:t>;</w:t>
            </w:r>
          </w:p>
        </w:tc>
        <w:tc>
          <w:tcPr>
            <w:tcW w:w="4876" w:type="dxa"/>
            <w:tcBorders>
              <w:top w:val="nil"/>
              <w:left w:val="nil"/>
              <w:bottom w:val="nil"/>
              <w:right w:val="nil"/>
            </w:tcBorders>
          </w:tcPr>
          <w:p>
            <w:pPr>
              <w:pStyle w:val="Normal6a"/>
            </w:pPr>
            <w:r>
              <w:t>10.</w:t>
            </w:r>
            <w:r>
              <w:tab/>
            </w:r>
            <w:r>
              <w:t xml:space="preserve">pripažįsta institucinę ir reguliavimo pažangą, dėl kurios sustiprėjo </w:t>
            </w:r>
            <w:r>
              <w:rPr>
                <w:b/>
                <w:i/>
              </w:rPr>
              <w:t>ES</w:t>
            </w:r>
            <w:r>
              <w:t xml:space="preserve"> bankų atsparumas; pažymi, kad vis dar yra kliūčių, trukdančių išnaudoti visą ES bendrosios finansinių paslaugų rinkos potencialą; ragina Komisiją, valstybes nares ir ES įstaigas suderinti užmojus su konkrečiais veiksmais, kad būtų baigta kurti santaupų ir investicijų sąjunga ir bendroji rinka </w:t>
            </w:r>
            <w:r>
              <w:rPr>
                <w:b/>
                <w:i/>
              </w:rPr>
              <w:t>ir būtų sudarytos sąlygos investicijoms, kurių reikia teisingai žaliajai pertvarkai</w:t>
            </w:r>
            <w:r>
              <w:t xml:space="preserve">; </w:t>
            </w:r>
            <w:r>
              <w:rPr>
                <w:b/>
                <w:i/>
              </w:rPr>
              <w:t>pabrėžia, koks svarbus šioje srityje yra Taksonomijos reglamentas;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pripažįsta institucinę ir reguliavimo pažangą, dėl kurios sustiprėjo euro zonos bankų atsparumas; pažymi, kad vis dar yra kliūčių, trukdančių išnaudoti visą ES bendrosios finansinių paslaugų rinkos potencialą; ragina Komisiją, valstybes nares ir ES įstaigas suderinti užmojus su konkrečiais veiksmais, kad būtų baigta kurti santaupų ir investicijų sąjunga ir bendroji rinka, skatinant supaprastinimą ir konkurencingumą;</w:t>
            </w:r>
          </w:p>
        </w:tc>
        <w:tc>
          <w:tcPr>
            <w:tcW w:w="4876" w:type="dxa"/>
            <w:tcBorders>
              <w:top w:val="nil"/>
              <w:left w:val="nil"/>
              <w:bottom w:val="nil"/>
              <w:right w:val="nil"/>
            </w:tcBorders>
          </w:tcPr>
          <w:p>
            <w:pPr>
              <w:pStyle w:val="Normal6a"/>
            </w:pPr>
            <w:r>
              <w:t>10.</w:t>
            </w:r>
            <w:r>
              <w:tab/>
            </w:r>
            <w:r>
              <w:t xml:space="preserve">pripažįsta institucinę ir reguliavimo pažangą, dėl kurios sustiprėjo euro zonos bankų atsparumas; pažymi, kad vis dar yra </w:t>
            </w:r>
            <w:r>
              <w:rPr>
                <w:b/>
                <w:i/>
              </w:rPr>
              <w:t>didelių</w:t>
            </w:r>
            <w:r>
              <w:t xml:space="preserve"> kliūčių, trukdančių išnaudoti visą ES bendrosios finansinių paslaugų rinkos potencialą; ragina Komisiją, valstybes nares ir ES įstaigas suderinti užmojus su konkrečiais veiksmais, kad būtų baigta kurti santaupų ir investicijų sąjunga ir bendroji rinka, skatinant supaprastinimą ir konkurencingumą; </w:t>
            </w:r>
            <w:r>
              <w:rPr>
                <w:b/>
                <w:i/>
              </w:rPr>
              <w:t>ragina Komisiją savo 2026 m. ES bankų sektoriaus konkurencingumo ataskaitoje siekti plataus užmojo ir ryžtingų tikslų, neapsiribojant vien supaprastinimu, ir pateikti konkrečių ir įgyvendinamų pasiūlymų, kaip stiprinti rinkos integraciją, užtikrinti vienodas sąlygas tarptautiniu mastu ir didinti Europos bankų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pabrėžia, kad, atsižvelgiant į tebesitęsiantį geopolitinį netikrumą, galimai pervertintas akcijų rinkas ir pastarojo meto neramumus JAV po neskaidraus skolinimo ne bankų (privataus kredito) sektoriuje, priežiūros institucijos turėtų laikytis į ateitį orientuoto požiūrio ir deramai stebėti riziką, o bankai turėtų užtikrinti pakankamus kapitalo rezervus ir veiklos atsparumą;</w:t>
            </w:r>
            <w:r>
              <w:t xml:space="preserve"> </w:t>
            </w:r>
            <w:r>
              <w:rPr>
                <w:b/>
                <w:i/>
              </w:rPr>
              <w:t>atsižvelgdamas į tai, pabrėžia, kad reikia gerinti ne bankų finansų tarpininkų priežiūrą ir atsparumą;</w:t>
            </w:r>
            <w:r>
              <w:t xml:space="preserve"> </w:t>
            </w:r>
            <w:r>
              <w:rPr>
                <w:b/>
                <w:i/>
              </w:rPr>
              <w:t>pabrėžia, kad šiandien apdairiai vykdoma priežiūra ateityje gali apsaugoti mokesčių mokėtojus, indėlininkus ir realiąją ekonomiką nuo nuostolių;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bankų sektorių pripažinti dirbtinio intelekto potencialą gerinti veiksmingumą, inovacijas ir vartotojams teikiamas paslaugas, taip pat stiprinti sukčiavimo prevenciją, ir vis dažniau juo naudotis;</w:t>
            </w:r>
            <w:r>
              <w:t xml:space="preserve"> </w:t>
            </w:r>
            <w:r>
              <w:rPr>
                <w:b/>
                <w:i/>
              </w:rPr>
              <w:t>pabrėžia, kad ES lygmens reguliavimas neturėtų tapti kliūtimi technologinėms inovacijoms ir jų diegimui bankų sektoriuje ir dėl jo neturėtų būti sukuriamas netikrumas ir painiava rinkos dalyviams dėl reikalavimus atitinkančio dirbtinio intelekto naudojimo;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palankiai vertina 2025 m. gruodžio mėn. ECB ataskaitą dėl Europos prudencinės reguliavimo, priežiūros ir ataskaitų teikimo sistemos supaprastinimo ir EBI ataskaitą dėl reguliavimo ir priežiūros sistemos veiksmingumo;</w:t>
            </w:r>
            <w:r>
              <w:t xml:space="preserve"> </w:t>
            </w:r>
            <w:r>
              <w:rPr>
                <w:b/>
                <w:i/>
              </w:rPr>
              <w:t>ragina Komisiją, atliekant būsimą bankų sąjungos konkurencingumo peržiūrą, imtis tolesnių veiksmų ir toliau plėtoti šiose ataskaitose pateiktus pasiūlymus;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ECB imtis atitinkamų priemonių, kad būtų pašalintos visos kliūtys, trukdančios trumpalaikėms neužtikrintoms tarpbankinėms rinkoms, kurios po didžiosios finansų krizės labai sumažėjo, atsigauti;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mano, kad pagrindinis klausimas dėl bankų, kurie yra per dideli, kad jiems būtų leista žlugti, nebuvo tinkamai išspręstas ir kad struktūrinė reforma vis dar yra pagrįsta;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palankiai vertina Komisijos užmojį 2026 m. įvertinti Europos bankų sektoriaus konkurencingumą;</w:t>
            </w:r>
            <w:r>
              <w:t xml:space="preserve"> </w:t>
            </w:r>
            <w:r>
              <w:rPr>
                <w:b/>
                <w:i/>
              </w:rPr>
              <w:t>ragina Komisiją pateikti plataus užmojo ataskaitą kartu su pasiūlymais dėl teisėkūros procedūra priimamų aktų siekiant iš esmės padidinti Europos bankų sektoriaus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ragina ECB pašalinti visas likusias kliūtis tarpvalstybiniams bankų susijungimams ir kartu užtikrinti finansinį stabilumą ir padėti integruoti Europos bankų rinką;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pabrėžia, kad Europos bankininkystės taisyklės turi labiau priderintos prie įstaigų dydžio, verslo modelio, sudėtingumo ir rizikos pobūdžio;</w:t>
            </w:r>
            <w:r>
              <w:t xml:space="preserve"> </w:t>
            </w:r>
            <w:r>
              <w:rPr>
                <w:b/>
                <w:i/>
              </w:rPr>
              <w:t>atkreipia dėmesį į tai, kad kitos pagrindinės jurisdikcijos mažiems bankams pasirinko taikyti specialią ir proporcingesnę tvarką;</w:t>
            </w:r>
            <w:r>
              <w:t xml:space="preserve"> </w:t>
            </w:r>
            <w:r>
              <w:rPr>
                <w:b/>
                <w:i/>
              </w:rPr>
              <w:t>ragina Komisiją pasinaudoti būsimos bankų konkurencingumo peržiūros suteikiama galimybe parengti tikrą mažiems bankams skirtą tvarką mažiems, tarptautiniu mastu veiklos nevykdantiems bankams, kuri būtų iš esmės paprastesnė nei labai sudėtingi prudenciniai ir priežiūros reikalavimai, kurie šiuo metu taikomi visiems Europos bankams ir kurie visų pirma buvo sukurti didelėms, tarptautiniu mastu veikiančioms ir sistemiškai svarbioms bankų grupėms;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pažymi, kad bankų sektoriui poveikį darantis reguliavimas galėtų būti proporcingesnis, ir apgailestauja, kad mažiems bankams tenka pernelyg didelė našta, trukdanti augti ir būti konkurencingesniems; ragina parengti visiškai atskirą taisyklių rinkinį mažiems bankams, kurie gali pasirinkti jį taikyti;</w:t>
            </w:r>
            <w:r>
              <w:t xml:space="preserve"> </w:t>
            </w:r>
            <w:r>
              <w:rPr>
                <w:b/>
                <w:i/>
              </w:rPr>
              <w:t>laikosi nuomonės, kad ši siūloma mažųjų bankų tvarka turi atitikti šių bankų poreikius, todėl turi būti taikomas proporcingesnis reguliavimas, kaip tai jau padarė kitos jurisdikcijos ir pasauliniai finansų centrai;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susirūpinęs pažymi, kad bankų valstybės vidaus skolos vertybinių popierių pozicija išlieka labai didelė;</w:t>
            </w:r>
            <w:r>
              <w:t xml:space="preserve"> </w:t>
            </w:r>
            <w:r>
              <w:rPr>
                <w:b/>
                <w:i/>
              </w:rPr>
              <w:t>primena, kad bankų sąjungai tebėra sudėtinga nutraukti banko ir valstybės rizikos ryšį;</w:t>
            </w:r>
            <w:r>
              <w:t xml:space="preserve"> </w:t>
            </w:r>
            <w:r>
              <w:rPr>
                <w:b/>
                <w:i/>
              </w:rPr>
              <w:t>pabrėžia, kad bankų balansams kylančią riziką galima dar labiau sumažinti taikant tinkamesnę valstybės garantija užtikrintų skolų pozicijų reguliavimo tvarką;</w:t>
            </w:r>
            <w:r>
              <w:t xml:space="preserve"> </w:t>
            </w:r>
            <w:r>
              <w:rPr>
                <w:b/>
                <w:i/>
              </w:rPr>
              <w:t>ragina Komisiją pateikti pasiūlymą dėl teisėkūros procedūra priimamo akto, kuriuo būtų nustatyti tinkami rizikos koeficientai valstybės garantija užtikrintų skolų pozicijoms;</w:t>
            </w:r>
            <w:r>
              <w:t xml:space="preserve"> </w:t>
            </w:r>
            <w:r>
              <w:rPr>
                <w:b/>
                <w:i/>
              </w:rPr>
              <w:t>pabrėžia, kad dėl didėjančio valstybės skolos lygio tapo dar labiau aktualu valstybės garantija užtikrintų skolų pozicijoms taikyti tinkamą 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ragina toliau daryti pažangą visapusiškai racionalizuojant ES finansinių taisyklių sąvadą ir panaikinti perteklines ataskaitų teikimo ar informacijos atskleidimo prievoles;</w:t>
            </w:r>
            <w:r>
              <w:t xml:space="preserve"> </w:t>
            </w:r>
            <w:r>
              <w:rPr>
                <w:b/>
                <w:i/>
              </w:rPr>
              <w:t>ragina supaprastinti kapitalo struktūrą ir sumažinti sutampančių rezervų ir papildomų priežiūros reikalavimų skaičių siekiant sukurti aiškesnę ir skaidresnę kapitalo reikalavimų hierarchiją;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atkreipia dėmesį į Europos bankų rinkos susiskaidymą, kuris daro poveikį veiksmingumui ir dėl kurio atsiranda besidubliuojantys reglamentai ir reikalavimai, taip pat ir vartotojų apsaugos srityje;</w:t>
            </w:r>
            <w:r>
              <w:t xml:space="preserve"> </w:t>
            </w:r>
            <w:r>
              <w:rPr>
                <w:b/>
                <w:i/>
              </w:rPr>
              <w:t>pabrėžia, kad reikia užbaigti kurti bankų bendrąją rinką ir sumažinti dabartinį struktūrinį atskyrimą, dėl kurio patronuojamosios įmonės yra priverstos turėti kapitalo ir likvidumo lėšų vietos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ragina Komisiją apsvarstyti, ar būtų galima toliau plėtoti Europos bankininkystės institucijos vaidmenį ir užduotis, kad būtų geriau atsižvelgiama į reguliavimo ir priežiūros standartų poveikį inovacijoms ir tarptautiniam ES bankų sektoriaus konkurencingumui, nedarant poveikio jos pagrindiniams prudenciniams įgaliojimams;</w:t>
            </w:r>
            <w:r>
              <w:t xml:space="preserve"> </w:t>
            </w:r>
            <w:r>
              <w:rPr>
                <w:b/>
                <w:i/>
              </w:rPr>
              <w:t>pabrėžia, kad labai svarbu skatinti inovacijoms palankią ir proporcingą priežiūros praktiką siekiant užtikrinti, kad bankų sąjunga išliktų atspari, konkurencinga ir pajėgi remti realiosios ekonomikos augimą;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pažymi, kad 2025 m. </w:t>
            </w:r>
            <w:r>
              <w:rPr>
                <w:b/>
                <w:i/>
              </w:rPr>
              <w:t>II</w:t>
            </w:r>
            <w:r>
              <w:t xml:space="preserve"> ketvirtį bendras BPM bankų bendro 1 lygio nuosavo kapitalo pakankamumo koeficientas pasiekė </w:t>
            </w:r>
            <w:r>
              <w:rPr>
                <w:b/>
                <w:i/>
              </w:rPr>
              <w:t>16,12</w:t>
            </w:r>
            <w:r>
              <w:t xml:space="preserve"> proc., nuosavo kapitalo grąža buvo </w:t>
            </w:r>
            <w:r>
              <w:rPr>
                <w:b/>
                <w:i/>
              </w:rPr>
              <w:t>10,11</w:t>
            </w:r>
            <w:r>
              <w:t> proc., neveiksnių paskolų sumažėjo iki 2,22 proc., o 2 etapo paskolos sudarė 9,59 proc.</w:t>
            </w:r>
            <w:r>
              <w:rPr>
                <w:vertAlign w:val="superscript"/>
              </w:rPr>
              <w:t>15</w:t>
            </w:r>
            <w:r>
              <w:t>; pabrėžia, kad reikia stebėti kredito riziką, kartu išlaikant pakankamą kapitalą ir likvidumą bankų sektoriaus atsparumui užtikrinti;</w:t>
            </w:r>
          </w:p>
        </w:tc>
        <w:tc>
          <w:tcPr>
            <w:tcW w:w="4876" w:type="dxa"/>
            <w:tcBorders>
              <w:top w:val="nil"/>
              <w:left w:val="nil"/>
              <w:bottom w:val="nil"/>
              <w:right w:val="nil"/>
            </w:tcBorders>
          </w:tcPr>
          <w:p>
            <w:pPr>
              <w:pStyle w:val="Normal6a"/>
            </w:pPr>
            <w:r>
              <w:t>11.</w:t>
            </w:r>
            <w:r>
              <w:tab/>
            </w:r>
            <w:r>
              <w:t xml:space="preserve">pažymi, kad 2025 m. </w:t>
            </w:r>
            <w:r>
              <w:rPr>
                <w:b/>
                <w:i/>
              </w:rPr>
              <w:t>III</w:t>
            </w:r>
            <w:r>
              <w:t xml:space="preserve"> ketvirtį bendras BPM bankų bendro 1 lygio nuosavo kapitalo pakankamumo koeficientas pasiekė </w:t>
            </w:r>
            <w:r>
              <w:rPr>
                <w:b/>
                <w:i/>
              </w:rPr>
              <w:t>16,10</w:t>
            </w:r>
            <w:r>
              <w:t xml:space="preserve"> proc., nuosavo kapitalo grąža buvo </w:t>
            </w:r>
            <w:r>
              <w:rPr>
                <w:b/>
                <w:i/>
              </w:rPr>
              <w:t>9,88</w:t>
            </w:r>
            <w:r>
              <w:t xml:space="preserve"> proc., neveiksnių paskolų sumažėjo iki 2,22 proc., o 2 etapo paskolos sudarė 9,59 proc.</w:t>
            </w:r>
            <w:r>
              <w:rPr>
                <w:vertAlign w:val="superscript"/>
              </w:rPr>
              <w:t>15</w:t>
            </w:r>
            <w:r>
              <w:t>; pabrėžia, kad reikia stebėti kredito riziką, kartu išlaikant pakankamą kapitalą ir likvidumą bankų sektoriaus atsparumui užtikrinti;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ECB, Bankų priežiūros statistika (2025 m. </w:t>
            </w:r>
            <w:r>
              <w:rPr>
                <w:b/>
                <w:i/>
              </w:rPr>
              <w:t>II</w:t>
            </w:r>
            <w:r>
              <w:t xml:space="preserve"> ketv.).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pažymi, kad 2025 m. II ketvirtį bendras BPM bankų bendro 1 lygio nuosavo kapitalo pakankamumo koeficientas pasiekė 16,12 proc., nuosavo kapitalo grąža buvo 10,11 proc., neveiksnių paskolų sumažėjo iki 2,22 proc., o 2 etapo paskolos sudarė 9,59 proc.</w:t>
            </w:r>
            <w:r>
              <w:rPr>
                <w:b/>
                <w:i/>
                <w:vertAlign w:val="superscript"/>
              </w:rPr>
              <w:t>15</w:t>
            </w:r>
            <w:r>
              <w:t>; pabrėžia, kad reikia stebėti kredito riziką, kartu išlaikant pakankamą kapitalą ir likvidumą bankų sektoriaus atsparumui užtikrinti;</w:t>
            </w:r>
          </w:p>
        </w:tc>
        <w:tc>
          <w:tcPr>
            <w:tcW w:w="4876" w:type="dxa"/>
            <w:tcBorders>
              <w:top w:val="nil"/>
              <w:left w:val="nil"/>
              <w:bottom w:val="nil"/>
              <w:right w:val="nil"/>
            </w:tcBorders>
          </w:tcPr>
          <w:p>
            <w:pPr>
              <w:pStyle w:val="Normal6a"/>
            </w:pPr>
            <w:r>
              <w:t>11.</w:t>
            </w:r>
            <w:r>
              <w:tab/>
            </w:r>
            <w:r>
              <w:t>pažymi, kad 2025 m. II ketvirtį bendras BPM bankų bendro 1 lygio nuosavo kapitalo pakankamumo koeficientas pasiekė 16,12 proc., nuosavo kapitalo grąža buvo 10,11 proc., neveiksnių paskolų sumažėjo iki 2,22 proc., o 2 etapo paskolos sudarė 9,59 proc.</w:t>
            </w:r>
            <w:r>
              <w:rPr>
                <w:vertAlign w:val="superscript"/>
              </w:rPr>
              <w:t>15</w:t>
            </w:r>
            <w:r>
              <w:t xml:space="preserve">; pabrėžia, kad reikia stebėti kredito riziką, kartu išlaikant pakankamą kapitalą ir likvidumą bankų sektoriaus atsparumui užtikrinti; </w:t>
            </w:r>
            <w:r>
              <w:rPr>
                <w:b/>
                <w:i/>
              </w:rPr>
              <w:t>atkreipia dėmesį į tai, kad ši pažanga mažinant riziką neatitiko pažangos rizikos pasidalijimo srityje;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ECB, Bankų priežiūros statistika (2025 m.</w:t>
            </w:r>
            <w:r>
              <w:t xml:space="preserve"> </w:t>
            </w:r>
            <w:r>
              <w:rPr>
                <w:b/>
                <w:i/>
              </w:rPr>
              <w:t>II ketv.).</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atkreipia dėmesį į nepalankias makroekonomines sąlygas ir geopolitinius sunkumus, dėl kurių gali blogėti turto kokybė;</w:t>
            </w:r>
            <w:r>
              <w:t xml:space="preserve"> </w:t>
            </w:r>
            <w:r>
              <w:rPr>
                <w:b/>
                <w:i/>
              </w:rPr>
              <w:t>todėl pabrėžia apdairaus rizikos valdymo ir tinkamų atidėjinių sudarymo svarbą;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pabrėžia, kad euro zonos bankų nacionalinės valstybės skolos pozicija tebėra didelė, ir atkreipia dėmesį į susijusią riziką;</w:t>
            </w:r>
            <w:r>
              <w:t xml:space="preserve"> </w:t>
            </w:r>
            <w:r>
              <w:rPr>
                <w:b/>
                <w:i/>
              </w:rPr>
              <w:t>primena, kad vienas iš pagrindinių bankų sąjungos tikslų yra išardyti užburtą ratą, į kurį pateko valstybės ir bankai;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pabrėžia, kad Finansinio stabilumo taryba, Europos sisteminės rizikos valdyba ir kitos tarptautinės ir Europos įstaigos ne kartą atkreipė dėmesį į ne bankų finansų sektoriaus keliamą riziką, visų pirma dėl jo glaudesnių sąsajų su tradiciniu bankų sektoriumi;</w:t>
            </w:r>
            <w:r>
              <w:t xml:space="preserve"> </w:t>
            </w:r>
            <w:r>
              <w:rPr>
                <w:b/>
                <w:i/>
              </w:rPr>
              <w:t>pritaria Eurosistemos rekomendacijai įvesti visos sistemos testavimą nepalankiausiomis sąlygomis siekiant nustatyti ir kiekybiškai įvertinti pagrindinių rinkų atsparumui kylančią riziką;</w:t>
            </w:r>
            <w:r>
              <w:t xml:space="preserve"> </w:t>
            </w:r>
            <w:r>
              <w:rPr>
                <w:b/>
                <w:i/>
              </w:rPr>
              <w:t>primygtinai ragina Europos Komisiją išsiaiškinti, ar priežiūros priemonių rinkinyje yra spragų, be kita ko, susijusių su galimomis likvidumo kliūtimis ir poveikiu sisteminei rizikai;</w:t>
            </w:r>
            <w:r>
              <w:t xml:space="preserve"> </w:t>
            </w:r>
            <w:r>
              <w:rPr>
                <w:b/>
                <w:i/>
              </w:rPr>
              <w:t>ragina Komisiją pateikti atitinkamų pasiūlymų dėl teisėkūros procedūra priimamų aktų siekiant užtikrinti finansinį stabilumą;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w:t>
            </w:r>
            <w:r>
              <w:rPr>
                <w:b/>
                <w:i/>
              </w:rPr>
              <w:t>siekiant didinti atsparumą ir konkurencingumą reikia laiku, visapusiškai ir tiksliai įgyvendinti</w:t>
            </w:r>
            <w:r>
              <w:t xml:space="preserve"> susitarimo „Bazelis III“ </w:t>
            </w:r>
            <w:r>
              <w:rPr>
                <w:b/>
                <w:i/>
              </w:rPr>
              <w:t>standartus;</w:t>
            </w:r>
            <w:r>
              <w:t xml:space="preserve"> </w:t>
            </w:r>
            <w:r>
              <w:rPr>
                <w:b/>
                <w:i/>
              </w:rPr>
              <w:t>apgailestauja dėl nukrypimų ir ragina Komisiją peržiūrėti sprendimus dėl lygiavertiškumo su jurisdikciją turinčiais subjektais, kurie neįgyvendina šių standartų</w:t>
            </w:r>
            <w:r>
              <w:t>;</w:t>
            </w:r>
          </w:p>
        </w:tc>
        <w:tc>
          <w:tcPr>
            <w:tcW w:w="4876" w:type="dxa"/>
            <w:tcBorders>
              <w:top w:val="nil"/>
              <w:left w:val="nil"/>
              <w:bottom w:val="nil"/>
              <w:right w:val="nil"/>
            </w:tcBorders>
          </w:tcPr>
          <w:p>
            <w:pPr>
              <w:pStyle w:val="Normal6a"/>
            </w:pPr>
            <w:r>
              <w:t>12.</w:t>
            </w:r>
            <w:r>
              <w:tab/>
            </w:r>
            <w:r>
              <w:t xml:space="preserve">pabrėžia, kad susitarimo „Bazelis III“ </w:t>
            </w:r>
            <w:r>
              <w:rPr>
                <w:b/>
                <w:i/>
              </w:rPr>
              <w:t>taisyklės turėtų būti pritaikytos prie Europos bankų sektoriaus ypatumų, atsižvelgiant į proporcingumo kriterijų ir supaprastintos tvarkos taikymą mažesniems bankams, o tai atitinka Europos Centrinio Banko aukšto lygio darbo grupės supaprastinimo klausimais, kuriai pritarė ECB valdančioji taryba, išvadas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w:t>
            </w:r>
            <w:r>
              <w:rPr>
                <w:b/>
                <w:i/>
              </w:rPr>
              <w:t>siekiant didinti atsparumą ir konkurencingumą reikia laiku, visapusiškai ir tiksliai įgyvendinti</w:t>
            </w:r>
            <w:r>
              <w:t xml:space="preserve"> susitarimo „Bazelis III“ </w:t>
            </w:r>
            <w:r>
              <w:rPr>
                <w:b/>
                <w:i/>
              </w:rPr>
              <w:t>standartus;</w:t>
            </w:r>
            <w:r>
              <w:t xml:space="preserve"> </w:t>
            </w:r>
            <w:r>
              <w:rPr>
                <w:b/>
                <w:i/>
              </w:rPr>
              <w:t>apgailestauja dėl nukrypimų ir ragina Komisiją peržiūrėti sprendimus dėl lygiavertiškumo su jurisdikciją turinčiais subjektais, kurie neįgyvendina šių standartų</w:t>
            </w:r>
            <w:r>
              <w:t>;</w:t>
            </w:r>
          </w:p>
        </w:tc>
        <w:tc>
          <w:tcPr>
            <w:tcW w:w="4876" w:type="dxa"/>
            <w:tcBorders>
              <w:top w:val="nil"/>
              <w:left w:val="nil"/>
              <w:bottom w:val="nil"/>
              <w:right w:val="nil"/>
            </w:tcBorders>
          </w:tcPr>
          <w:p>
            <w:pPr>
              <w:pStyle w:val="Normal6a"/>
            </w:pPr>
            <w:r>
              <w:t>12.</w:t>
            </w:r>
            <w:r>
              <w:tab/>
            </w:r>
            <w:r>
              <w:t xml:space="preserve">pabrėžia, kad susitarimo „Bazelis III“ </w:t>
            </w:r>
            <w:r>
              <w:rPr>
                <w:b/>
                <w:i/>
              </w:rPr>
              <w:t>standartai turi būti įgyvendinami atsižvelgiant į pasaulinius pokyčius ir poreikį apsaugoti tarptautinį Europos bankų konkurencingumą;</w:t>
            </w:r>
            <w:r>
              <w:t xml:space="preserve"> </w:t>
            </w:r>
            <w:r>
              <w:rPr>
                <w:b/>
                <w:i/>
              </w:rPr>
              <w:t>susirūpinęs pažymi, kad kitų jurisdikcijų įgyvendinimo programa buvo ne tokia ambicinga</w:t>
            </w:r>
            <w:r>
              <w:t xml:space="preserve">; </w:t>
            </w:r>
            <w:r>
              <w:rPr>
                <w:b/>
                <w:i/>
              </w:rPr>
              <w:t>pabrėžia, kad Komisija turėtų nuodugniai įvertinti, ar būtina atidėti įgyvendinimą, kad būtų išlaikytas tarptautinis ES bankų konkurencingumas;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siekiant </w:t>
            </w:r>
            <w:r>
              <w:rPr>
                <w:b/>
                <w:i/>
              </w:rPr>
              <w:t>didinti atsparumą ir konkurencingumą reikia laiku, visapusiškai ir tiksliai įgyvendinti</w:t>
            </w:r>
            <w:r>
              <w:t xml:space="preserve"> susitarimo „Bazelis III“ </w:t>
            </w:r>
            <w:r>
              <w:rPr>
                <w:b/>
                <w:i/>
              </w:rPr>
              <w:t>standartus;</w:t>
            </w:r>
            <w:r>
              <w:t xml:space="preserve"> </w:t>
            </w:r>
            <w:r>
              <w:rPr>
                <w:b/>
                <w:i/>
              </w:rPr>
              <w:t>apgailestauja dėl nukrypimų ir ragina Komisiją peržiūrėti sprendimus dėl lygiavertiškumo su jurisdikciją turinčiais subjektais, kurie neįgyvendina šių</w:t>
            </w:r>
            <w:r>
              <w:t xml:space="preserve"> standartų;</w:t>
            </w:r>
          </w:p>
        </w:tc>
        <w:tc>
          <w:tcPr>
            <w:tcW w:w="4876" w:type="dxa"/>
            <w:tcBorders>
              <w:top w:val="nil"/>
              <w:left w:val="nil"/>
              <w:bottom w:val="nil"/>
              <w:right w:val="nil"/>
            </w:tcBorders>
          </w:tcPr>
          <w:p>
            <w:pPr>
              <w:pStyle w:val="Normal6a"/>
            </w:pPr>
            <w:r>
              <w:t>12.</w:t>
            </w:r>
            <w:r>
              <w:tab/>
            </w:r>
            <w:r>
              <w:t xml:space="preserve">pabrėžia, kad siekiant </w:t>
            </w:r>
            <w:r>
              <w:rPr>
                <w:b/>
                <w:i/>
              </w:rPr>
              <w:t>didesnio atsaprumo ir konkurencingumas pasaulyje būtina užtikrinti</w:t>
            </w:r>
            <w:r>
              <w:t xml:space="preserve"> susitarimo „Bazelis III“ standartų </w:t>
            </w:r>
            <w:r>
              <w:rPr>
                <w:b/>
                <w:i/>
              </w:rPr>
              <w:t>įgyvendinimą</w:t>
            </w:r>
            <w:r>
              <w:t xml:space="preserve">; </w:t>
            </w:r>
            <w:r>
              <w:rPr>
                <w:b/>
                <w:i/>
              </w:rPr>
              <w:t>atkreipia dėmesį į tai, kad vis dar trūksta aiškumo dėl įgyvendinimo kai kuriose pagrindinėse ES nepriklausančiose jurisdikcijose ir pabrėžia, kad siekiant užtikrinti ilgalaikį konkurencingumą tarptautiniu mastu labai svarbu išlaikyti finansinį stabilumą, Bazelio susitarimo vientisumą ir vienodas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w:t>
            </w:r>
            <w:r>
              <w:rPr>
                <w:b/>
                <w:i/>
              </w:rPr>
              <w:t>siekiant didinti atsparumą ir konkurencingumą reikia</w:t>
            </w:r>
            <w:r>
              <w:t xml:space="preserve"> laiku, visapusiškai ir tiksliai įgyvendinti susitarimo „Bazelis III“ standartus</w:t>
            </w:r>
            <w:r>
              <w:rPr>
                <w:b/>
                <w:i/>
              </w:rPr>
              <w:t>;</w:t>
            </w:r>
            <w:r>
              <w:t xml:space="preserve"> </w:t>
            </w:r>
            <w:r>
              <w:rPr>
                <w:b/>
                <w:i/>
              </w:rPr>
              <w:t>apgailestauja dėl nukrypimų ir</w:t>
            </w:r>
            <w:r>
              <w:t xml:space="preserve"> ragina Komisiją </w:t>
            </w:r>
            <w:r>
              <w:rPr>
                <w:b/>
                <w:i/>
              </w:rPr>
              <w:t>peržiūrėti sprendimus dėl lygiavertiškumo su jurisdikciją turinčiais subjektais, kurie neįgyvendina šių standartų</w:t>
            </w:r>
            <w:r>
              <w:t>;</w:t>
            </w:r>
          </w:p>
        </w:tc>
        <w:tc>
          <w:tcPr>
            <w:tcW w:w="4876" w:type="dxa"/>
            <w:tcBorders>
              <w:top w:val="nil"/>
              <w:left w:val="nil"/>
              <w:bottom w:val="nil"/>
              <w:right w:val="nil"/>
            </w:tcBorders>
          </w:tcPr>
          <w:p>
            <w:pPr>
              <w:pStyle w:val="Normal6a"/>
            </w:pPr>
            <w:r>
              <w:t>12.</w:t>
            </w:r>
            <w:r>
              <w:tab/>
            </w:r>
            <w:r>
              <w:t xml:space="preserve">pabrėžia, kad </w:t>
            </w:r>
            <w:r>
              <w:rPr>
                <w:b/>
                <w:i/>
              </w:rPr>
              <w:t>svarbu</w:t>
            </w:r>
            <w:r>
              <w:t xml:space="preserve"> laiku, visapusiškai ir tiksliai įgyvendinti susitarimo „Bazelis III“ standartus</w:t>
            </w:r>
            <w:r>
              <w:rPr>
                <w:b/>
                <w:i/>
              </w:rPr>
              <w:t>, jei jie didina atsparumą ir konkurencingumą;</w:t>
            </w:r>
            <w:r>
              <w:t xml:space="preserve"> </w:t>
            </w:r>
            <w:r>
              <w:rPr>
                <w:b/>
                <w:i/>
              </w:rPr>
              <w:t>susirūpinęs pažymi, kad kitų jurisdikcijų programa buvo ne tokia ambicinga, o tai gali pakenkti vienodoms tarptautinėms sąlygoms;</w:t>
            </w:r>
            <w:r>
              <w:t xml:space="preserve"> ragina Komisiją </w:t>
            </w:r>
            <w:r>
              <w:rPr>
                <w:b/>
                <w:i/>
              </w:rPr>
              <w:t>įvertinti ir užtikrinti tarptautinį ES bankų konkurencingumą nesusilpninant jų atsparumo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siekiant didinti atsparumą ir konkurencingumą reikia laiku, visapusiškai ir tiksliai </w:t>
            </w:r>
            <w:r>
              <w:rPr>
                <w:b/>
                <w:i/>
              </w:rPr>
              <w:t>įgyvendinti</w:t>
            </w:r>
            <w:r>
              <w:t xml:space="preserve"> susitarimo „Bazelis III“ standartus; apgailestauja dėl nukrypimų </w:t>
            </w:r>
            <w:r>
              <w:rPr>
                <w:b/>
                <w:i/>
              </w:rPr>
              <w:t>ir ragina Komisiją peržiūrėti sprendimus dėl lygiavertiškumo su jurisdikciją turinčiais subjektais, kurie neįgyvendina šių standartų</w:t>
            </w:r>
            <w:r>
              <w:t>;</w:t>
            </w:r>
          </w:p>
        </w:tc>
        <w:tc>
          <w:tcPr>
            <w:tcW w:w="4876" w:type="dxa"/>
            <w:tcBorders>
              <w:top w:val="nil"/>
              <w:left w:val="nil"/>
              <w:bottom w:val="nil"/>
              <w:right w:val="nil"/>
            </w:tcBorders>
          </w:tcPr>
          <w:p>
            <w:pPr>
              <w:pStyle w:val="Normal6a"/>
            </w:pPr>
            <w:r>
              <w:t>12.</w:t>
            </w:r>
            <w:r>
              <w:tab/>
            </w:r>
            <w:r>
              <w:t>pabrėžia, kad</w:t>
            </w:r>
            <w:r>
              <w:rPr>
                <w:b/>
                <w:i/>
              </w:rPr>
              <w:t>,</w:t>
            </w:r>
            <w:r>
              <w:t xml:space="preserve"> siekiant didinti atsparumą ir konkurencingumą</w:t>
            </w:r>
            <w:r>
              <w:rPr>
                <w:b/>
                <w:i/>
              </w:rPr>
              <w:t>, išskirtinai taptautiniu mastu veikiantiems bankams</w:t>
            </w:r>
            <w:r>
              <w:t xml:space="preserve"> reikia laiku, visapusiškai ir tiksliai </w:t>
            </w:r>
            <w:r>
              <w:rPr>
                <w:b/>
                <w:i/>
              </w:rPr>
              <w:t>taikyti</w:t>
            </w:r>
            <w:r>
              <w:t xml:space="preserve"> susitarimo „Bazelis III“ standartus</w:t>
            </w:r>
            <w:r>
              <w:rPr>
                <w:b/>
                <w:i/>
              </w:rPr>
              <w:t>, kurie pastariesiems ir buvo parengti</w:t>
            </w:r>
            <w:r>
              <w:t>; apgailestauja dėl nukrypimų;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pabrėžia, kad siekiant didinti atsparumą ir konkurencingumą reikia laiku</w:t>
            </w:r>
            <w:r>
              <w:rPr>
                <w:b/>
                <w:i/>
              </w:rPr>
              <w:t>, visapusiškai</w:t>
            </w:r>
            <w:r>
              <w:t xml:space="preserve"> ir tiksliai įgyvendinti susitarimo „Bazelis III“ standartus; </w:t>
            </w:r>
            <w:r>
              <w:rPr>
                <w:b/>
                <w:i/>
              </w:rPr>
              <w:t>apgailestauja dėl nukrypimų ir</w:t>
            </w:r>
            <w:r>
              <w:t xml:space="preserve"> ragina Komisiją </w:t>
            </w:r>
            <w:r>
              <w:rPr>
                <w:b/>
                <w:i/>
              </w:rPr>
              <w:t>peržiūrėti</w:t>
            </w:r>
            <w:r>
              <w:t xml:space="preserve"> sprendimus dėl lygiavertiškumo su jurisdikciją turinčiais subjektais, kurie neįgyvendina </w:t>
            </w:r>
            <w:r>
              <w:rPr>
                <w:b/>
                <w:i/>
              </w:rPr>
              <w:t>šių</w:t>
            </w:r>
            <w:r>
              <w:t xml:space="preserve"> standartų;</w:t>
            </w:r>
          </w:p>
        </w:tc>
        <w:tc>
          <w:tcPr>
            <w:tcW w:w="4876" w:type="dxa"/>
            <w:tcBorders>
              <w:top w:val="nil"/>
              <w:left w:val="nil"/>
              <w:bottom w:val="nil"/>
              <w:right w:val="nil"/>
            </w:tcBorders>
          </w:tcPr>
          <w:p>
            <w:pPr>
              <w:pStyle w:val="Normal6a"/>
            </w:pPr>
            <w:r>
              <w:t>12.</w:t>
            </w:r>
            <w:r>
              <w:tab/>
            </w:r>
            <w:r>
              <w:t xml:space="preserve">pabrėžia, kad siekiant didinti atsparumą ir konkurencingumą reikia laiku ir tiksliai įgyvendinti susitarimo „Bazelis III“ standartus; </w:t>
            </w:r>
            <w:r>
              <w:rPr>
                <w:b/>
                <w:i/>
              </w:rPr>
              <w:t>pažymi, kad šiuo metu trūksta aiškumo dėl susitarimo „Bazelis III“ standartų įgyvendinimo kai kuriose kitose jurisdikcijose ir kad esama rizikos, jog nebus užtikrintos vienodos tarptautinės sąlygos;</w:t>
            </w:r>
            <w:r>
              <w:t xml:space="preserve"> </w:t>
            </w:r>
            <w:r>
              <w:rPr>
                <w:b/>
                <w:i/>
              </w:rPr>
              <w:t>pabrėžia, kad Komisija turėtų įvertinti, ar tiksliniai pokyčiai galėtų padėti išlaikyti tarptautinį ES bankų konkurencingumą nesumažinant jų atsparumo;</w:t>
            </w:r>
            <w:r>
              <w:t xml:space="preserve"> ragina Komisiją </w:t>
            </w:r>
            <w:r>
              <w:rPr>
                <w:b/>
                <w:i/>
              </w:rPr>
              <w:t>įvertinti, ar, siekiant išsaugoti ES finansų sektoriaus finansinis stabilumą, reikia persvarstyti</w:t>
            </w:r>
            <w:r>
              <w:t xml:space="preserve"> sprendimus dėl lygiavertiškumo</w:t>
            </w:r>
            <w:r>
              <w:rPr>
                <w:b/>
                <w:i/>
              </w:rPr>
              <w:t>, priimtus</w:t>
            </w:r>
            <w:r>
              <w:t xml:space="preserve"> su jurisdikciją turinčiais subjektais, kurie neįgyvendina </w:t>
            </w:r>
            <w:r>
              <w:rPr>
                <w:b/>
                <w:i/>
              </w:rPr>
              <w:t>susitarimo „Bazelis III“</w:t>
            </w:r>
            <w:r>
              <w:t xml:space="preserve">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w:t>
            </w:r>
            <w:r>
              <w:rPr>
                <w:b/>
                <w:i/>
              </w:rPr>
              <w:t>siekiant didinti atsparumą ir konkurencingumą reikia</w:t>
            </w:r>
            <w:r>
              <w:t xml:space="preserve"> laiku, visapusiškai ir tiksliai </w:t>
            </w:r>
            <w:r>
              <w:rPr>
                <w:b/>
                <w:i/>
              </w:rPr>
              <w:t>įgyvendinti</w:t>
            </w:r>
            <w:r>
              <w:t xml:space="preserve"> susitarimo „Bazelis III“ standartus; apgailestauja dėl nukrypimų ir ragina Komisiją </w:t>
            </w:r>
            <w:r>
              <w:rPr>
                <w:b/>
                <w:i/>
              </w:rPr>
              <w:t>peržiūrėti</w:t>
            </w:r>
            <w:r>
              <w:t xml:space="preserve"> sprendimus dėl lygiavertiškumo su jurisdikciją turinčiais subjektais, kurie </w:t>
            </w:r>
            <w:r>
              <w:rPr>
                <w:b/>
                <w:i/>
              </w:rPr>
              <w:t>neįgyvendina</w:t>
            </w:r>
            <w:r>
              <w:t xml:space="preserve"> šių standartų;</w:t>
            </w:r>
          </w:p>
        </w:tc>
        <w:tc>
          <w:tcPr>
            <w:tcW w:w="4876" w:type="dxa"/>
            <w:tcBorders>
              <w:top w:val="nil"/>
              <w:left w:val="nil"/>
              <w:bottom w:val="nil"/>
              <w:right w:val="nil"/>
            </w:tcBorders>
          </w:tcPr>
          <w:p>
            <w:pPr>
              <w:pStyle w:val="Normal6a"/>
            </w:pPr>
            <w:r>
              <w:t>12.</w:t>
            </w:r>
            <w:r>
              <w:tab/>
            </w:r>
            <w:r>
              <w:t xml:space="preserve">pabrėžia, kad laiku, visapusiškai ir tiksliai </w:t>
            </w:r>
            <w:r>
              <w:rPr>
                <w:b/>
                <w:i/>
              </w:rPr>
              <w:t>įgyvendinus</w:t>
            </w:r>
            <w:r>
              <w:t xml:space="preserve"> susitarimo „Bazelis III“ standartus</w:t>
            </w:r>
            <w:r>
              <w:rPr>
                <w:b/>
                <w:i/>
              </w:rPr>
              <w:t> bus padidintas atsparumas ir konkurencingumas</w:t>
            </w:r>
            <w:r>
              <w:t xml:space="preserve">; apgailestauja dėl nukrypimų ir ragina Komisiją </w:t>
            </w:r>
            <w:r>
              <w:rPr>
                <w:b/>
                <w:i/>
              </w:rPr>
              <w:t>iš naujo įvertinti</w:t>
            </w:r>
            <w:r>
              <w:t xml:space="preserve"> sprendimus dėl lygiavertiškumo su jurisdikciją turinčiais subjektais, kurie šių standartų</w:t>
            </w:r>
            <w:r>
              <w:rPr>
                <w:b/>
                <w:i/>
              </w:rPr>
              <w:t> neįgyvendina</w:t>
            </w:r>
            <w:r>
              <w:t xml:space="preserve">; </w:t>
            </w:r>
            <w:r>
              <w:rPr>
                <w:b/>
                <w:i/>
              </w:rPr>
              <w:t>sykiu pabrėžia, kad įgyvendinant susitarimo „Bazelis III“ standartus turėtų būti išlaikytos vienodos sąlygos visame pasaulyje, kartu vengiant nacionalinių valdžios institucijų perteklinio reglamentavimo įgyvendinant ES 3 lygio taisykles, ir siekiama, kad nebūtų daromas nenumatytas poveikis ES bankų gebėjimui finansuoti realiąją ekonomiką;</w:t>
            </w:r>
            <w:r>
              <w:t xml:space="preserve"> </w:t>
            </w:r>
            <w:r>
              <w:rPr>
                <w:b/>
                <w:i/>
              </w:rPr>
              <w:t>atsižvelgdamas į tai palankiai vertina Komisijos iniciatyvą paskelbti ataskaitą dėl ES bankų sektoriaus konkurencingumo ir integracijos ir ragina pateikti konkrečių pasiūlymų dėl paramos bankų skolinimo pajėgumams, visų pirma namų ūkiams ir MVĮ, taip pat produktyvioms privačioms ir viešosioms investicijoms, įskaitant, kai tinkama, priemones, kuriomis būtų remiamas veiksmingas mažos rizikos ir trumpalaikių finansavimo priemonių, pvz., faktoringo ir prekybos finansavimo, naudojimas;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w:t>
            </w:r>
            <w:r>
              <w:rPr>
                <w:b/>
                <w:i/>
              </w:rPr>
              <w:t>siekiant didinti</w:t>
            </w:r>
            <w:r>
              <w:t xml:space="preserve"> atsparumą ir konkurencingumą </w:t>
            </w:r>
            <w:r>
              <w:rPr>
                <w:b/>
                <w:i/>
              </w:rPr>
              <w:t>reikia laiku, visapusiškai ir tiksliai įgyvendinti susitarimo</w:t>
            </w:r>
            <w:r>
              <w:t xml:space="preserve"> „Bazelis III“ </w:t>
            </w:r>
            <w:r>
              <w:rPr>
                <w:b/>
                <w:i/>
              </w:rPr>
              <w:t>standartus;</w:t>
            </w:r>
            <w:r>
              <w:t xml:space="preserve"> </w:t>
            </w:r>
            <w:r>
              <w:rPr>
                <w:b/>
                <w:i/>
              </w:rPr>
              <w:t>apgailestauja dėl nukrypimų ir ragina Komisiją peržiūrėti sprendimus dėl lygiavertiškumo su jurisdikciją turinčiais subjektais, kurie neįgyvendina šių</w:t>
            </w:r>
            <w:r>
              <w:t xml:space="preserve"> standartų;</w:t>
            </w:r>
          </w:p>
        </w:tc>
        <w:tc>
          <w:tcPr>
            <w:tcW w:w="4876" w:type="dxa"/>
            <w:tcBorders>
              <w:top w:val="nil"/>
              <w:left w:val="nil"/>
              <w:bottom w:val="nil"/>
              <w:right w:val="nil"/>
            </w:tcBorders>
          </w:tcPr>
          <w:p>
            <w:pPr>
              <w:pStyle w:val="Normal6a"/>
            </w:pPr>
            <w:r>
              <w:t>12.</w:t>
            </w:r>
            <w:r>
              <w:tab/>
            </w:r>
            <w:r>
              <w:t xml:space="preserve">pabrėžia, kad </w:t>
            </w:r>
            <w:r>
              <w:rPr>
                <w:b/>
                <w:i/>
              </w:rPr>
              <w:t>finansinis stabilumas yra būtina veiksmingos pinigų politikos ir atsparios finansų sistemos sąlyga;</w:t>
            </w:r>
            <w:r>
              <w:t xml:space="preserve"> </w:t>
            </w:r>
            <w:r>
              <w:rPr>
                <w:b/>
                <w:i/>
              </w:rPr>
              <w:t>palankiai vertina tai, kad baigta kurti ir įgyvendinta sistema „Bazelis III“, kuri sustiprins</w:t>
            </w:r>
            <w:r>
              <w:t xml:space="preserve"> atsparumą ir konkurencingumą </w:t>
            </w:r>
            <w:r>
              <w:rPr>
                <w:b/>
                <w:i/>
              </w:rPr>
              <w:t>ES;</w:t>
            </w:r>
            <w:r>
              <w:t xml:space="preserve"> </w:t>
            </w:r>
            <w:r>
              <w:rPr>
                <w:b/>
                <w:i/>
              </w:rPr>
              <w:t>pažymi, kad ir toliau trūksta aiškumo dėl</w:t>
            </w:r>
            <w:r>
              <w:t xml:space="preserve"> „Bazelis III“ standartų </w:t>
            </w:r>
            <w:r>
              <w:rPr>
                <w:b/>
                <w:i/>
              </w:rPr>
              <w:t>įgyvendinimo kai kuriose kitose jurisdikcijose ir kad dėl to gali kilti rizika, kad nebus vienodų tarptautinių sąlygų</w:t>
            </w:r>
            <w:r>
              <w:t xml:space="preserve">; </w:t>
            </w:r>
            <w:r>
              <w:rPr>
                <w:b/>
                <w:i/>
              </w:rPr>
              <w:t>pabrėžia, kad svarbu užtikrinti tinkamą pusiausvyrą tarp finansinio stabilumo, tarptautinių sistemų laikymosi ir vienodų sąlygų tarptautiniu mastu, siekiant užtikrinti, kad Europos bankai galėtų vienodomis sąlygomis konkuruoti su kitų jurisdikcijų bankais;</w:t>
            </w:r>
            <w:r>
              <w:t xml:space="preserve"> </w:t>
            </w:r>
            <w:r>
              <w:rPr>
                <w:b/>
                <w:i/>
              </w:rPr>
              <w:t>pabrėžia, kad svarbu atsižvelgti į Europos ypatumus siekiant užtikrinti konkurencingą Europos bankų sektorių;</w:t>
            </w:r>
            <w:r>
              <w:t xml:space="preserve"> </w:t>
            </w:r>
            <w:r>
              <w:rPr>
                <w:b/>
                <w:i/>
              </w:rPr>
              <w:t>pabrėžia, kad svarbu nuosekliai ir tarptautiniu mastu suderintai įgyvendinti esminės prekybos knygos peržiūros dokumentą (FRTB);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siekiant didinti atsparumą ir konkurencingumą reikia laiku, visapusiškai ir tiksliai įgyvendinti susitarimo „Bazelis III“ standartus; </w:t>
            </w:r>
            <w:r>
              <w:rPr>
                <w:b/>
                <w:i/>
              </w:rPr>
              <w:t>apgailestauja dėl nukrypimų ir</w:t>
            </w:r>
            <w:r>
              <w:t xml:space="preserve"> ragina Komisiją </w:t>
            </w:r>
            <w:r>
              <w:rPr>
                <w:b/>
                <w:i/>
              </w:rPr>
              <w:t>peržiūrėti</w:t>
            </w:r>
            <w:r>
              <w:t xml:space="preserve"> sprendimus dėl lygiavertiškumo su jurisdikciją turinčiais subjektais, kurie neįgyvendina </w:t>
            </w:r>
            <w:r>
              <w:rPr>
                <w:b/>
                <w:i/>
              </w:rPr>
              <w:t>šių standartų</w:t>
            </w:r>
            <w:r>
              <w:t>;</w:t>
            </w:r>
          </w:p>
        </w:tc>
        <w:tc>
          <w:tcPr>
            <w:tcW w:w="4876" w:type="dxa"/>
            <w:tcBorders>
              <w:top w:val="nil"/>
              <w:left w:val="nil"/>
              <w:bottom w:val="nil"/>
              <w:right w:val="nil"/>
            </w:tcBorders>
          </w:tcPr>
          <w:p>
            <w:pPr>
              <w:pStyle w:val="Normal6a"/>
            </w:pPr>
            <w:r>
              <w:t>12.</w:t>
            </w:r>
            <w:r>
              <w:tab/>
            </w:r>
            <w:r>
              <w:t xml:space="preserve">pabrėžia, kad siekiant didinti atsparumą ir konkurencingumą reikia laiku, visapusiškai ir tiksliai įgyvendinti susitarimo „Bazelis III“ standartus; ragina Komisiją </w:t>
            </w:r>
            <w:r>
              <w:rPr>
                <w:b/>
                <w:i/>
              </w:rPr>
              <w:t>nuosekliai ir atsižvelgiant į riziką įvertinti</w:t>
            </w:r>
            <w:r>
              <w:t xml:space="preserve"> sprendimus dėl lygiavertiškumo su jurisdikciją turinčiais subjektais, kurie neįgyvendina </w:t>
            </w:r>
            <w:r>
              <w:rPr>
                <w:b/>
                <w:i/>
              </w:rPr>
              <w:t>šio susitarimo, kartu užtikrinant sąlygas konkurencijai pasaulio mastu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pabrėžia, kad siekiant didinti atsparumą ir konkurencingumą reikia laiku, visapusiškai ir tiksliai įgyvendinti susitarimo „Bazelis III“ standartus; apgailestauja dėl nukrypimų ir ragina Komisiją peržiūrėti sprendimus dėl lygiavertiškumo su jurisdikciją turinčiais subjektais, kurie neįgyvendina šių standartų;</w:t>
            </w:r>
          </w:p>
        </w:tc>
        <w:tc>
          <w:tcPr>
            <w:tcW w:w="4876" w:type="dxa"/>
            <w:tcBorders>
              <w:top w:val="nil"/>
              <w:left w:val="nil"/>
              <w:bottom w:val="nil"/>
              <w:right w:val="nil"/>
            </w:tcBorders>
          </w:tcPr>
          <w:p>
            <w:pPr>
              <w:pStyle w:val="Normal6a"/>
            </w:pPr>
            <w:r>
              <w:t>12.</w:t>
            </w:r>
            <w:r>
              <w:tab/>
            </w:r>
            <w:r>
              <w:t>pabrėžia, kad siekiant didinti atsparumą ir konkurencingumą reikia laiku, visapusiškai ir tiksliai įgyvendinti susitarimo „Bazelis III“ standartus</w:t>
            </w:r>
            <w:r>
              <w:rPr>
                <w:b/>
                <w:i/>
              </w:rPr>
              <w:t>, įskaitant esminės prekybos knygos peržiūros dokumentą (FRTB);</w:t>
            </w:r>
            <w:r>
              <w:t xml:space="preserve"> </w:t>
            </w:r>
            <w:r>
              <w:rPr>
                <w:b/>
                <w:i/>
              </w:rPr>
              <w:t>primena, kad BPM keletą kartų pakartojo, kad FRTB įgyvendinimas sustiprintų ES bankų atsparumą ir nepakenktų jų konkurencingumui</w:t>
            </w:r>
            <w:r>
              <w:t xml:space="preserve">; apgailestauja dėl nukrypimų ir ragina Komisiją peržiūrėti sprendimus dėl lygiavertiškumo su jurisdikciją turinčiais subjektais, kurie neįgyvendina šių standartų; </w:t>
            </w:r>
            <w:r>
              <w:rPr>
                <w:b/>
                <w:i/>
              </w:rPr>
              <w:t>pabrėžia, kad iki šiol ES Bazelio susitarimo laikosi mažiau nei kai kurios kitos tarptautinės šalys;</w:t>
            </w:r>
            <w:r>
              <w:t xml:space="preserve"> </w:t>
            </w:r>
            <w:r>
              <w:rPr>
                <w:b/>
                <w:i/>
              </w:rPr>
              <w:t>mano, kad dėl nepakankamo įgyvendinimo kitose tarptautinėse jurisdikcijose didėja rizika, su kuria susiduria ES bankai, ir kad į tai reikėtų tinkamai atsižvelgti priežiūros sistemoje;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pabrėžia, kad siekiant didinti atsparumą ir konkurencingumą reikia laiku, visapusiškai ir tiksliai įgyvendinti susitarimo „Bazelis III“ standartus; apgailestauja dėl nukrypimų ir ragina Komisiją peržiūrėti sprendimus dėl lygiavertiškumo su jurisdikciją turinčiais subjektais, kurie neįgyvendina šių standartų;</w:t>
            </w:r>
          </w:p>
        </w:tc>
        <w:tc>
          <w:tcPr>
            <w:tcW w:w="4876" w:type="dxa"/>
            <w:tcBorders>
              <w:top w:val="nil"/>
              <w:left w:val="nil"/>
              <w:bottom w:val="nil"/>
              <w:right w:val="nil"/>
            </w:tcBorders>
          </w:tcPr>
          <w:p>
            <w:pPr>
              <w:pStyle w:val="Normal6a"/>
            </w:pPr>
            <w:r>
              <w:t>12.</w:t>
            </w:r>
            <w:r>
              <w:tab/>
            </w:r>
            <w:r>
              <w:t xml:space="preserve">pabrėžia, kad siekiant didinti atsparumą ir konkurencingumą reikia laiku, visapusiškai ir tiksliai įgyvendinti susitarimo „Bazelis III“ standartus; apgailestauja dėl nukrypimų ir ragina Komisiją peržiūrėti sprendimus dėl lygiavertiškumo su jurisdikciją turinčiais subjektais, kurie neįgyvendina šių standartų; </w:t>
            </w:r>
            <w:r>
              <w:rPr>
                <w:b/>
                <w:i/>
              </w:rPr>
              <w:t>pabrėžia, kad ES nukrypimai nuo visiško susitarimo „Bazelis III“ įgyvendinimo, įskaitant laipsniškus koregavimus ir atidėtas rinkos rizikos taisykles, kenkia tiek konkurencingumui, tiek finansiniam stabilumui, nes sudaro sąlygas reglamentavimo arbitražui ir nenuosekliam rizikos vertinimui;</w:t>
            </w:r>
            <w:r>
              <w:t xml:space="preserve"> </w:t>
            </w:r>
            <w:r>
              <w:rPr>
                <w:b/>
                <w:i/>
              </w:rPr>
              <w:t>šie nukrypimai turėtų būti skubiai pašalinti, kad ES bankų veiklos reikalavimai būtų suderinti su kitų pasaulio bankų veiklos reikalavimais;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pažymi, kad bankai vis dažniau susiduria su nebankiniais finansiniais tarpininkais, todėl kyla įvairi rizika – nuo likvidumo iki sandorio šalies rizikos;</w:t>
            </w:r>
            <w:r>
              <w:t xml:space="preserve"> </w:t>
            </w:r>
            <w:r>
              <w:rPr>
                <w:b/>
                <w:i/>
              </w:rPr>
              <w:t>pabrėžia, kad reikia visapusiškos nebankinių finansų įstaigų sektoriaus priežiūros Europos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atkreipia dėmesį į ECB išvadas, kad dideli kapitalo reikalavimai netrukdo bankų konkurencingumui, o veikiau užtikrina bankų atsparumą ir gebėjimą finansuoti ekonomiką per visą ciklą;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apgailestauja dėl to, kad vis dažniau uždaromi bankų filialai, o tai daro poveikį pažeidžiamoms ir periferinėms bendruomenėms;</w:t>
            </w:r>
            <w:r>
              <w:t xml:space="preserve"> </w:t>
            </w:r>
            <w:r>
              <w:rPr>
                <w:b/>
                <w:i/>
              </w:rPr>
              <w:t>pabrėžia mažesnių bankų vaidmenį suteikiant galimybę namų ūkiams naudotis paslaugomis;</w:t>
            </w:r>
            <w:r>
              <w:t xml:space="preserve"> </w:t>
            </w:r>
            <w:r>
              <w:rPr>
                <w:b/>
                <w:i/>
              </w:rPr>
              <w:t>susirūpinęs atkreipia dėmesį į dirbtinio intelekto nulemtą darbo vietų praradimą;</w:t>
            </w:r>
            <w:r>
              <w:t xml:space="preserve"> </w:t>
            </w:r>
            <w:r>
              <w:rPr>
                <w:b/>
                <w:i/>
              </w:rPr>
              <w:t>pabrėžia, kad reikia užtikrinti darbo vietų kokybę, sąžiningas sąlygas ir vienodas galimybes naudotis bankų paslaugomis;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apgailestauja dėl to</w:t>
            </w:r>
            <w:r>
              <w:t>, kad vis dažniau uždaromi bankų filialai</w:t>
            </w:r>
            <w:r>
              <w:rPr>
                <w:b/>
                <w:i/>
              </w:rPr>
              <w:t>, o tai daro poveikį pažeidžiamoms ir periferinėms bendruomenėms</w:t>
            </w:r>
            <w:r>
              <w:t xml:space="preserve">; pabrėžia mažesnių bankų vaidmenį suteikiant galimybę namų ūkiams naudotis paslaugomis; </w:t>
            </w:r>
            <w:r>
              <w:rPr>
                <w:b/>
                <w:i/>
              </w:rPr>
              <w:t>susirūpinęs atkreipia dėmesį į dirbtinio intelekto nulemtą darbo vietų praradimą;</w:t>
            </w:r>
            <w:r>
              <w:t xml:space="preserve"> pabrėžia, kad reikia </w:t>
            </w:r>
            <w:r>
              <w:rPr>
                <w:b/>
                <w:i/>
              </w:rPr>
              <w:t>užtikrinti darbo vietų kokybę, sąžiningas sąlygas ir vienodas galimybes naudotis</w:t>
            </w:r>
            <w:r>
              <w:t xml:space="preserve"> bankų </w:t>
            </w:r>
            <w:r>
              <w:rPr>
                <w:b/>
                <w:i/>
              </w:rPr>
              <w:t>paslaugomis</w:t>
            </w:r>
            <w:r>
              <w:t>;</w:t>
            </w:r>
          </w:p>
        </w:tc>
        <w:tc>
          <w:tcPr>
            <w:tcW w:w="4876" w:type="dxa"/>
            <w:tcBorders>
              <w:top w:val="nil"/>
              <w:left w:val="nil"/>
              <w:bottom w:val="nil"/>
              <w:right w:val="nil"/>
            </w:tcBorders>
          </w:tcPr>
          <w:p>
            <w:pPr>
              <w:pStyle w:val="Normal6a"/>
            </w:pPr>
            <w:r>
              <w:t>13.</w:t>
            </w:r>
            <w:r>
              <w:tab/>
            </w:r>
            <w:r>
              <w:rPr>
                <w:b/>
                <w:i/>
              </w:rPr>
              <w:t>atkreipia dėmesį į tai</w:t>
            </w:r>
            <w:r>
              <w:t xml:space="preserve">, kad vis dažniau uždaromi bankų filialai; pabrėžia mažesnių bankų vaidmenį suteikiant galimybę namų ūkiams </w:t>
            </w:r>
            <w:r>
              <w:rPr>
                <w:b/>
                <w:i/>
              </w:rPr>
              <w:t>ir vietos įmonėms</w:t>
            </w:r>
            <w:r>
              <w:t xml:space="preserve"> naudotis paslaugomis; pabrėžia, kad</w:t>
            </w:r>
            <w:r>
              <w:rPr>
                <w:b/>
                <w:i/>
              </w:rPr>
              <w:t>, laikantis proporcingumo principo, priežiūros ir rizikos ribojimo reguliavimą</w:t>
            </w:r>
            <w:r>
              <w:t xml:space="preserve"> reikia </w:t>
            </w:r>
            <w:r>
              <w:rPr>
                <w:b/>
                <w:i/>
              </w:rPr>
              <w:t>pritaikyti prie mažesnių</w:t>
            </w:r>
            <w:r>
              <w:t xml:space="preserve"> bankų </w:t>
            </w:r>
            <w:r>
              <w:rPr>
                <w:b/>
                <w:i/>
              </w:rPr>
              <w:t>dydžio, sudėtingumo ir rizikos profilio, kad būtų pašalinta nepagrįsta reguliavimo našta, kuri trukdo jų gebėjimui augti, konkuruoti ir toliau tarnauti realiajai ekonomikai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apgailestauja dėl to, kad vis dažniau uždaromi</w:t>
            </w:r>
            <w:r>
              <w:t xml:space="preserve"> bankų </w:t>
            </w:r>
            <w:r>
              <w:rPr>
                <w:b/>
                <w:i/>
              </w:rPr>
              <w:t>filialai, o tai daro</w:t>
            </w:r>
            <w:r>
              <w:t xml:space="preserve"> poveikį pažeidžiamoms ir periferinėms bendruomenėms; pabrėžia mažesnių bankų vaidmenį suteikiant galimybę namų ūkiams naudotis paslaugomis; susirūpinęs atkreipia dėmesį į </w:t>
            </w:r>
            <w:r>
              <w:rPr>
                <w:b/>
                <w:i/>
              </w:rPr>
              <w:t>dirbtinio intelekto nulemtą</w:t>
            </w:r>
            <w:r>
              <w:t xml:space="preserve"> darbo vietų praradimą; pabrėžia, kad reikia užtikrinti darbo vietų kokybę, sąžiningas sąlygas ir vienodas galimybes naudotis bankų paslaugomis;</w:t>
            </w:r>
          </w:p>
        </w:tc>
        <w:tc>
          <w:tcPr>
            <w:tcW w:w="4876" w:type="dxa"/>
            <w:tcBorders>
              <w:top w:val="nil"/>
              <w:left w:val="nil"/>
              <w:bottom w:val="nil"/>
              <w:right w:val="nil"/>
            </w:tcBorders>
          </w:tcPr>
          <w:p>
            <w:pPr>
              <w:pStyle w:val="Normal6a"/>
            </w:pPr>
            <w:r>
              <w:t>13.</w:t>
            </w:r>
            <w:r>
              <w:tab/>
            </w:r>
            <w:r>
              <w:rPr>
                <w:b/>
                <w:i/>
              </w:rPr>
              <w:t>atkreipia dėmesį į tai, kad įvairiose valstybėse narėse skirtingu mastu uždaroma vis daugiau</w:t>
            </w:r>
            <w:r>
              <w:t xml:space="preserve"> bankų </w:t>
            </w:r>
            <w:r>
              <w:rPr>
                <w:b/>
                <w:i/>
              </w:rPr>
              <w:t>filialų;</w:t>
            </w:r>
            <w:r>
              <w:t xml:space="preserve"> </w:t>
            </w:r>
            <w:r>
              <w:rPr>
                <w:b/>
                <w:i/>
              </w:rPr>
              <w:t>pripažįsta galimą didelį</w:t>
            </w:r>
            <w:r>
              <w:t xml:space="preserve"> poveikį</w:t>
            </w:r>
            <w:r>
              <w:rPr>
                <w:b/>
                <w:i/>
              </w:rPr>
              <w:t>, kurį šie uždarymai gali turėti</w:t>
            </w:r>
            <w:r>
              <w:t xml:space="preserve"> pažeidžiamoms ir periferinėms bendruomenėms</w:t>
            </w:r>
            <w:r>
              <w:rPr>
                <w:b/>
                <w:i/>
              </w:rPr>
              <w:t>, tačiau sykiu pabrėžia inovacijų pavyzdžius, nes dėl technologinės plėtros kai kurie naudotojai gali naudotis geresnėmis paslaugomis nuotoliniu būdu;</w:t>
            </w:r>
            <w:r>
              <w:t xml:space="preserve"> </w:t>
            </w:r>
            <w:r>
              <w:rPr>
                <w:b/>
                <w:i/>
              </w:rPr>
              <w:t>primena įvairių bankų bendradarbiavimo teikiant fizines banko paslaugas klientams tiek kaimo, tiek miesto vietovėse pavyzdžius, nepaisant kai kurių bankų filialų uždarymo</w:t>
            </w:r>
            <w:r>
              <w:t xml:space="preserve">; pabrėžia mažesnių bankų vaidmenį suteikiant galimybę namų ūkiams naudotis paslaugomis; </w:t>
            </w:r>
            <w:r>
              <w:rPr>
                <w:b/>
                <w:i/>
              </w:rPr>
              <w:t>pabrėžia didesnių bankų indėlį į Europos ekonomikos konkurencingumą ir finansavimą;</w:t>
            </w:r>
            <w:r>
              <w:t xml:space="preserve"> susirūpinęs atkreipia dėmesį į </w:t>
            </w:r>
            <w:r>
              <w:rPr>
                <w:b/>
                <w:i/>
              </w:rPr>
              <w:t>su dirbtiniu intelektu susijusį</w:t>
            </w:r>
            <w:r>
              <w:t xml:space="preserve"> darbo vietų praradimą </w:t>
            </w:r>
            <w:r>
              <w:rPr>
                <w:b/>
                <w:i/>
              </w:rPr>
              <w:t>ir galimus pavojus, susijusius su dirbtiniu intelektu, dėl kurių bankų balansuose atsiranda rizikos koncentracija</w:t>
            </w:r>
            <w:r>
              <w:t xml:space="preserve">; pabrėžia, kad reikia užtikrinti </w:t>
            </w:r>
            <w:r>
              <w:rPr>
                <w:b/>
                <w:i/>
              </w:rPr>
              <w:t>kokybišką rizikos valdymą,</w:t>
            </w:r>
            <w:r>
              <w:t xml:space="preserve"> darbo vietų kokybę, sąžiningas sąlygas ir vienodas galimybes naudotis bankų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apgailestauja dėl to, kad vis dažniau uždaromi bankų filialai, o tai daro poveikį pažeidžiamoms ir periferinėms bendruomenėms; pabrėžia mažesnių bankų vaidmenį suteikiant galimybę namų ūkiams naudotis paslaugomis</w:t>
            </w:r>
            <w:r>
              <w:rPr>
                <w:b/>
                <w:i/>
              </w:rPr>
              <w:t>;</w:t>
            </w:r>
            <w:r>
              <w:t xml:space="preserve"> </w:t>
            </w:r>
            <w:r>
              <w:rPr>
                <w:b/>
                <w:i/>
              </w:rPr>
              <w:t>susirūpinęs atkreipia dėmesį į dirbtinio intelekto nulemtą darbo vietų praradimą;</w:t>
            </w:r>
            <w:r>
              <w:t xml:space="preserve"> pabrėžia, kad reikia </w:t>
            </w:r>
            <w:r>
              <w:rPr>
                <w:b/>
                <w:i/>
              </w:rPr>
              <w:t>užtikrinti darbo vietų kokybę, sąžiningas sąlygas ir vienodas galimybes naudotis</w:t>
            </w:r>
            <w:r>
              <w:t xml:space="preserve"> bankų </w:t>
            </w:r>
            <w:r>
              <w:rPr>
                <w:b/>
                <w:i/>
              </w:rPr>
              <w:t>paslaugomis</w:t>
            </w:r>
            <w:r>
              <w:t>;</w:t>
            </w:r>
          </w:p>
        </w:tc>
        <w:tc>
          <w:tcPr>
            <w:tcW w:w="4876" w:type="dxa"/>
            <w:tcBorders>
              <w:top w:val="nil"/>
              <w:left w:val="nil"/>
              <w:bottom w:val="nil"/>
              <w:right w:val="nil"/>
            </w:tcBorders>
          </w:tcPr>
          <w:p>
            <w:pPr>
              <w:pStyle w:val="Normal6a"/>
            </w:pPr>
            <w:r>
              <w:t>13.</w:t>
            </w:r>
            <w:r>
              <w:tab/>
            </w:r>
            <w:r>
              <w:t>apgailestauja dėl to, kad vis dažniau uždaromi bankų filialai, o tai daro poveikį pažeidžiamoms ir periferinėms bendruomenėms; pabrėžia</w:t>
            </w:r>
            <w:r>
              <w:rPr>
                <w:b/>
                <w:i/>
              </w:rPr>
              <w:t>, kad šią tendenciją bent iš dalies lemia pernelyg didelė reglamentavimo našta;</w:t>
            </w:r>
            <w:r>
              <w:t xml:space="preserve"> </w:t>
            </w:r>
            <w:r>
              <w:rPr>
                <w:b/>
                <w:i/>
              </w:rPr>
              <w:t>pabrėžia</w:t>
            </w:r>
            <w:r>
              <w:t xml:space="preserve"> mažesnių bankų vaidmenį suteikiant galimybę namų ūkiams naudotis paslaugomis </w:t>
            </w:r>
            <w:r>
              <w:rPr>
                <w:b/>
                <w:i/>
              </w:rPr>
              <w:t>ir</w:t>
            </w:r>
            <w:r>
              <w:t xml:space="preserve"> pabrėžia, kad reikia </w:t>
            </w:r>
            <w:r>
              <w:rPr>
                <w:b/>
                <w:i/>
              </w:rPr>
              <w:t>toliau plėtoti mažų</w:t>
            </w:r>
            <w:r>
              <w:t xml:space="preserve"> bankų </w:t>
            </w:r>
            <w:r>
              <w:rPr>
                <w:b/>
                <w:i/>
              </w:rPr>
              <w:t>režimą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apgailestauja dėl to, kad vis dažniau uždaromi bankų filialai, o tai daro poveikį pažeidžiamoms ir periferinėms bendruomenėms; pabrėžia mažesnių bankų vaidmenį suteikiant galimybę namų ūkiams naudotis paslaugomis; susirūpinęs atkreipia dėmesį į dirbtinio intelekto nulemtą darbo vietų praradimą; pabrėžia, kad reikia užtikrinti darbo vietų kokybę, sąžiningas sąlygas ir vienodas galimybes naudotis bankų paslaugomis;</w:t>
            </w:r>
          </w:p>
        </w:tc>
        <w:tc>
          <w:tcPr>
            <w:tcW w:w="4876" w:type="dxa"/>
            <w:tcBorders>
              <w:top w:val="nil"/>
              <w:left w:val="nil"/>
              <w:bottom w:val="nil"/>
              <w:right w:val="nil"/>
            </w:tcBorders>
          </w:tcPr>
          <w:p>
            <w:pPr>
              <w:pStyle w:val="Normal6a"/>
            </w:pPr>
            <w:r>
              <w:t>13.</w:t>
            </w:r>
            <w:r>
              <w:tab/>
            </w:r>
            <w:r>
              <w:t xml:space="preserve">apgailestauja dėl to, kad vis dažniau uždaromi bankų filialai, o tai daro poveikį pažeidžiamoms ir periferinėms bendruomenėms; </w:t>
            </w:r>
            <w:r>
              <w:rPr>
                <w:b/>
                <w:i/>
              </w:rPr>
              <w:t>primena piliečių teises naudotis pagrindinėmis finansinėmis paslaugomis;</w:t>
            </w:r>
            <w:r>
              <w:t xml:space="preserve"> pabrėžia mažesnių bankų vaidmenį suteikiant galimybę namų ūkiams naudotis paslaugomis; </w:t>
            </w:r>
            <w:r>
              <w:rPr>
                <w:b/>
                <w:i/>
              </w:rPr>
              <w:t>pabrėžia, kad bankų verslo modelių įvairovė didina finansų sistemos atsparumą;</w:t>
            </w:r>
            <w:r>
              <w:t xml:space="preserve"> susirūpinęs atkreipia dėmesį į dirbtinio intelekto nulemtą darbo vietų praradimą</w:t>
            </w:r>
            <w:r>
              <w:rPr>
                <w:b/>
                <w:i/>
              </w:rPr>
              <w:t>;</w:t>
            </w:r>
            <w:r>
              <w:t xml:space="preserve"> </w:t>
            </w:r>
            <w:r>
              <w:rPr>
                <w:b/>
                <w:i/>
              </w:rPr>
              <w:t>ragina kredito įstaigas įgyvendinti perkvalifikavimo politiką ir užtikrinti žmogaus vykdomą automatizuotų sprendimų priežiūrą</w:t>
            </w:r>
            <w:r>
              <w:t>; pabrėžia, kad reikia užtikrinti darbo vietų kokybę, sąžiningas sąlygas ir vienodas galimybes naudotis bankų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apgailestauja dėl to, kad vis dažniau uždaromi bankų filialai, o tai daro poveikį pažeidžiamoms </w:t>
            </w:r>
            <w:r>
              <w:rPr>
                <w:b/>
                <w:i/>
              </w:rPr>
              <w:t>ir periferinėms</w:t>
            </w:r>
            <w:r>
              <w:t xml:space="preserve"> bendruomenėms; pabrėžia mažesnių bankų vaidmenį suteikiant galimybę namų ūkiams naudotis paslaugomis; </w:t>
            </w:r>
            <w:r>
              <w:rPr>
                <w:b/>
                <w:i/>
              </w:rPr>
              <w:t>susirūpinęs atkreipia dėmesį į</w:t>
            </w:r>
            <w:r>
              <w:t xml:space="preserve"> dirbtinio intelekto </w:t>
            </w:r>
            <w:r>
              <w:rPr>
                <w:b/>
                <w:i/>
              </w:rPr>
              <w:t>nulemtą darbo vietų praradimą;</w:t>
            </w:r>
            <w:r>
              <w:t xml:space="preserve"> </w:t>
            </w:r>
            <w:r>
              <w:rPr>
                <w:b/>
                <w:i/>
              </w:rPr>
              <w:t>pabrėžia, kad reikia užtikrinti</w:t>
            </w:r>
            <w:r>
              <w:t xml:space="preserve"> darbo vietų kokybę, sąžiningas sąlygas ir vienodas galimybes naudotis </w:t>
            </w:r>
            <w:r>
              <w:rPr>
                <w:b/>
                <w:i/>
              </w:rPr>
              <w:t>bankų</w:t>
            </w:r>
            <w:r>
              <w:t xml:space="preserve"> paslaugomis;</w:t>
            </w:r>
          </w:p>
        </w:tc>
        <w:tc>
          <w:tcPr>
            <w:tcW w:w="4876" w:type="dxa"/>
            <w:tcBorders>
              <w:top w:val="nil"/>
              <w:left w:val="nil"/>
              <w:bottom w:val="nil"/>
              <w:right w:val="nil"/>
            </w:tcBorders>
          </w:tcPr>
          <w:p>
            <w:pPr>
              <w:pStyle w:val="Normal6a"/>
            </w:pPr>
            <w:r>
              <w:t>13.</w:t>
            </w:r>
            <w:r>
              <w:tab/>
            </w:r>
            <w:r>
              <w:t xml:space="preserve">apgailestauja dėl to, kad </w:t>
            </w:r>
            <w:r>
              <w:rPr>
                <w:b/>
                <w:i/>
              </w:rPr>
              <w:t>kaimo vietovėse</w:t>
            </w:r>
            <w:r>
              <w:t xml:space="preserve"> vis dažniau uždaromi bankų filialai, o tai daro poveikį pažeidžiamoms bendruomenėms; pabrėžia mažesnių bankų vaidmenį suteikiant galimybę namų ūkiams naudotis paslaugomis; </w:t>
            </w:r>
            <w:r>
              <w:rPr>
                <w:b/>
                <w:i/>
              </w:rPr>
              <w:t>pabrėžia skaitmeninimo ir</w:t>
            </w:r>
            <w:r>
              <w:t xml:space="preserve"> dirbtinio intelekto </w:t>
            </w:r>
            <w:r>
              <w:rPr>
                <w:b/>
                <w:i/>
              </w:rPr>
              <w:t>svarbą didinant bankų sektoriaus veiksmingumą, pvz., racionalizuojant operacijas, mažinant išlaidas ir gerinant klientų aptarnavimo spartą ir kokybę, kartu užtikrinant</w:t>
            </w:r>
            <w:r>
              <w:t xml:space="preserve"> darbo vietų kokybę, sąžiningas sąlygas ir vienodas galimybes naudotis </w:t>
            </w:r>
            <w:r>
              <w:rPr>
                <w:b/>
                <w:i/>
              </w:rPr>
              <w:t>bankininkystės</w:t>
            </w:r>
            <w:r>
              <w:t xml:space="preserve">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apgailestauja dėl to, kad vis dažniau uždaromi bankų filialai, o tai daro poveikį pažeidžiamoms ir periferinėms bendruomenėms; pabrėžia mažesnių bankų vaidmenį suteikiant galimybę namų ūkiams naudotis paslaugomis; susirūpinęs atkreipia dėmesį į dirbtinio intelekto nulemtą darbo vietų praradimą; pabrėžia, kad reikia užtikrinti darbo vietų kokybę, sąžiningas sąlygas ir vienodas galimybes naudotis bankų paslaugomis;</w:t>
            </w:r>
          </w:p>
        </w:tc>
        <w:tc>
          <w:tcPr>
            <w:tcW w:w="4876" w:type="dxa"/>
            <w:tcBorders>
              <w:top w:val="nil"/>
              <w:left w:val="nil"/>
              <w:bottom w:val="nil"/>
              <w:right w:val="nil"/>
            </w:tcBorders>
          </w:tcPr>
          <w:p>
            <w:pPr>
              <w:pStyle w:val="Normal6a"/>
            </w:pPr>
            <w:r>
              <w:t>13.</w:t>
            </w:r>
            <w:r>
              <w:tab/>
            </w:r>
            <w:r>
              <w:t>apgailestauja dėl to, kad vis dažniau uždaromi bankų filialai, o tai daro poveikį pažeidžiamoms ir periferinėms bendruomenėms</w:t>
            </w:r>
            <w:r>
              <w:rPr>
                <w:b/>
                <w:i/>
              </w:rPr>
              <w:t>, be kita ko, dėl didėjančios reguliavimo naštos</w:t>
            </w:r>
            <w:r>
              <w:t xml:space="preserve">; pabrėžia mažesnių bankų vaidmenį suteikiant galimybę namų ūkiams naudotis paslaugomis; susirūpinęs atkreipia dėmesį į dirbtinio intelekto nulemtą darbo vietų praradimą; pabrėžia, kad reikia užtikrinti darbo vietų kokybę, sąžiningas sąlygas ir vienodas galimybes naudotis bankų paslaugomis; </w:t>
            </w:r>
            <w:r>
              <w:rPr>
                <w:b/>
                <w:i/>
              </w:rPr>
              <w:t>palankiai vertina požiūrį, pagal kurį siekiama įgyvendinti mažų bankų režimą;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apgailestauja dėl to, kad vis dažniau uždaromi bankų filialai, o tai daro poveikį pažeidžiamoms ir periferinėms bendruomenėms; pabrėžia mažesnių bankų vaidmenį suteikiant galimybę namų ūkiams naudotis paslaugomis; susirūpinęs atkreipia dėmesį į dirbtinio intelekto nulemtą darbo vietų praradimą; pabrėžia, kad reikia užtikrinti darbo vietų kokybę, sąžiningas sąlygas ir vienodas galimybes naudotis bankų paslaugomis;</w:t>
            </w:r>
          </w:p>
        </w:tc>
        <w:tc>
          <w:tcPr>
            <w:tcW w:w="4876" w:type="dxa"/>
            <w:tcBorders>
              <w:top w:val="nil"/>
              <w:left w:val="nil"/>
              <w:bottom w:val="nil"/>
              <w:right w:val="nil"/>
            </w:tcBorders>
          </w:tcPr>
          <w:p>
            <w:pPr>
              <w:pStyle w:val="Normal6a"/>
            </w:pPr>
            <w:r>
              <w:t>13.</w:t>
            </w:r>
            <w:r>
              <w:tab/>
            </w:r>
            <w:r>
              <w:t>apgailestauja dėl to, kad vis dažniau uždaromi bankų filialai, o tai daro poveikį pažeidžiamoms ir periferinėms bendruomenėms</w:t>
            </w:r>
            <w:r>
              <w:rPr>
                <w:b/>
                <w:i/>
              </w:rPr>
              <w:t>, be kita ko, dėl didėjančios reguliavimo naštos</w:t>
            </w:r>
            <w:r>
              <w:t xml:space="preserve">; pabrėžia mažesnių bankų vaidmenį suteikiant galimybę namų ūkiams naudotis paslaugomis; susirūpinęs atkreipia dėmesį į dirbtinio intelekto nulemtą darbo vietų praradimą; pabrėžia, kad reikia užtikrinti darbo vietų kokybę, sąžiningas sąlygas ir vienodas galimybes naudotis bankų paslaugomis; </w:t>
            </w:r>
            <w:r>
              <w:rPr>
                <w:b/>
                <w:i/>
              </w:rPr>
              <w:t>palankiai vertina požiūrį, pagal kurį siekiama įgyvendinti mažų bankų režimą;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apgailestauja dėl to, kad vis dažniau uždaromi bankų filialai</w:t>
            </w:r>
            <w:r>
              <w:rPr>
                <w:b/>
                <w:i/>
              </w:rPr>
              <w:t>, o tai daro</w:t>
            </w:r>
            <w:r>
              <w:t xml:space="preserve"> poveikį pažeidžiamoms ir periferinėms bendruomenėms; pabrėžia mažesnių bankų vaidmenį suteikiant galimybę namų ūkiams naudotis paslaugomis; susirūpinęs atkreipia dėmesį į dirbtinio intelekto nulemtą darbo vietų praradimą; pabrėžia, kad reikia užtikrinti darbo vietų kokybę, sąžiningas sąlygas ir vienodas galimybes naudotis bankų paslaugomis;</w:t>
            </w:r>
          </w:p>
        </w:tc>
        <w:tc>
          <w:tcPr>
            <w:tcW w:w="4876" w:type="dxa"/>
            <w:tcBorders>
              <w:top w:val="nil"/>
              <w:left w:val="nil"/>
              <w:bottom w:val="nil"/>
              <w:right w:val="nil"/>
            </w:tcBorders>
          </w:tcPr>
          <w:p>
            <w:pPr>
              <w:pStyle w:val="Normal6a"/>
            </w:pPr>
            <w:r>
              <w:t>13.</w:t>
            </w:r>
            <w:r>
              <w:tab/>
            </w:r>
            <w:r>
              <w:t xml:space="preserve">apgailestauja dėl to, kad vis dažniau uždaromi bankų filialai </w:t>
            </w:r>
            <w:r>
              <w:rPr>
                <w:b/>
                <w:i/>
              </w:rPr>
              <w:t>iš dalies dėl didėjančios reguliavimo naštos;</w:t>
            </w:r>
            <w:r>
              <w:t xml:space="preserve"> </w:t>
            </w:r>
            <w:r>
              <w:rPr>
                <w:b/>
                <w:i/>
              </w:rPr>
              <w:t>į tai atsižvelgdamas, palankiai vertina požiūrį, pagal kurį siekiama įgyvendinti mažų bankų režimą;</w:t>
            </w:r>
            <w:r>
              <w:t xml:space="preserve"> </w:t>
            </w:r>
            <w:r>
              <w:rPr>
                <w:b/>
                <w:i/>
              </w:rPr>
              <w:t>taip pat pažymi, kad šie uždarymai daro neproporcingą</w:t>
            </w:r>
            <w:r>
              <w:t xml:space="preserve"> poveikį pažeidžiamoms ir periferinėms bendruomenėms; pabrėžia mažesnių bankų vaidmenį suteikiant galimybę namų ūkiams naudotis paslaugomis; susirūpinęs atkreipia dėmesį į dirbtinio intelekto nulemtą darbo vietų praradimą; pabrėžia, kad reikia užtikrinti darbo vietų kokybę, sąžiningas sąlygas ir vienodas galimybes naudotis bankų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pabrėžia sparčiai plintančio bankų filialų uždarymo reiškinio rimtumą ir su tuo susijusią riziką, kad tam tikruose regionuose nebus teikiamos banko paslaugos, –tai daro ypač neigiamą poveikį pažeidžiamiems piliečiams ir regionams, kuriuos labiausiai paveikė skaitmeninė atskirtis;</w:t>
            </w:r>
            <w:r>
              <w:t xml:space="preserve"> </w:t>
            </w:r>
            <w:r>
              <w:rPr>
                <w:b/>
                <w:i/>
              </w:rPr>
              <w:t>pabrėžia itin svarbų vidutinių ir mažų bankų vaidmenį užtikrinant pagrindines bankininkystės paslaugas, ypač ES kaimo, kalnuotose, vidaus vandenų, salų ir atokiausiose vietovėse, kuriomis remiamos šeimos, MVĮ ir vietos ekonomika;</w:t>
            </w:r>
            <w:r>
              <w:t xml:space="preserve"> </w:t>
            </w:r>
            <w:r>
              <w:rPr>
                <w:b/>
                <w:i/>
              </w:rPr>
              <w:t>pabrėžia, kad šiems subjektams, kurie atlieka svarbią socialinę ir ekonominę funkciją, reikia sumažinti reguliavimo naštą bankų priežiūros srityje taikant proporcingumo principą;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pripažįsta struktūrinius bankų verslo modelių pokyčius, be kita ko, susijusius su skaitmeninimu, ir pabrėžia, jog svarbu užtikrinti, kad šeimos ir MVĮ ir toliau galėtų veiksmingai naudotis pagrindinėmis finansinėmis paslaugomis;</w:t>
            </w:r>
            <w:r>
              <w:t xml:space="preserve"> </w:t>
            </w:r>
            <w:r>
              <w:rPr>
                <w:b/>
                <w:i/>
              </w:rPr>
              <w:t>atkreipia dėmesį į vaidmenį, kurį šiomis aplinkybėmis gali atlikti mažesni subjektai ir nauji skaitmeniniai kanalai;</w:t>
            </w:r>
            <w:r>
              <w:t xml:space="preserve"> </w:t>
            </w:r>
            <w:r>
              <w:rPr>
                <w:b/>
                <w:i/>
              </w:rPr>
              <w:t>pažymi, kad naujų technologijų, įskaitant dirbtinį intelektą, diegimas turi būti valdomas atsakingai, skatinant įgūdžių pritaikymą ir našumą, nesudarant kliūčių Europos finansų sektoriaus inovacijoms ir konkurencingumui;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ragina Komisiją apsvarstyti galimybę imtis iniciatyvų, kuriomis būtų siekiama užtikrinti minimalias fizines galimybes vienodai naudotis finansinėmis paslaugomis visose valstybėse narėse, ir įvertinti, ar reaguojant į bankų filialų uždarymo reiškinį dalį išaugusio pelno būtų galima skirti bankų filialų tinklui remti;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pripažįsta </w:t>
            </w:r>
            <w:r>
              <w:rPr>
                <w:b/>
                <w:i/>
              </w:rPr>
              <w:t>su kriptoturtu susijusią</w:t>
            </w:r>
            <w:r>
              <w:t xml:space="preserve"> riziką ir galimybes; ragina </w:t>
            </w:r>
            <w:r>
              <w:rPr>
                <w:b/>
                <w:i/>
              </w:rPr>
              <w:t>vykdyti nuoseklią</w:t>
            </w:r>
            <w:r>
              <w:t xml:space="preserve"> priežiūrą </w:t>
            </w:r>
            <w:r>
              <w:rPr>
                <w:b/>
                <w:i/>
              </w:rPr>
              <w:t>siekiant užtikrinti, kad inovacijos būtų naudingos visuomenei</w:t>
            </w:r>
            <w:r>
              <w:t>; ragina ES ir nacionalines valdžios institucijas stebėti poveikį, šalinti spekuliacinę riziką, kovoti su finansiniais nusikaltimais ir apsaugoti vartotojus;</w:t>
            </w:r>
          </w:p>
        </w:tc>
        <w:tc>
          <w:tcPr>
            <w:tcW w:w="4876" w:type="dxa"/>
            <w:tcBorders>
              <w:top w:val="nil"/>
              <w:left w:val="nil"/>
              <w:bottom w:val="nil"/>
              <w:right w:val="nil"/>
            </w:tcBorders>
          </w:tcPr>
          <w:p>
            <w:pPr>
              <w:pStyle w:val="Normal6a"/>
            </w:pPr>
            <w:r>
              <w:t>14.</w:t>
            </w:r>
            <w:r>
              <w:tab/>
            </w:r>
            <w:r>
              <w:t xml:space="preserve">pripažįsta </w:t>
            </w:r>
            <w:r>
              <w:rPr>
                <w:b/>
                <w:i/>
              </w:rPr>
              <w:t>finansinio turto konvertavimo į žetonus</w:t>
            </w:r>
            <w:r>
              <w:t xml:space="preserve"> riziką ir galimybes; ragina </w:t>
            </w:r>
            <w:r>
              <w:rPr>
                <w:b/>
                <w:i/>
              </w:rPr>
              <w:t>laikytis principais grindžiamo ir proporcingo požiūrio į reguliavimą ir</w:t>
            </w:r>
            <w:r>
              <w:t xml:space="preserve"> priežiūrą</w:t>
            </w:r>
            <w:r>
              <w:rPr>
                <w:b/>
                <w:i/>
              </w:rPr>
              <w:t>, kurie netrukdo inovacijoms</w:t>
            </w:r>
            <w:r>
              <w:t>; ragina ES ir nacionalines valdžios institucijas stebėti poveikį, šalinti spekuliacinę riziką, kovoti su finansiniais nusikaltimais ir apsaugoti vartotojus;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pripažįsta</w:t>
            </w:r>
            <w:r>
              <w:t xml:space="preserve"> su kriptoturtu susijusią riziką </w:t>
            </w:r>
            <w:r>
              <w:rPr>
                <w:b/>
                <w:i/>
              </w:rPr>
              <w:t>ir galimybes</w:t>
            </w:r>
            <w:r>
              <w:t xml:space="preserve">; ragina vykdyti nuoseklią priežiūrą siekiant užtikrinti, kad inovacijos būtų naudingos visuomenei; ragina ES ir nacionalines valdžios institucijas stebėti poveikį, šalinti </w:t>
            </w:r>
            <w:r>
              <w:rPr>
                <w:b/>
                <w:i/>
              </w:rPr>
              <w:t>spekuliacinę</w:t>
            </w:r>
            <w:r>
              <w:t xml:space="preserve"> riziką, kovoti su finansiniais nusikaltimais ir apsaugoti vartotojus;</w:t>
            </w:r>
          </w:p>
        </w:tc>
        <w:tc>
          <w:tcPr>
            <w:tcW w:w="4876" w:type="dxa"/>
            <w:tcBorders>
              <w:top w:val="nil"/>
              <w:left w:val="nil"/>
              <w:bottom w:val="nil"/>
              <w:right w:val="nil"/>
            </w:tcBorders>
          </w:tcPr>
          <w:p>
            <w:pPr>
              <w:pStyle w:val="Normal6a"/>
            </w:pPr>
            <w:r>
              <w:t>14.</w:t>
            </w:r>
            <w:r>
              <w:tab/>
            </w:r>
            <w:r>
              <w:rPr>
                <w:b/>
                <w:i/>
              </w:rPr>
              <w:t>pabrėžia</w:t>
            </w:r>
            <w:r>
              <w:t xml:space="preserve"> su kriptoturtu susijusią riziką; ragina vykdyti nuoseklią priežiūrą siekiant užtikrinti, kad inovacijos būtų naudingos visuomenei; ragina ES ir nacionalines valdžios institucijas stebėti poveikį, šalinti riziką, kovoti su </w:t>
            </w:r>
            <w:r>
              <w:rPr>
                <w:b/>
                <w:i/>
              </w:rPr>
              <w:t>spekuliaciniu elgesiu ir</w:t>
            </w:r>
            <w:r>
              <w:t xml:space="preserve"> finansiniais nusikaltimais ir apsaugoti vartotojus;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pripažįsta su kriptoturtu susijusią</w:t>
            </w:r>
            <w:r>
              <w:t xml:space="preserve"> riziką </w:t>
            </w:r>
            <w:r>
              <w:rPr>
                <w:b/>
                <w:i/>
              </w:rPr>
              <w:t>ir galimybes</w:t>
            </w:r>
            <w:r>
              <w:t>; ragina vykdyti nuoseklią priežiūrą siekiant užtikrinti, kad inovacijos būtų naudingos visuomenei; ragina ES ir nacionalines valdžios institucijas stebėti poveikį, šalinti spekuliacinę riziką, kovoti su finansiniais nusikaltimais ir apsaugoti vartotojus;</w:t>
            </w:r>
          </w:p>
        </w:tc>
        <w:tc>
          <w:tcPr>
            <w:tcW w:w="4876" w:type="dxa"/>
            <w:tcBorders>
              <w:top w:val="nil"/>
              <w:left w:val="nil"/>
              <w:bottom w:val="nil"/>
              <w:right w:val="nil"/>
            </w:tcBorders>
          </w:tcPr>
          <w:p>
            <w:pPr>
              <w:pStyle w:val="Normal6a"/>
            </w:pPr>
            <w:r>
              <w:t>14.</w:t>
            </w:r>
            <w:r>
              <w:tab/>
            </w:r>
            <w:r>
              <w:rPr>
                <w:b/>
                <w:i/>
              </w:rPr>
              <w:t>atkreipia dėmesį į specifinę</w:t>
            </w:r>
            <w:r>
              <w:t xml:space="preserve"> riziką</w:t>
            </w:r>
            <w:r>
              <w:rPr>
                <w:b/>
                <w:i/>
              </w:rPr>
              <w:t>, kurią kelia kriptoturtas;</w:t>
            </w:r>
            <w:r>
              <w:t xml:space="preserve"> </w:t>
            </w:r>
            <w:r>
              <w:rPr>
                <w:b/>
                <w:i/>
              </w:rPr>
              <w:t>primena, kad kriptoturtas yra labai nepastovus ir neproduktyvus turtas, daugiausia naudojamas spekuliaciniais tikslais</w:t>
            </w:r>
            <w:r>
              <w:t>; ragina vykdyti nuoseklią priežiūrą siekiant užtikrinti, kad inovacijos būtų naudingos visuomenei; ragina ES ir nacionalines valdžios institucijas stebėti poveikį, šalinti spekuliacinę riziką, kovoti su finansiniais nusikaltimais ir apsaugoti vartotojus;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pripažįsta su kriptoturtu susijusią riziką ir galimybes; ragina vykdyti nuoseklią priežiūrą </w:t>
            </w:r>
            <w:r>
              <w:rPr>
                <w:b/>
                <w:i/>
              </w:rPr>
              <w:t>siekiant užtikrinti, kad inovacijos būtų naudingos visuomenei</w:t>
            </w:r>
            <w:r>
              <w:t>; ragina ES ir nacionalines valdžios institucijas stebėti poveikį, šalinti spekuliacinę riziką, kovoti su finansiniais nusikaltimais ir apsaugoti vartotojus;</w:t>
            </w:r>
          </w:p>
        </w:tc>
        <w:tc>
          <w:tcPr>
            <w:tcW w:w="4876" w:type="dxa"/>
            <w:tcBorders>
              <w:top w:val="nil"/>
              <w:left w:val="nil"/>
              <w:bottom w:val="nil"/>
              <w:right w:val="nil"/>
            </w:tcBorders>
          </w:tcPr>
          <w:p>
            <w:pPr>
              <w:pStyle w:val="Normal6a"/>
            </w:pPr>
            <w:r>
              <w:t>14.</w:t>
            </w:r>
            <w:r>
              <w:tab/>
            </w:r>
            <w:r>
              <w:t xml:space="preserve">pripažįsta su kriptoturtu susijusią riziką ir galimybes; ragina vykdyti nuoseklią </w:t>
            </w:r>
            <w:r>
              <w:rPr>
                <w:b/>
                <w:i/>
              </w:rPr>
              <w:t>ir inovacijoms palankią</w:t>
            </w:r>
            <w:r>
              <w:t xml:space="preserve"> priežiūrą; ragina ES ir nacionalines valdžios institucijas stebėti poveikį, šalinti spekuliacinę riziką, kovoti su finansiniais nusikaltimais ir apsaugoti vartotojus;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pripažįsta su kriptoturtu susijusią riziką ir galimybes; ragina vykdyti </w:t>
            </w:r>
            <w:r>
              <w:rPr>
                <w:b/>
                <w:i/>
              </w:rPr>
              <w:t>nuoseklią</w:t>
            </w:r>
            <w:r>
              <w:t xml:space="preserve"> priežiūrą siekiant užtikrinti, kad inovacijos būtų naudingos visuomenei; ragina ES ir nacionalines valdžios institucijas stebėti poveikį, šalinti spekuliacinę riziką, kovoti su finansiniais nusikaltimais ir apsaugoti vartotojus;</w:t>
            </w:r>
          </w:p>
        </w:tc>
        <w:tc>
          <w:tcPr>
            <w:tcW w:w="4876" w:type="dxa"/>
            <w:tcBorders>
              <w:top w:val="nil"/>
              <w:left w:val="nil"/>
              <w:bottom w:val="nil"/>
              <w:right w:val="nil"/>
            </w:tcBorders>
          </w:tcPr>
          <w:p>
            <w:pPr>
              <w:pStyle w:val="Normal6a"/>
            </w:pPr>
            <w:r>
              <w:t>14.</w:t>
            </w:r>
            <w:r>
              <w:tab/>
            </w:r>
            <w:r>
              <w:t xml:space="preserve">pripažįsta su kriptoturtu susijusią riziką ir galimybes; ragina vykdyti </w:t>
            </w:r>
            <w:r>
              <w:rPr>
                <w:b/>
                <w:i/>
              </w:rPr>
              <w:t>racionalią</w:t>
            </w:r>
            <w:r>
              <w:t xml:space="preserve"> priežiūrą siekiant užtikrinti, kad inovacijos būtų naudingos visuomenei; ragina ES ir nacionalines valdžios institucijas stebėti poveikį, šalinti spekuliacinę riziką, kovoti su finansiniais nusikaltimais ir apsaugoti vartotojus;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pripažįsta su kriptoturtu susijusią riziką ir galimybes; ragina vykdyti nuoseklią priežiūrą siekiant užtikrinti, kad inovacijos būtų naudingos visuomenei; ragina ES ir nacionalines valdžios institucijas stebėti poveikį, šalinti spekuliacinę riziką, kovoti su finansiniais nusikaltimais ir apsaugoti vartotojus;</w:t>
            </w:r>
          </w:p>
        </w:tc>
        <w:tc>
          <w:tcPr>
            <w:tcW w:w="4876" w:type="dxa"/>
            <w:tcBorders>
              <w:top w:val="nil"/>
              <w:left w:val="nil"/>
              <w:bottom w:val="nil"/>
              <w:right w:val="nil"/>
            </w:tcBorders>
          </w:tcPr>
          <w:p>
            <w:pPr>
              <w:pStyle w:val="Normal6a"/>
            </w:pPr>
            <w:r>
              <w:t>14.</w:t>
            </w:r>
            <w:r>
              <w:tab/>
            </w:r>
            <w:r>
              <w:t xml:space="preserve">pripažįsta su kriptoturtu susijusią riziką ir galimybes; ragina vykdyti nuoseklią priežiūrą siekiant užtikrinti, kad inovacijos būtų naudingos visuomenei; ragina ES ir nacionalines valdžios institucijas stebėti poveikį, šalinti spekuliacinę riziką, kovoti su finansiniais nusikaltimais ir apsaugoti vartotojus; </w:t>
            </w:r>
            <w:r>
              <w:rPr>
                <w:b/>
                <w:i/>
              </w:rPr>
              <w:t>pabrėžia pasaulinių standartų šioje srityje svarbą ir poreikį išnagrinėti būdus, kaip skatinti eurais išreikštų stabiliųjų kriptovaliutų kūrimą, kad būtų išsaugotas ES monetarinis suverenumas;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ragina Komisiją, EBI ir nacionalines kompetentingas institucijas bankų sąjungoje užtikrinti griežtą, nuoseklų ir tikslų Reglamento (ES) 2023/1114 (Kriptoturto rinkų reglamentas) įgyvendinimą ir vykdymo užtikrinimą, kaip būtiną Sąjungos bankais grindžiamos finansinio stabilumo sistemos papildymą;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pripažįsta riziką, kurią ES bankams kelia trečiųjų valstybių nevienkartinių emisijų stabilizuotosios virtualiosios valiutos, ir tai, kad reguliacinis arbitražas tarp jurisdikcijų gali lemti masinį ES bankų indėlių atsiėmimą ir turėti šalutinį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ragina Komisiją, EBI ir nacionalines kompetentingas institucijas tinkamai atsižvelgti į ECB ir ESRV nuomones, patarimus ir rekomendacijas;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pabrėžia, kad bet koks priežiūros atlaidumas, susiskaidymas ar išimtys taikant Kriptoturto rinkų reglamentą padidintų stabilizuotosios virtualiosios valiutos masinio atsiėmimo ir plintančio neigiamo poveikio bankams, valstybės skolos rinkoms ir mokėjimo sistemoms riziką bankų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palankiai vertina</w:t>
            </w:r>
            <w:r>
              <w:t xml:space="preserve"> krizių valdymo ir indėlių draudimo sistemos </w:t>
            </w:r>
            <w:r>
              <w:rPr>
                <w:b/>
                <w:i/>
              </w:rPr>
              <w:t>reformą siekiant užtikrinti nuoseklų</w:t>
            </w:r>
            <w:r>
              <w:t xml:space="preserve"> krizių </w:t>
            </w:r>
            <w:r>
              <w:rPr>
                <w:b/>
                <w:i/>
              </w:rPr>
              <w:t>valdymą</w:t>
            </w:r>
            <w:r>
              <w:t xml:space="preserve"> ir indėlių </w:t>
            </w:r>
            <w:r>
              <w:rPr>
                <w:b/>
                <w:i/>
              </w:rPr>
              <w:t>draudimą, kad būtų stiprinamas stabilumas ir apsaugomos santaupos bei mokesčių mokėtojai</w:t>
            </w:r>
            <w:r>
              <w:t xml:space="preserve">; </w:t>
            </w:r>
            <w:r>
              <w:rPr>
                <w:b/>
                <w:i/>
              </w:rPr>
              <w:t>pabrėžia, kad mažesniems bankams reikia lankstumo, o valdžios institucijoms – veiksmingų priemonių, kad būtų užtikrinta atspari ir socialiai atsakinga bankų sąjunga;</w:t>
            </w:r>
          </w:p>
        </w:tc>
        <w:tc>
          <w:tcPr>
            <w:tcW w:w="4876" w:type="dxa"/>
            <w:tcBorders>
              <w:top w:val="nil"/>
              <w:left w:val="nil"/>
              <w:bottom w:val="nil"/>
              <w:right w:val="nil"/>
            </w:tcBorders>
          </w:tcPr>
          <w:p>
            <w:pPr>
              <w:pStyle w:val="Normal6a"/>
            </w:pPr>
            <w:r>
              <w:t>15.</w:t>
            </w:r>
            <w:r>
              <w:tab/>
            </w:r>
            <w:r>
              <w:rPr>
                <w:b/>
                <w:i/>
              </w:rPr>
              <w:t>reiškia susirūpinimą dėl dabartinės</w:t>
            </w:r>
            <w:r>
              <w:t xml:space="preserve"> krizių valdymo ir indėlių draudimo sistemos </w:t>
            </w:r>
            <w:r>
              <w:rPr>
                <w:b/>
                <w:i/>
              </w:rPr>
              <w:t>reformos;</w:t>
            </w:r>
            <w:r>
              <w:t xml:space="preserve"> </w:t>
            </w:r>
            <w:r>
              <w:rPr>
                <w:b/>
                <w:i/>
              </w:rPr>
              <w:t>nepritaria jokiam modeliui, pagal kurį pagrindinė nemokumo rizika užmaskuojama taikant sudėtingas apsaugos ir rizikos pasidalijimo priemones, ir kritikuoja pačią nuostolių pasidalijimo tarp valstybių narių koncepciją, nes tai iš esmės socializuotų bankų riziką ir sumažintų rinkos drausmę;</w:t>
            </w:r>
            <w:r>
              <w:t xml:space="preserve"> </w:t>
            </w:r>
            <w:r>
              <w:rPr>
                <w:b/>
                <w:i/>
              </w:rPr>
              <w:t>dabartinė</w:t>
            </w:r>
            <w:r>
              <w:t xml:space="preserve"> krizių </w:t>
            </w:r>
            <w:r>
              <w:rPr>
                <w:b/>
                <w:i/>
              </w:rPr>
              <w:t>valdymo</w:t>
            </w:r>
            <w:r>
              <w:t xml:space="preserve"> ir indėlių </w:t>
            </w:r>
            <w:r>
              <w:rPr>
                <w:b/>
                <w:i/>
              </w:rPr>
              <w:t>draudimo sistema neturėtų pateisinti ankstyvos tarpvalstybinio rizikos pasidalijimo plėtros be aiškių pasitraukimo ir atskaitomybės mechanizmų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palankiai vertina</w:t>
            </w:r>
            <w:r>
              <w:t xml:space="preserve"> krizių valdymo ir indėlių draudimo sistemos reformą siekiant </w:t>
            </w:r>
            <w:r>
              <w:rPr>
                <w:b/>
                <w:i/>
              </w:rPr>
              <w:t>užtikrinti nuoseklų</w:t>
            </w:r>
            <w:r>
              <w:t xml:space="preserve"> krizių valdymą ir indėlių draudimą, kad būtų stiprinamas stabilumas ir apsaugomos santaupos bei mokesčių mokėtojai; pabrėžia, kad </w:t>
            </w:r>
            <w:r>
              <w:rPr>
                <w:b/>
                <w:i/>
              </w:rPr>
              <w:t>mažesniems</w:t>
            </w:r>
            <w:r>
              <w:t xml:space="preserve"> bankams reikia lankstumo, o valdžios institucijoms – veiksmingų priemonių, kad būtų užtikrinta atspari </w:t>
            </w:r>
            <w:r>
              <w:rPr>
                <w:b/>
                <w:i/>
              </w:rPr>
              <w:t>ir socialiai atsakinga</w:t>
            </w:r>
            <w:r>
              <w:t xml:space="preserve"> bankų sąjunga;</w:t>
            </w:r>
          </w:p>
        </w:tc>
        <w:tc>
          <w:tcPr>
            <w:tcW w:w="4876" w:type="dxa"/>
            <w:tcBorders>
              <w:top w:val="nil"/>
              <w:left w:val="nil"/>
              <w:bottom w:val="nil"/>
              <w:right w:val="nil"/>
            </w:tcBorders>
          </w:tcPr>
          <w:p>
            <w:pPr>
              <w:pStyle w:val="Normal6a"/>
            </w:pPr>
            <w:r>
              <w:t>15.</w:t>
            </w:r>
            <w:r>
              <w:tab/>
            </w:r>
            <w:r>
              <w:rPr>
                <w:b/>
                <w:i/>
              </w:rPr>
              <w:t>atkreipia dėmesį į</w:t>
            </w:r>
            <w:r>
              <w:t xml:space="preserve"> krizių valdymo ir indėlių draudimo sistemos reformą siekiant </w:t>
            </w:r>
            <w:r>
              <w:rPr>
                <w:b/>
                <w:i/>
              </w:rPr>
              <w:t>pagerinti</w:t>
            </w:r>
            <w:r>
              <w:t xml:space="preserve"> krizių valdymą ir indėlių draudimą, kad būtų stiprinamas stabilumas ir apsaugomos santaupos bei mokesčių mokėtojai; pabrėžia, kad </w:t>
            </w:r>
            <w:r>
              <w:rPr>
                <w:b/>
                <w:i/>
              </w:rPr>
              <w:t>mažiems ir vidutiniams</w:t>
            </w:r>
            <w:r>
              <w:t xml:space="preserve"> bankams reikia lankstumo, o valdžios institucijoms – veiksmingų priemonių, kad būtų užtikrinta atspari bankų sąjunga; </w:t>
            </w:r>
            <w:r>
              <w:rPr>
                <w:b/>
                <w:i/>
              </w:rPr>
              <w:t>pabrėžia, kad pertvarkymas turėtų būti įsipareigojimų nevykdymo problemos sprendimo galimybė tik tiems bankams, kurių žlugimas turėtų poveikį finansiniam stabilumui, ir kad dėl to mažų ir vidutinių bankų nemokumas ir toliau turi būti įsipareigojimų neįvykdymo pasekmė;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w:t>
            </w:r>
            <w:r>
              <w:rPr>
                <w:b/>
                <w:i/>
              </w:rPr>
              <w:t>–</w:t>
            </w:r>
            <w:r>
              <w:t xml:space="preserve"> veiksmingų priemonių, kad </w:t>
            </w:r>
            <w:r>
              <w:rPr>
                <w:b/>
                <w:i/>
              </w:rPr>
              <w:t>būtų užtikrinta atspari ir socialiai atsakinga</w:t>
            </w:r>
            <w:r>
              <w:t xml:space="preserve"> bankų </w:t>
            </w:r>
            <w:r>
              <w:rPr>
                <w:b/>
                <w:i/>
              </w:rPr>
              <w:t>sąjunga</w:t>
            </w:r>
            <w:r>
              <w:t>;</w:t>
            </w:r>
          </w:p>
        </w:tc>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w:t>
            </w:r>
            <w:r>
              <w:rPr>
                <w:b/>
                <w:i/>
              </w:rPr>
              <w:t>reikia</w:t>
            </w:r>
            <w:r>
              <w:t xml:space="preserve"> veiksmingų priemonių, kad </w:t>
            </w:r>
            <w:r>
              <w:rPr>
                <w:b/>
                <w:i/>
              </w:rPr>
              <w:t>jos galėtų reaguoti į</w:t>
            </w:r>
            <w:r>
              <w:t xml:space="preserve"> bankų </w:t>
            </w:r>
            <w:r>
              <w:rPr>
                <w:b/>
                <w:i/>
              </w:rPr>
              <w:t>žlugimą ir apsaugoti finansinį stabilumą, be kita ko, pagal sisteminį scenarijų</w:t>
            </w:r>
            <w:r>
              <w:t xml:space="preserve">; </w:t>
            </w:r>
            <w:r>
              <w:rPr>
                <w:b/>
                <w:i/>
              </w:rPr>
              <w:t>pakartoja, kad bankų pertvarkymo tikslas – apsaugoti finansinį stabilumą ir užtikrinti ypatingos svarbos bankų funkcijas, o ne gelbėti kreditorius ar akcininkus;</w:t>
            </w:r>
            <w:r>
              <w:t xml:space="preserve"> </w:t>
            </w:r>
            <w:r>
              <w:rPr>
                <w:b/>
                <w:i/>
              </w:rPr>
              <w:t>pabrėžia, kad žlungančio banko pertvarkymas iškeliant įprastinę bankroto bylą turėtų išlikti standartine procedūra bankams, kurie nėra sistemiškai svarbūs, ir jei taip veiksmingiausiai apsaugomos ypatingos svarbos banko funkcijos;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w:t>
            </w:r>
            <w:r>
              <w:rPr>
                <w:b/>
                <w:i/>
              </w:rPr>
              <w:t>mažesniems bankams reikia lankstumo, o</w:t>
            </w:r>
            <w:r>
              <w:t xml:space="preserve"> valdžios institucijoms </w:t>
            </w:r>
            <w:r>
              <w:rPr>
                <w:b/>
                <w:i/>
              </w:rPr>
              <w:t>–</w:t>
            </w:r>
            <w:r>
              <w:t xml:space="preserve"> veiksmingų priemonių, kad būtų užtikrinta atspari ir socialiai atsakinga bankų sąjunga;</w:t>
            </w:r>
          </w:p>
        </w:tc>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valdžios institucijoms </w:t>
            </w:r>
            <w:r>
              <w:rPr>
                <w:b/>
                <w:i/>
              </w:rPr>
              <w:t>reikia</w:t>
            </w:r>
            <w:r>
              <w:t xml:space="preserve"> veiksmingų </w:t>
            </w:r>
            <w:r>
              <w:rPr>
                <w:b/>
                <w:i/>
              </w:rPr>
              <w:t>ir proporcingų</w:t>
            </w:r>
            <w:r>
              <w:t xml:space="preserve"> priemonių, kad būtų užtikrinta atspari ir socialiai atsakinga bankų sąjunga;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 veiksmingų priemonių, </w:t>
            </w:r>
            <w:r>
              <w:rPr>
                <w:b/>
                <w:i/>
              </w:rPr>
              <w:t>kad būtų užtikrinta atspari ir socialiai atsakinga</w:t>
            </w:r>
            <w:r>
              <w:t xml:space="preserve"> bankų </w:t>
            </w:r>
            <w:r>
              <w:rPr>
                <w:b/>
                <w:i/>
              </w:rPr>
              <w:t>sąjunga</w:t>
            </w:r>
            <w:r>
              <w:t>;</w:t>
            </w:r>
          </w:p>
        </w:tc>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 veiksmingų priemonių, </w:t>
            </w:r>
            <w:r>
              <w:rPr>
                <w:b/>
                <w:i/>
              </w:rPr>
              <w:t>paremtų reguliavimo sistema, kuria būtų skatinama</w:t>
            </w:r>
            <w:r>
              <w:t xml:space="preserve"> bankų </w:t>
            </w:r>
            <w:r>
              <w:rPr>
                <w:b/>
                <w:i/>
              </w:rPr>
              <w:t>plėtra ir prisidedama prie atsparios ir finansiškai stabilios bankų sąjungos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 veiksmingų priemonių, kad būtų užtikrinta atspari </w:t>
            </w:r>
            <w:r>
              <w:rPr>
                <w:b/>
                <w:i/>
              </w:rPr>
              <w:t>ir socialiai atsakinga</w:t>
            </w:r>
            <w:r>
              <w:t xml:space="preserve"> bankų sąjunga;</w:t>
            </w:r>
          </w:p>
        </w:tc>
        <w:tc>
          <w:tcPr>
            <w:tcW w:w="4876" w:type="dxa"/>
            <w:tcBorders>
              <w:top w:val="nil"/>
              <w:left w:val="nil"/>
              <w:bottom w:val="nil"/>
              <w:right w:val="nil"/>
            </w:tcBorders>
          </w:tcPr>
          <w:p>
            <w:pPr>
              <w:pStyle w:val="Normal6a"/>
            </w:pPr>
            <w:r>
              <w:t>15.</w:t>
            </w:r>
            <w:r>
              <w:tab/>
            </w:r>
            <w:r>
              <w:t>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 veiksmingų priemonių, kad būtų užtikrinta atspari bankų sąjunga;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palankiai vertina krizių valdymo ir indėlių draudimo </w:t>
            </w:r>
            <w:r>
              <w:rPr>
                <w:b/>
                <w:i/>
              </w:rPr>
              <w:t>sistemos</w:t>
            </w:r>
            <w:r>
              <w:t xml:space="preserve"> reformą siekiant </w:t>
            </w:r>
            <w:r>
              <w:rPr>
                <w:b/>
                <w:i/>
              </w:rPr>
              <w:t>užtikrinti nuoseklų</w:t>
            </w:r>
            <w:r>
              <w:t xml:space="preserve"> krizių </w:t>
            </w:r>
            <w:r>
              <w:rPr>
                <w:b/>
                <w:i/>
              </w:rPr>
              <w:t>valdymą</w:t>
            </w:r>
            <w:r>
              <w:t xml:space="preserve"> ir indėlių </w:t>
            </w:r>
            <w:r>
              <w:rPr>
                <w:b/>
                <w:i/>
              </w:rPr>
              <w:t>draudimą, kad būtų stiprinamas stabilumas ir apsaugomos santaupos bei</w:t>
            </w:r>
            <w:r>
              <w:t xml:space="preserve"> mokesčių </w:t>
            </w:r>
            <w:r>
              <w:rPr>
                <w:b/>
                <w:i/>
              </w:rPr>
              <w:t>mokėtojai</w:t>
            </w:r>
            <w:r>
              <w:t>; pabrėžia</w:t>
            </w:r>
            <w:r>
              <w:rPr>
                <w:b/>
                <w:i/>
              </w:rPr>
              <w:t>, kad mažesniems bankams reikia lankstumo, o</w:t>
            </w:r>
            <w:r>
              <w:t xml:space="preserve"> valdžios </w:t>
            </w:r>
            <w:r>
              <w:rPr>
                <w:b/>
                <w:i/>
              </w:rPr>
              <w:t>institucijoms –</w:t>
            </w:r>
            <w:r>
              <w:t xml:space="preserve"> veiksmingų priemonių, kad būtų užtikrinta atspari ir socialiai atsakinga bankų sąjunga;</w:t>
            </w:r>
          </w:p>
        </w:tc>
        <w:tc>
          <w:tcPr>
            <w:tcW w:w="4876" w:type="dxa"/>
            <w:tcBorders>
              <w:top w:val="nil"/>
              <w:left w:val="nil"/>
              <w:bottom w:val="nil"/>
              <w:right w:val="nil"/>
            </w:tcBorders>
          </w:tcPr>
          <w:p>
            <w:pPr>
              <w:pStyle w:val="Normal6a"/>
            </w:pPr>
            <w:r>
              <w:t>15.</w:t>
            </w:r>
            <w:r>
              <w:tab/>
            </w:r>
            <w:r>
              <w:t xml:space="preserve">palankiai vertina krizių valdymo ir indėlių draudimo reformą siekiant </w:t>
            </w:r>
            <w:r>
              <w:rPr>
                <w:b/>
                <w:i/>
              </w:rPr>
              <w:t>nuoseklaus</w:t>
            </w:r>
            <w:r>
              <w:t xml:space="preserve"> krizių </w:t>
            </w:r>
            <w:r>
              <w:rPr>
                <w:b/>
                <w:i/>
              </w:rPr>
              <w:t>valdymo</w:t>
            </w:r>
            <w:r>
              <w:t xml:space="preserve"> ir indėlių </w:t>
            </w:r>
            <w:r>
              <w:rPr>
                <w:b/>
                <w:i/>
              </w:rPr>
              <w:t>draudimo, stiprinant stabilumą, apsaugant santaupas ir</w:t>
            </w:r>
            <w:r>
              <w:t xml:space="preserve"> mokesčių </w:t>
            </w:r>
            <w:r>
              <w:rPr>
                <w:b/>
                <w:i/>
              </w:rPr>
              <w:t>mokėtojus ir užtikrinant geresnį viešųjų lėšų naudojimą pertvarkymui, kai tai atitinka viešąjį interesą</w:t>
            </w:r>
            <w:r>
              <w:t xml:space="preserve">; pabrėžia </w:t>
            </w:r>
            <w:r>
              <w:rPr>
                <w:b/>
                <w:i/>
              </w:rPr>
              <w:t>aiškios reguliavimo sistemos ir</w:t>
            </w:r>
            <w:r>
              <w:t xml:space="preserve"> valdžios </w:t>
            </w:r>
            <w:r>
              <w:rPr>
                <w:b/>
                <w:i/>
              </w:rPr>
              <w:t>institucijų</w:t>
            </w:r>
            <w:r>
              <w:t xml:space="preserve"> veiksmingų priemonių</w:t>
            </w:r>
            <w:r>
              <w:rPr>
                <w:b/>
                <w:i/>
              </w:rPr>
              <w:t>, duomenų ir sprendimų priėmimo mechanizmų svarbą</w:t>
            </w:r>
            <w:r>
              <w:t>, kad būtų užtikrinta atspari ir socialiai atsakinga bankų sąjunga;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w:t>
            </w:r>
            <w:r>
              <w:rPr>
                <w:b/>
                <w:i/>
              </w:rPr>
              <w:t>institucijoms –</w:t>
            </w:r>
            <w:r>
              <w:t xml:space="preserve"> veiksmingų priemonių, kad būtų užtikrinta atspari ir socialiai atsakinga bankų sąjunga;</w:t>
            </w:r>
          </w:p>
        </w:tc>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w:t>
            </w:r>
            <w:r>
              <w:rPr>
                <w:b/>
                <w:i/>
              </w:rPr>
              <w:t>ir vidutiniams</w:t>
            </w:r>
            <w:r>
              <w:t xml:space="preserve"> bankams</w:t>
            </w:r>
            <w:r>
              <w:rPr>
                <w:b/>
                <w:i/>
              </w:rPr>
              <w:t>, kuriems pertvarkymo sistema dažnai nebus tinkamiausia priemonė ir kuriems likvidavimas pagal įprastą nemokumo procedūrą tebėra tinkamiausia galimybė,</w:t>
            </w:r>
            <w:r>
              <w:t xml:space="preserve"> reikia lankstumo, o valdžios </w:t>
            </w:r>
            <w:r>
              <w:rPr>
                <w:b/>
                <w:i/>
              </w:rPr>
              <w:t>institucijos turi turėti</w:t>
            </w:r>
            <w:r>
              <w:t xml:space="preserve"> veiksmingų priemonių, kad būtų užtikrinta atspari ir socialiai atsakinga bankų sąjunga;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w:t>
            </w:r>
            <w:r>
              <w:rPr>
                <w:b/>
                <w:i/>
              </w:rPr>
              <w:t>institucijoms –</w:t>
            </w:r>
            <w:r>
              <w:t xml:space="preserve"> veiksmingų priemonių, kad būtų užtikrinta atspari ir socialiai atsakinga bankų sąjunga;</w:t>
            </w:r>
          </w:p>
        </w:tc>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w:t>
            </w:r>
            <w:r>
              <w:rPr>
                <w:b/>
                <w:i/>
              </w:rPr>
              <w:t>ir vidutiniams</w:t>
            </w:r>
            <w:r>
              <w:t xml:space="preserve"> bankams</w:t>
            </w:r>
            <w:r>
              <w:rPr>
                <w:b/>
                <w:i/>
              </w:rPr>
              <w:t>, kuriems pertvarkymo sistema dažnai nebus tinkamiausia priemonė ir kuriems likvidavimas pagal įprastą nemokumo procedūrą tebėra tinkamiausia galimybė,</w:t>
            </w:r>
            <w:r>
              <w:t xml:space="preserve"> reikia lankstumo, o valdžios </w:t>
            </w:r>
            <w:r>
              <w:rPr>
                <w:b/>
                <w:i/>
              </w:rPr>
              <w:t>institucijos turi turėti</w:t>
            </w:r>
            <w:r>
              <w:t xml:space="preserve"> veiksmingų priemonių, kad būtų užtikrinta atspari ir socialiai atsakinga bankų sąjunga;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 veiksmingų priemonių, kad būtų užtikrinta atspari ir socialiai atsakinga bankų sąjunga;</w:t>
            </w:r>
          </w:p>
        </w:tc>
        <w:tc>
          <w:tcPr>
            <w:tcW w:w="4876" w:type="dxa"/>
            <w:tcBorders>
              <w:top w:val="nil"/>
              <w:left w:val="nil"/>
              <w:bottom w:val="nil"/>
              <w:right w:val="nil"/>
            </w:tcBorders>
          </w:tcPr>
          <w:p>
            <w:pPr>
              <w:pStyle w:val="Normal6a"/>
            </w:pPr>
            <w:r>
              <w:t>15.</w:t>
            </w:r>
            <w:r>
              <w:tab/>
            </w:r>
            <w:r>
              <w:t xml:space="preserve">palankiai vertina krizių valdymo ir indėlių draudimo sistemos reformą siekiant užtikrinti nuoseklų krizių valdymą ir indėlių draudimą, kad būtų stiprinamas stabilumas ir apsaugomos santaupos bei mokesčių mokėtojai; pabrėžia, kad mažesniems bankams reikia lankstumo, o valdžios institucijoms – veiksmingų priemonių, kad būtų užtikrinta atspari ir socialiai atsakinga bankų sąjunga; </w:t>
            </w:r>
            <w:r>
              <w:rPr>
                <w:b/>
                <w:i/>
              </w:rPr>
              <w:t>pabrėžia, kad reikia sudaryti palankesnes sąlygas pertvarkymui naudoti indėlių draudimo fondus;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palankiai vertina pasiūlymą dėl Europos Parlamento ir Tarybos direktyvos, kuria suderinami tam tikri nemokumo teisės aspektai, nes tolesnis nemokumo teisės aktų ir restruktūrizavimo procedūrų suderinimas galėtų paskatinti baigti kurti bankų sąjungą;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pabrėžia, kad </w:t>
            </w:r>
            <w:r>
              <w:rPr>
                <w:b/>
                <w:i/>
              </w:rPr>
              <w:t>žlugus bankui atsakomybė pirmiausia turėtų tekti akcininkams, kreditoriams arba sektoriaus finansuojamiems mechanizmams, o viešosios lėšos turėtų būti naudojamos tik kraštutiniu</w:t>
            </w:r>
            <w:r>
              <w:t xml:space="preserve"> atveju</w:t>
            </w:r>
            <w:r>
              <w:rPr>
                <w:b/>
                <w:i/>
              </w:rPr>
              <w:t>, laikantis fiskalinės atsakomybės, socialinio teisingumo ir</w:t>
            </w:r>
            <w:r>
              <w:t xml:space="preserve"> rinkos </w:t>
            </w:r>
            <w:r>
              <w:rPr>
                <w:b/>
                <w:i/>
              </w:rPr>
              <w:t>drausmės principų</w:t>
            </w:r>
            <w:r>
              <w:t>;</w:t>
            </w:r>
          </w:p>
        </w:tc>
        <w:tc>
          <w:tcPr>
            <w:tcW w:w="4876" w:type="dxa"/>
            <w:tcBorders>
              <w:top w:val="nil"/>
              <w:left w:val="nil"/>
              <w:bottom w:val="nil"/>
              <w:right w:val="nil"/>
            </w:tcBorders>
          </w:tcPr>
          <w:p>
            <w:pPr>
              <w:pStyle w:val="Normal6a"/>
            </w:pPr>
            <w:r>
              <w:t>16.</w:t>
            </w:r>
            <w:r>
              <w:tab/>
            </w:r>
            <w:r>
              <w:t xml:space="preserve">pabrėžia, kad </w:t>
            </w:r>
            <w:r>
              <w:rPr>
                <w:b/>
                <w:i/>
              </w:rPr>
              <w:t>reikia nuolat ir veiksmingai prižiūrėti, kaip laikomasi rizikos ribojimo ir pertvarkymo taisyklių, kuriomis užtikrinamas gelbėjimo privačiomis lėšomis priemonių patikimumas ir veiksmingas įgyvendinimas bankų žlugimo</w:t>
            </w:r>
            <w:r>
              <w:t xml:space="preserve"> atveju</w:t>
            </w:r>
            <w:r>
              <w:rPr>
                <w:b/>
                <w:i/>
              </w:rPr>
              <w:t>;</w:t>
            </w:r>
            <w:r>
              <w:t xml:space="preserve"> </w:t>
            </w:r>
            <w:r>
              <w:rPr>
                <w:b/>
                <w:i/>
              </w:rPr>
              <w:t>pabrėžia, kad finansų įstaigų gelbėjimas viešosiomis lėšomis turi būti tik kraštutinė priemonė, siekiant išsaugoti fiskalinę atsakomybę, apsaugoti mokesčių mokėtojus ir išlaikyti</w:t>
            </w:r>
            <w:r>
              <w:t xml:space="preserve"> rinkos </w:t>
            </w:r>
            <w:r>
              <w:rPr>
                <w:b/>
                <w:i/>
              </w:rPr>
              <w:t>drausmę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pabrėžia, kad žlugus bankui </w:t>
            </w:r>
            <w:r>
              <w:rPr>
                <w:b/>
                <w:i/>
              </w:rPr>
              <w:t>atsakomybė</w:t>
            </w:r>
            <w:r>
              <w:t xml:space="preserve"> pirmiausia turėtų </w:t>
            </w:r>
            <w:r>
              <w:rPr>
                <w:b/>
                <w:i/>
              </w:rPr>
              <w:t>tekti akcininkams, kreditoriams</w:t>
            </w:r>
            <w:r>
              <w:t xml:space="preserve"> arba sektoriaus </w:t>
            </w:r>
            <w:r>
              <w:rPr>
                <w:b/>
                <w:i/>
              </w:rPr>
              <w:t>finansuojamiems mechanizmams, o viešosios lėšos turėtų būti naudojamos tik kraštutiniu atveju</w:t>
            </w:r>
            <w:r>
              <w:t xml:space="preserve">, laikantis </w:t>
            </w:r>
            <w:r>
              <w:rPr>
                <w:b/>
                <w:i/>
              </w:rPr>
              <w:t>fiskalinės</w:t>
            </w:r>
            <w:r>
              <w:t xml:space="preserve"> atsakomybės</w:t>
            </w:r>
            <w:r>
              <w:rPr>
                <w:b/>
                <w:i/>
              </w:rPr>
              <w:t>, socialinio teisingumo</w:t>
            </w:r>
            <w:r>
              <w:t xml:space="preserve"> ir rinkos drausmės principų;</w:t>
            </w:r>
          </w:p>
        </w:tc>
        <w:tc>
          <w:tcPr>
            <w:tcW w:w="4876" w:type="dxa"/>
            <w:tcBorders>
              <w:top w:val="nil"/>
              <w:left w:val="nil"/>
              <w:bottom w:val="nil"/>
              <w:right w:val="nil"/>
            </w:tcBorders>
          </w:tcPr>
          <w:p>
            <w:pPr>
              <w:pStyle w:val="Normal6a"/>
            </w:pPr>
            <w:r>
              <w:t>16.</w:t>
            </w:r>
            <w:r>
              <w:tab/>
            </w:r>
            <w:r>
              <w:t xml:space="preserve">pabrėžia, kad žlugus bankui </w:t>
            </w:r>
            <w:r>
              <w:rPr>
                <w:b/>
                <w:i/>
              </w:rPr>
              <w:t>nuostolius</w:t>
            </w:r>
            <w:r>
              <w:t xml:space="preserve"> pirmiausia turėtų </w:t>
            </w:r>
            <w:r>
              <w:rPr>
                <w:b/>
                <w:i/>
              </w:rPr>
              <w:t>prisiimti akcininkai, kreditoriai</w:t>
            </w:r>
            <w:r>
              <w:t xml:space="preserve"> arba sektoriaus </w:t>
            </w:r>
            <w:r>
              <w:rPr>
                <w:b/>
                <w:i/>
              </w:rPr>
              <w:t>finansuojami mechanizmai</w:t>
            </w:r>
            <w:r>
              <w:t xml:space="preserve">, laikantis atsakomybės ir rinkos drausmės principų; </w:t>
            </w:r>
            <w:r>
              <w:rPr>
                <w:b/>
                <w:i/>
              </w:rPr>
              <w:t>pabrėžia, kad galimybė naudoti viešąsias lėšas turėtų būti svarstoma tik kraštutiniu atveju ir išimtinėmis aplinkybėmis, siekiant apsaugoti mokesčių mokėtojus ir išsaugoti finansinį stabilumą;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pabrėžia, kad </w:t>
            </w:r>
            <w:r>
              <w:rPr>
                <w:b/>
                <w:i/>
              </w:rPr>
              <w:t>žlugus bankui atsakomybė</w:t>
            </w:r>
            <w:r>
              <w:t xml:space="preserve"> pirmiausia turėtų </w:t>
            </w:r>
            <w:r>
              <w:rPr>
                <w:b/>
                <w:i/>
              </w:rPr>
              <w:t>tekti akcininkams, kreditoriams arba</w:t>
            </w:r>
            <w:r>
              <w:t xml:space="preserve"> sektoriaus </w:t>
            </w:r>
            <w:r>
              <w:rPr>
                <w:b/>
                <w:i/>
              </w:rPr>
              <w:t>finansuojamiems mechanizmams</w:t>
            </w:r>
            <w:r>
              <w:t>, o viešosios lėšos turėtų būti naudojamos tik kraštutiniu atveju, laikantis fiskalinės atsakomybės, socialinio teisingumo ir rinkos drausmės principų;</w:t>
            </w:r>
          </w:p>
        </w:tc>
        <w:tc>
          <w:tcPr>
            <w:tcW w:w="4876" w:type="dxa"/>
            <w:tcBorders>
              <w:top w:val="nil"/>
              <w:left w:val="nil"/>
              <w:bottom w:val="nil"/>
              <w:right w:val="nil"/>
            </w:tcBorders>
          </w:tcPr>
          <w:p>
            <w:pPr>
              <w:pStyle w:val="Normal6a"/>
            </w:pPr>
            <w:r>
              <w:t>16.</w:t>
            </w:r>
            <w:r>
              <w:tab/>
            </w:r>
            <w:r>
              <w:t xml:space="preserve">pabrėžia, kad </w:t>
            </w:r>
            <w:r>
              <w:rPr>
                <w:b/>
                <w:i/>
              </w:rPr>
              <w:t>bankų žlugimo atveju gelbėjimas akcininkų ir kreditorių privačiomis lėšomis</w:t>
            </w:r>
            <w:r>
              <w:t xml:space="preserve"> pirmiausia turėtų </w:t>
            </w:r>
            <w:r>
              <w:rPr>
                <w:b/>
                <w:i/>
              </w:rPr>
              <w:t>būti laikomas pagrindiniu pertvarkymo finansavimo šaltiniu prieš pradedant naudoti</w:t>
            </w:r>
            <w:r>
              <w:t xml:space="preserve"> sektoriaus </w:t>
            </w:r>
            <w:r>
              <w:rPr>
                <w:b/>
                <w:i/>
              </w:rPr>
              <w:t>finansuojamus mechanizmus kaip antrąją gynybos liniją</w:t>
            </w:r>
            <w:r>
              <w:t>, o viešosios lėšos turėtų būti naudojamos tik kraštutiniu atveju, laikantis fiskalinės atsakomybės, socialinio teisingumo ir rinkos drausmės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pabrėžia, kad žlugus bankui atsakomybė pirmiausia turėtų tekti akcininkams, kreditoriams arba sektoriaus finansuojamiems mechanizmams, o viešosios lėšos turėtų būti naudojamos tik kraštutiniu atveju, laikantis fiskalinės atsakomybės, socialinio teisingumo ir rinkos drausmės principų;</w:t>
            </w:r>
          </w:p>
        </w:tc>
        <w:tc>
          <w:tcPr>
            <w:tcW w:w="4876" w:type="dxa"/>
            <w:tcBorders>
              <w:top w:val="nil"/>
              <w:left w:val="nil"/>
              <w:bottom w:val="nil"/>
              <w:right w:val="nil"/>
            </w:tcBorders>
          </w:tcPr>
          <w:p>
            <w:pPr>
              <w:pStyle w:val="Normal6a"/>
            </w:pPr>
            <w:r>
              <w:t>16.</w:t>
            </w:r>
            <w:r>
              <w:tab/>
            </w:r>
            <w:r>
              <w:t xml:space="preserve">pabrėžia, kad žlugus bankui atsakomybė pirmiausia turėtų tekti akcininkams, kreditoriams arba sektoriaus finansuojamiems mechanizmams, o viešosios lėšos turėtų būti naudojamos tik kraštutiniu atveju, </w:t>
            </w:r>
            <w:r>
              <w:rPr>
                <w:b/>
                <w:i/>
              </w:rPr>
              <w:t>nes turi būti vengiama kliautis mokesčių mokėtojų pinigais bankų pertvarkymo atvejais,</w:t>
            </w:r>
            <w:r>
              <w:t xml:space="preserve"> laikantis fiskalinės atsakomybės, socialinio teisingumo ir rinkos drausmės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pabrėžia, kad žlugus bankui atsakomybė pirmiausia turėtų tekti akcininkams, kreditoriams arba sektoriaus finansuojamiems mechanizmams, o viešosios lėšos turėtų būti naudojamos tik kraštutiniu atveju, laikantis fiskalinės atsakomybės</w:t>
            </w:r>
            <w:r>
              <w:rPr>
                <w:b/>
                <w:i/>
              </w:rPr>
              <w:t>, socialinio teisingumo</w:t>
            </w:r>
            <w:r>
              <w:t xml:space="preserve"> ir rinkos drausmės principų;</w:t>
            </w:r>
          </w:p>
        </w:tc>
        <w:tc>
          <w:tcPr>
            <w:tcW w:w="4876" w:type="dxa"/>
            <w:tcBorders>
              <w:top w:val="nil"/>
              <w:left w:val="nil"/>
              <w:bottom w:val="nil"/>
              <w:right w:val="nil"/>
            </w:tcBorders>
          </w:tcPr>
          <w:p>
            <w:pPr>
              <w:pStyle w:val="Normal6a"/>
            </w:pPr>
            <w:r>
              <w:t>16.</w:t>
            </w:r>
            <w:r>
              <w:tab/>
            </w:r>
            <w:r>
              <w:t>pabrėžia, kad žlugus bankui atsakomybė pirmiausia turėtų tekti akcininkams, kreditoriams arba sektoriaus finansuojamiems mechanizmams, o viešosios lėšos turėtų būti naudojamos tik kraštutiniu atveju, laikantis fiskalinės atsakomybės ir rinkos drausmės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pabrėžia, kad žlugus bankui atsakomybė pirmiausia </w:t>
            </w:r>
            <w:r>
              <w:rPr>
                <w:b/>
                <w:i/>
              </w:rPr>
              <w:t>turėtų</w:t>
            </w:r>
            <w:r>
              <w:t xml:space="preserve"> tekti akcininkams, kreditoriams arba sektoriaus finansuojamiems mechanizmams, o viešosios lėšos turėtų būti naudojamos tik kraštutiniu atveju, laikantis fiskalinės atsakomybės, socialinio teisingumo ir rinkos drausmės principų;</w:t>
            </w:r>
          </w:p>
        </w:tc>
        <w:tc>
          <w:tcPr>
            <w:tcW w:w="4876" w:type="dxa"/>
            <w:tcBorders>
              <w:top w:val="nil"/>
              <w:left w:val="nil"/>
              <w:bottom w:val="nil"/>
              <w:right w:val="nil"/>
            </w:tcBorders>
          </w:tcPr>
          <w:p>
            <w:pPr>
              <w:pStyle w:val="Normal6a"/>
            </w:pPr>
            <w:r>
              <w:t>16.</w:t>
            </w:r>
            <w:r>
              <w:tab/>
            </w:r>
            <w:r>
              <w:t xml:space="preserve">pabrėžia, kad žlugus bankui atsakomybė pirmiausia </w:t>
            </w:r>
            <w:r>
              <w:rPr>
                <w:b/>
                <w:i/>
              </w:rPr>
              <w:t>turi</w:t>
            </w:r>
            <w:r>
              <w:t xml:space="preserve"> tekti akcininkams, kreditoriams arba sektoriaus finansuojamiems mechanizmams, o viešosios lėšos turėtų būti naudojamos tik kraštutiniu atveju, laikantis fiskalinės atsakomybės, socialinio teisingumo ir rinkos drausmės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primena, kad pakankamas minimalus nuosavų lėšų ir tinkamų įsipareigojimų reikalavimas (MREL) yra labai svarbus siekiant sukurti patikimą pertvarkymo sistemą ir suteikti valdžios institucijoms lankstumo taikyti </w:t>
            </w:r>
            <w:r>
              <w:rPr>
                <w:b/>
                <w:i/>
              </w:rPr>
              <w:t>tinkamas</w:t>
            </w:r>
            <w:r>
              <w:t xml:space="preserve"> pertvarkymo strategijas kilus krizei;</w:t>
            </w:r>
          </w:p>
        </w:tc>
        <w:tc>
          <w:tcPr>
            <w:tcW w:w="4876" w:type="dxa"/>
            <w:tcBorders>
              <w:top w:val="nil"/>
              <w:left w:val="nil"/>
              <w:bottom w:val="nil"/>
              <w:right w:val="nil"/>
            </w:tcBorders>
          </w:tcPr>
          <w:p>
            <w:pPr>
              <w:pStyle w:val="Normal6a"/>
            </w:pPr>
            <w:r>
              <w:t>17.</w:t>
            </w:r>
            <w:r>
              <w:tab/>
            </w:r>
            <w:r>
              <w:t xml:space="preserve">primena, kad pakankamas minimalus nuosavų lėšų ir tinkamų įsipareigojimų reikalavimas (MREL) yra labai svarbus siekiant sukurti patikimą pertvarkymo sistemą ir suteikti valdžios institucijoms lankstumo </w:t>
            </w:r>
            <w:r>
              <w:rPr>
                <w:b/>
                <w:i/>
              </w:rPr>
              <w:t>veiksmingai</w:t>
            </w:r>
            <w:r>
              <w:t xml:space="preserve"> taikyti pertvarkymo strategijas kilus krizei</w:t>
            </w:r>
            <w:r>
              <w:rPr>
                <w:b/>
                <w:i/>
              </w:rPr>
              <w:t>, užtikrinant rinkos drausmę</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primena, kad pakankamas minimalus nuosavų lėšų ir tinkamų įsipareigojimų reikalavimas (MREL) yra labai svarbus siekiant sukurti patikimą pertvarkymo sistemą ir suteikti valdžios institucijoms lankstumo taikyti tinkamas pertvarkymo strategijas kilus krizei;</w:t>
            </w:r>
          </w:p>
        </w:tc>
        <w:tc>
          <w:tcPr>
            <w:tcW w:w="4876" w:type="dxa"/>
            <w:tcBorders>
              <w:top w:val="nil"/>
              <w:left w:val="nil"/>
              <w:bottom w:val="nil"/>
              <w:right w:val="nil"/>
            </w:tcBorders>
          </w:tcPr>
          <w:p>
            <w:pPr>
              <w:pStyle w:val="Normal6a"/>
            </w:pPr>
            <w:r>
              <w:t>17.</w:t>
            </w:r>
            <w:r>
              <w:tab/>
            </w:r>
            <w:r>
              <w:t xml:space="preserve">primena, kad pakankamas minimalus nuosavų lėšų ir tinkamų įsipareigojimų reikalavimas (MREL) yra labai svarbus siekiant sukurti patikimą pertvarkymo sistemą ir suteikti valdžios institucijoms lankstumo taikyti tinkamas pertvarkymo strategijas kilus krizei; </w:t>
            </w:r>
            <w:r>
              <w:rPr>
                <w:b/>
                <w:i/>
              </w:rPr>
              <w:t>pabrėžia, kad MREL reikalavimai turėtų būti pritaikyti prie faktinės kiekvieno banko pertvarkymo strategijos, ypač kai perdavimo priemonės naudojamos kartu su gelbėjimo privačiomis lėšomis mechanizmais, kad būtų užtikrintas teisinis aiškumas ir proporcingumas;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primena, kad pakankamas minimalus nuosavų lėšų ir tinkamų įsipareigojimų reikalavimas (MREL) yra labai svarbus siekiant sukurti patikimą pertvarkymo sistemą ir suteikti valdžios institucijoms lankstumo taikyti tinkamas pertvarkymo strategijas kilus krizei;</w:t>
            </w:r>
          </w:p>
        </w:tc>
        <w:tc>
          <w:tcPr>
            <w:tcW w:w="4876" w:type="dxa"/>
            <w:tcBorders>
              <w:top w:val="nil"/>
              <w:left w:val="nil"/>
              <w:bottom w:val="nil"/>
              <w:right w:val="nil"/>
            </w:tcBorders>
          </w:tcPr>
          <w:p>
            <w:pPr>
              <w:pStyle w:val="Normal6a"/>
            </w:pPr>
            <w:r>
              <w:t>17.</w:t>
            </w:r>
            <w:r>
              <w:tab/>
            </w:r>
            <w:r>
              <w:t xml:space="preserve">primena, kad pakankamas minimalus nuosavų lėšų ir tinkamų įsipareigojimų reikalavimas (MREL) yra labai svarbus siekiant sukurti patikimą pertvarkymo sistemą ir suteikti valdžios institucijoms lankstumo taikyti tinkamas pertvarkymo strategijas kilus krizei; </w:t>
            </w:r>
            <w:r>
              <w:rPr>
                <w:b/>
                <w:i/>
              </w:rPr>
              <w:t>pabrėžia, kad pakankamo MREL ir užstato prieinamumas pertvarkymo atveju yra būtina sėkmingo bankų pertvarkymo sąlyga ir kad MREL turėtų būti nustatomas labai apdairiai;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primena, kad pakankamas minimalus nuosavų lėšų ir tinkamų įsipareigojimų reikalavimas (MREL) yra labai svarbus siekiant sukurti patikimą pertvarkymo sistemą ir suteikti valdžios institucijoms lankstumo taikyti tinkamas pertvarkymo strategijas kilus krizei;</w:t>
            </w:r>
          </w:p>
        </w:tc>
        <w:tc>
          <w:tcPr>
            <w:tcW w:w="4876" w:type="dxa"/>
            <w:tcBorders>
              <w:top w:val="nil"/>
              <w:left w:val="nil"/>
              <w:bottom w:val="nil"/>
              <w:right w:val="nil"/>
            </w:tcBorders>
          </w:tcPr>
          <w:p>
            <w:pPr>
              <w:pStyle w:val="Normal6a"/>
            </w:pPr>
            <w:r>
              <w:t>17.</w:t>
            </w:r>
            <w:r>
              <w:tab/>
            </w:r>
            <w:r>
              <w:t xml:space="preserve">primena, kad pakankamas minimalus nuosavų lėšų ir tinkamų įsipareigojimų reikalavimas (MREL) yra labai svarbus siekiant sukurti patikimą pertvarkymo sistemą ir suteikti valdžios institucijoms lankstumo taikyti tinkamas pertvarkymo strategijas kilus krizei; </w:t>
            </w:r>
            <w:r>
              <w:rPr>
                <w:b/>
                <w:i/>
              </w:rPr>
              <w:t>pabrėžia, kad šio minimalaus reikalavimo turėtų pakakti, kad būtų galima veiksmingai įgyvendinti visas į banko pertvarkymo planą įtrauktas pertvarkymo strategijas;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pabrėžia, kad, jei banko tinkami įsipareigojimai išleidžiami ne ES investuotojams, šių įsipareigojimų nurašymas arba konvertavimas turėtų būti visiškai užtikrintas, kad būtų užtikrintas veiksmingas pertvarkymo priemonių taikymas;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primena, kad po pertvarkymo bankai turi toliau teikti pagrindines paslaugas; pabrėžia, kad reikia aiškios ir nuspėjamos sistemos, kuri apsaugotų indėlininkus ir remtų </w:t>
            </w:r>
            <w:r>
              <w:rPr>
                <w:b/>
                <w:i/>
              </w:rPr>
              <w:t>mažesnius</w:t>
            </w:r>
            <w:r>
              <w:t xml:space="preserve"> klientus ir MVĮ;</w:t>
            </w:r>
          </w:p>
        </w:tc>
        <w:tc>
          <w:tcPr>
            <w:tcW w:w="4876" w:type="dxa"/>
            <w:tcBorders>
              <w:top w:val="nil"/>
              <w:left w:val="nil"/>
              <w:bottom w:val="nil"/>
              <w:right w:val="nil"/>
            </w:tcBorders>
          </w:tcPr>
          <w:p>
            <w:pPr>
              <w:pStyle w:val="Normal6a"/>
            </w:pPr>
            <w:r>
              <w:t>18.</w:t>
            </w:r>
            <w:r>
              <w:tab/>
            </w:r>
            <w:r>
              <w:t xml:space="preserve">primena, kad po pertvarkymo bankai turi toliau teikti pagrindines paslaugas; pabrėžia, kad reikia aiškios ir nuspėjamos sistemos, kuri apsaugotų indėlininkus ir remtų klientus ir </w:t>
            </w:r>
            <w:r>
              <w:rPr>
                <w:b/>
                <w:i/>
              </w:rPr>
              <w:t>įmones, įskaitant</w:t>
            </w:r>
            <w:r>
              <w:t xml:space="preserve"> MVĮ;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primena, kad </w:t>
            </w:r>
            <w:r>
              <w:rPr>
                <w:b/>
                <w:i/>
              </w:rPr>
              <w:t>po</w:t>
            </w:r>
            <w:r>
              <w:t xml:space="preserve"> pertvarkymo bankai turi toliau teikti pagrindines paslaugas; pabrėžia, kad reikia aiškios ir nuspėjamos sistemos, kuri apsaugotų indėlininkus ir remtų mažesnius klientus ir MVĮ;</w:t>
            </w:r>
          </w:p>
        </w:tc>
        <w:tc>
          <w:tcPr>
            <w:tcW w:w="4876" w:type="dxa"/>
            <w:tcBorders>
              <w:top w:val="nil"/>
              <w:left w:val="nil"/>
              <w:bottom w:val="nil"/>
              <w:right w:val="nil"/>
            </w:tcBorders>
          </w:tcPr>
          <w:p>
            <w:pPr>
              <w:pStyle w:val="Normal6a"/>
            </w:pPr>
            <w:r>
              <w:t>18.</w:t>
            </w:r>
            <w:r>
              <w:tab/>
            </w:r>
            <w:r>
              <w:t xml:space="preserve">primena, kad pertvarkymo </w:t>
            </w:r>
            <w:r>
              <w:rPr>
                <w:b/>
                <w:i/>
              </w:rPr>
              <w:t>metu</w:t>
            </w:r>
            <w:r>
              <w:t xml:space="preserve"> bankai turi toliau teikti pagrindines paslaugas; pabrėžia, kad reikia aiškios ir nuspėjamos sistemos, kuri apsaugotų indėlininkus ir remtų mažesnius klientus ir MVĮ;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palankiai</w:t>
            </w:r>
            <w:r>
              <w:t xml:space="preserve"> vertina </w:t>
            </w:r>
            <w:r>
              <w:rPr>
                <w:b/>
                <w:i/>
              </w:rPr>
              <w:t>Bendrą</w:t>
            </w:r>
            <w:r>
              <w:t xml:space="preserve"> pertvarkymo </w:t>
            </w:r>
            <w:r>
              <w:rPr>
                <w:b/>
                <w:i/>
              </w:rPr>
              <w:t>fondą kaip visiškai sujungtą, pramonės finansuojamą</w:t>
            </w:r>
            <w:r>
              <w:t xml:space="preserve"> apsaugos </w:t>
            </w:r>
            <w:r>
              <w:rPr>
                <w:b/>
                <w:i/>
              </w:rPr>
              <w:t>priemonę;</w:t>
            </w:r>
            <w:r>
              <w:t xml:space="preserve"> </w:t>
            </w:r>
            <w:r>
              <w:rPr>
                <w:b/>
                <w:i/>
              </w:rPr>
              <w:t>pakartoja raginimą visapusiškai ratifikuoti Europos stabilumo mechanizmo steigimo sutarties (</w:t>
            </w:r>
            <w:r>
              <w:t>ESM sutarties</w:t>
            </w:r>
            <w:r>
              <w:rPr>
                <w:b/>
                <w:i/>
              </w:rPr>
              <w:t>) pakeitimą, kad būtų sustiprintas patikimumas, sėkmingo pertvarkymo galimybė ir euro zonos atsparumas</w:t>
            </w:r>
            <w:r>
              <w:t>;</w:t>
            </w:r>
          </w:p>
        </w:tc>
        <w:tc>
          <w:tcPr>
            <w:tcW w:w="4876" w:type="dxa"/>
            <w:tcBorders>
              <w:top w:val="nil"/>
              <w:left w:val="nil"/>
              <w:bottom w:val="nil"/>
              <w:right w:val="nil"/>
            </w:tcBorders>
          </w:tcPr>
          <w:p>
            <w:pPr>
              <w:pStyle w:val="Normal6a"/>
            </w:pPr>
            <w:r>
              <w:t>19.</w:t>
            </w:r>
            <w:r>
              <w:tab/>
            </w:r>
            <w:r>
              <w:rPr>
                <w:b/>
                <w:i/>
              </w:rPr>
              <w:t>kritiškai</w:t>
            </w:r>
            <w:r>
              <w:t xml:space="preserve"> vertina </w:t>
            </w:r>
            <w:r>
              <w:rPr>
                <w:b/>
                <w:i/>
              </w:rPr>
              <w:t>tai, kad Bendras</w:t>
            </w:r>
            <w:r>
              <w:t xml:space="preserve"> pertvarkymo </w:t>
            </w:r>
            <w:r>
              <w:rPr>
                <w:b/>
                <w:i/>
              </w:rPr>
              <w:t>fondas, nors ir numatytas kaip</w:t>
            </w:r>
            <w:r>
              <w:t xml:space="preserve"> apsaugos </w:t>
            </w:r>
            <w:r>
              <w:rPr>
                <w:b/>
                <w:i/>
              </w:rPr>
              <w:t>priemonė, šiuo metu nustato neskaidrias įnašų metodikas ir stokoja skaidrumo, todėl didėja išlaidų našta, o veiksmingumas akivaizdžiai nepadidėja;</w:t>
            </w:r>
            <w:r>
              <w:t xml:space="preserve"> </w:t>
            </w:r>
            <w:r>
              <w:rPr>
                <w:b/>
                <w:i/>
              </w:rPr>
              <w:t>vietoj to ištekliai galėtų būti geriau panaudojami taikant aiškesnius nacionalinius atsarginius planus ir rinka grindžiamą drausmę;</w:t>
            </w:r>
            <w:r>
              <w:t xml:space="preserve"> </w:t>
            </w:r>
            <w:r>
              <w:rPr>
                <w:b/>
                <w:i/>
              </w:rPr>
              <w:t>gerbia nacionalinių parlamentų prerogatyvas, susijusias su tarpvyriausybinės</w:t>
            </w:r>
            <w:r>
              <w:t xml:space="preserve"> ESM sutarties </w:t>
            </w:r>
            <w:r>
              <w:rPr>
                <w:b/>
                <w:i/>
              </w:rPr>
              <w:t>ratifikavimu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palankiai vertina</w:t>
            </w:r>
            <w:r>
              <w:t xml:space="preserve"> Bendrą pertvarkymo fondą kaip visiškai sujungtą, pramonės finansuojamą apsaugos priemonę; </w:t>
            </w:r>
            <w:r>
              <w:rPr>
                <w:b/>
                <w:i/>
              </w:rPr>
              <w:t>pakartoja raginimą visapusiškai ratifikuoti Europos stabilumo mechanizmo steigimo sutarties (ESM sutarties) pakeitimą, kad būtų sustiprintas patikimumas, sėkmingo pertvarkymo galimybė ir euro zonos atsparumas;</w:t>
            </w:r>
          </w:p>
        </w:tc>
        <w:tc>
          <w:tcPr>
            <w:tcW w:w="4876" w:type="dxa"/>
            <w:tcBorders>
              <w:top w:val="nil"/>
              <w:left w:val="nil"/>
              <w:bottom w:val="nil"/>
              <w:right w:val="nil"/>
            </w:tcBorders>
          </w:tcPr>
          <w:p>
            <w:pPr>
              <w:pStyle w:val="Normal6a"/>
            </w:pPr>
            <w:r>
              <w:t>19.</w:t>
            </w:r>
            <w:r>
              <w:tab/>
            </w:r>
            <w:r>
              <w:rPr>
                <w:b/>
                <w:i/>
              </w:rPr>
              <w:t>atkreipia dėmesį į</w:t>
            </w:r>
            <w:r>
              <w:t xml:space="preserve"> Bendrą pertvarkymo fondą kaip visiškai sujungtą, pramonės finansuojamą apsaugos priemonę;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palankiai vertina Bendrą pertvarkymo fondą kaip </w:t>
            </w:r>
            <w:r>
              <w:rPr>
                <w:b/>
                <w:i/>
              </w:rPr>
              <w:t>visiškai sujungtą, pramonės finansuojamą apsaugos</w:t>
            </w:r>
            <w:r>
              <w:t xml:space="preserve"> priemonę; pakartoja raginimą visapusiškai ratifikuoti Europos stabilumo mechanizmo steigimo sutarties (ESM sutarties) pakeitimą, kad būtų sustiprintas patikimumas, sėkmingo pertvarkymo galimybė ir euro zonos atsparumas;</w:t>
            </w:r>
          </w:p>
        </w:tc>
        <w:tc>
          <w:tcPr>
            <w:tcW w:w="4876" w:type="dxa"/>
            <w:tcBorders>
              <w:top w:val="nil"/>
              <w:left w:val="nil"/>
              <w:bottom w:val="nil"/>
              <w:right w:val="nil"/>
            </w:tcBorders>
          </w:tcPr>
          <w:p>
            <w:pPr>
              <w:pStyle w:val="Normal6a"/>
            </w:pPr>
            <w:r>
              <w:t>19.</w:t>
            </w:r>
            <w:r>
              <w:tab/>
            </w:r>
            <w:r>
              <w:t xml:space="preserve">palankiai vertina Bendrą pertvarkymo fondą kaip </w:t>
            </w:r>
            <w:r>
              <w:rPr>
                <w:b/>
                <w:i/>
              </w:rPr>
              <w:t>finansinio stabilumo stiprinimo</w:t>
            </w:r>
            <w:r>
              <w:t xml:space="preserve"> priemonę </w:t>
            </w:r>
            <w:r>
              <w:rPr>
                <w:b/>
                <w:i/>
              </w:rPr>
              <w:t>siekiant remti tvarkingą bankų krizių valdymą</w:t>
            </w:r>
            <w:r>
              <w:t>; pakartoja raginimą visapusiškai ratifikuoti Europos stabilumo mechanizmo steigimo sutarties (ESM sutarties) pakeitimą, kad būtų sustiprintas patikimumas, sėkmingo pertvarkymo galimybė ir euro zonos atsparumas</w:t>
            </w:r>
            <w:r>
              <w:rPr>
                <w:b/>
                <w:i/>
              </w:rPr>
              <w:t>, kartu išlaikant rinkos drausmę ir indėlininkų apsaugą</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palankiai vertina Bendrą pertvarkymo fondą kaip visiškai sujungtą, pramonės finansuojamą apsaugos priemonę; pakartoja raginimą visapusiškai ratifikuoti Europos stabilumo mechanizmo steigimo sutarties (ESM sutarties) pakeitimą, kad būtų sustiprintas patikimumas, sėkmingo pertvarkymo galimybė ir euro zonos atsparumas;</w:t>
            </w:r>
          </w:p>
        </w:tc>
        <w:tc>
          <w:tcPr>
            <w:tcW w:w="4876" w:type="dxa"/>
            <w:tcBorders>
              <w:top w:val="nil"/>
              <w:left w:val="nil"/>
              <w:bottom w:val="nil"/>
              <w:right w:val="nil"/>
            </w:tcBorders>
          </w:tcPr>
          <w:p>
            <w:pPr>
              <w:pStyle w:val="Normal6a"/>
            </w:pPr>
            <w:r>
              <w:t>19.</w:t>
            </w:r>
            <w:r>
              <w:tab/>
            </w:r>
            <w:r>
              <w:t xml:space="preserve">palankiai vertina Bendrą pertvarkymo fondą kaip visiškai sujungtą, pramonės finansuojamą apsaugos priemonę; pakartoja raginimą visapusiškai ratifikuoti Europos stabilumo mechanizmo steigimo sutarties (ESM sutarties) pakeitimą, kad būtų sustiprintas patikimumas, sėkmingo pertvarkymo galimybė ir euro zonos atsparumas; </w:t>
            </w:r>
            <w:r>
              <w:rPr>
                <w:b/>
                <w:i/>
              </w:rPr>
              <w:t>atkreipia dėmesį į mokesčių mokėtojų apsaugos tikslą pertvarkymo atveju ir primena, kad, be sutartos bendros finansinio stabilumo stiprinimo priemonės, žlungantiems bankams neturėtų būti naudojami jokie papildomi mokesčių mokėtojų ištekliai;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visas valstybes nares visapusiškai ratifikuoti susitarimą, kuriuo iš dalies keičiama ESM sutartis, įskaitant bendros finansinio stabilumo stiprinimo priemonės prie Bendro pertvarkymo fondo sukūrimą;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primena, kad nulinės rizikos koeficiento politika valstybės skolai yra problema, kurią reikia spręsti;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apgailestauja dėl to, kad BPV vadovybėje nėra lyčių pusiausvyros;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pabrėžia, kad Komisijos pasiūlymas sukurti Europos indėlių garantijų sistemą buvo paskelbtas dar 2015 m. ir kad nuo to laiko padėtis labai pasikeitė;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dar kartą patvirtina, kad yra tvirtai įsipareigojęs siekti, kad būtų sukurta visavertė EIDS, kuri būtų trečiasis, paskutinis ir esminis bankų sąjungos ramstis;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dar kartą patvirtina, kad yra tvirtai įsipareigojęs siekti, kad būtų sukurta visavertė EIDS, kuri būtų trečiasis, paskutinis ir esminis bankų sąjungos ramstis;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dar kartą patvirtina, kad yra tvirtai įsipareigojęs siekti, kad būtų sukurta visavertė EIDS, kuri būtų trečiasis, paskutinis ir esminis</w:t>
            </w:r>
            <w:r>
              <w:t xml:space="preserve"> bankų </w:t>
            </w:r>
            <w:r>
              <w:rPr>
                <w:b/>
                <w:i/>
              </w:rPr>
              <w:t>sąjungos ramstis</w:t>
            </w:r>
            <w:r>
              <w:t>;</w:t>
            </w:r>
          </w:p>
        </w:tc>
        <w:tc>
          <w:tcPr>
            <w:tcW w:w="4876" w:type="dxa"/>
            <w:tcBorders>
              <w:top w:val="nil"/>
              <w:left w:val="nil"/>
              <w:bottom w:val="nil"/>
              <w:right w:val="nil"/>
            </w:tcBorders>
          </w:tcPr>
          <w:p>
            <w:pPr>
              <w:pStyle w:val="Normal6a"/>
            </w:pPr>
            <w:r>
              <w:t>20.</w:t>
            </w:r>
            <w:r>
              <w:tab/>
            </w:r>
            <w:r>
              <w:rPr>
                <w:b/>
                <w:i/>
              </w:rPr>
              <w:t>atmeta EIDS;</w:t>
            </w:r>
            <w:r>
              <w:t xml:space="preserve"> </w:t>
            </w:r>
            <w:r>
              <w:rPr>
                <w:b/>
                <w:i/>
              </w:rPr>
              <w:t>teigia, kad dėl bendro indėlių draudimo rizika savaime perkeliama į stipresnę ekonomiką ir silpninamos indėlininkų paskatos stebėti</w:t>
            </w:r>
            <w:r>
              <w:t xml:space="preserve"> bankų </w:t>
            </w:r>
            <w:r>
              <w:rPr>
                <w:b/>
                <w:i/>
              </w:rPr>
              <w:t>riziką, todėl kyla neatsakingo elgesio rizika</w:t>
            </w:r>
            <w:r>
              <w:t xml:space="preserve">; </w:t>
            </w:r>
            <w:r>
              <w:rPr>
                <w:b/>
                <w:i/>
              </w:rPr>
              <w:t>vietoj to pasisako už patikimas nacionalines sistemas su suderintais minimaliais standartais, kuriomis būtų išsaugoti rinkos kainų signalai ir atsakomybė;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dar kartą patvirtina, kad yra tvirtai įsipareigojęs siekti</w:t>
            </w:r>
            <w:r>
              <w:t xml:space="preserve">, kad būtų </w:t>
            </w:r>
            <w:r>
              <w:rPr>
                <w:b/>
                <w:i/>
              </w:rPr>
              <w:t>sukurta visavertė EIDS, kuri būtų trečiasis, paskutinis ir esminis bankų sąjungos ramstis</w:t>
            </w:r>
            <w:r>
              <w:t>;</w:t>
            </w:r>
          </w:p>
        </w:tc>
        <w:tc>
          <w:tcPr>
            <w:tcW w:w="4876" w:type="dxa"/>
            <w:tcBorders>
              <w:top w:val="nil"/>
              <w:left w:val="nil"/>
              <w:bottom w:val="nil"/>
              <w:right w:val="nil"/>
            </w:tcBorders>
          </w:tcPr>
          <w:p>
            <w:pPr>
              <w:pStyle w:val="Normal6a"/>
            </w:pPr>
            <w:r>
              <w:t>20.</w:t>
            </w:r>
            <w:r>
              <w:tab/>
            </w:r>
            <w:r>
              <w:rPr>
                <w:b/>
                <w:i/>
              </w:rPr>
              <w:t>pabrėžia, kad institucinės užtikrinimo sistemos turi būti pašalintos iš Europos indėlių garantijų sistemos</w:t>
            </w:r>
            <w:r>
              <w:t xml:space="preserve">, kad būtų </w:t>
            </w:r>
            <w:r>
              <w:rPr>
                <w:b/>
                <w:i/>
              </w:rPr>
              <w:t>užtikrintas tolesnis jų veikimas, kartu išsaugant institucinių apsaugos sistemų savarankiškumą ir veiksmingumą ir laikantis joms taikomų konkrečių taisyklių, dėl kurių susitarta atliekant krizių valdymo ir indėlių draudimo sistemos peržiūrą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dar kartą patvirtina, kad yra tvirtai įsipareigojęs siekti, kad būtų sukurta visavertė EIDS, kuri būtų trečiasis, paskutinis ir esminis</w:t>
            </w:r>
            <w:r>
              <w:t xml:space="preserve"> bankų sąjungos </w:t>
            </w:r>
            <w:r>
              <w:rPr>
                <w:b/>
                <w:i/>
              </w:rPr>
              <w:t>ramstis</w:t>
            </w:r>
            <w:r>
              <w:t>;</w:t>
            </w:r>
          </w:p>
        </w:tc>
        <w:tc>
          <w:tcPr>
            <w:tcW w:w="4876" w:type="dxa"/>
            <w:tcBorders>
              <w:top w:val="nil"/>
              <w:left w:val="nil"/>
              <w:bottom w:val="nil"/>
              <w:right w:val="nil"/>
            </w:tcBorders>
          </w:tcPr>
          <w:p>
            <w:pPr>
              <w:pStyle w:val="Normal6a"/>
            </w:pPr>
            <w:r>
              <w:t>20.</w:t>
            </w:r>
            <w:r>
              <w:tab/>
            </w:r>
            <w:r>
              <w:rPr>
                <w:b/>
                <w:i/>
              </w:rPr>
              <w:t>atkreipia dėmesį į 2022 m. birželio 16 d. Euro grupės pareiškimą dėl</w:t>
            </w:r>
            <w:r>
              <w:t xml:space="preserve"> bankų sąjungos </w:t>
            </w:r>
            <w:r>
              <w:rPr>
                <w:b/>
                <w:i/>
              </w:rPr>
              <w:t>ateities ir pripažįsta, kad bet kokios diskusijos dėl EIDS turėtų būti platesnės diskusijos dėl visų likusių bankų sąjungos elementų dalis, užtikrinant proporcingumą ir atsižvelgiant į nacionalinius ypatumus</w:t>
            </w:r>
            <w:r>
              <w:t xml:space="preserve">; </w:t>
            </w:r>
            <w:r>
              <w:rPr>
                <w:b/>
                <w:i/>
              </w:rPr>
              <w:t>pabrėžia, kad prieš pradedant rengti konkrečius pasiūlymus dėl teisėkūros procedūra priimamų aktų turėtų būti pasiektas bendras sutarimas dėl galimų tolesnių pagrindinių bankų sąjungos elementų;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dar kartą patvirtina, kad yra </w:t>
            </w:r>
            <w:r>
              <w:rPr>
                <w:b/>
                <w:i/>
              </w:rPr>
              <w:t>tvirtai</w:t>
            </w:r>
            <w:r>
              <w:t xml:space="preserve"> įsipareigojęs siekti</w:t>
            </w:r>
            <w:r>
              <w:rPr>
                <w:b/>
                <w:i/>
              </w:rPr>
              <w:t>, kad būtų sukurta visavertė EIDS, kuri būtų trečiasis, paskutinis ir esminis</w:t>
            </w:r>
            <w:r>
              <w:t xml:space="preserve"> bankų sąjungos </w:t>
            </w:r>
            <w:r>
              <w:rPr>
                <w:b/>
                <w:i/>
              </w:rPr>
              <w:t>ramstis</w:t>
            </w:r>
            <w:r>
              <w:t>;</w:t>
            </w:r>
          </w:p>
        </w:tc>
        <w:tc>
          <w:tcPr>
            <w:tcW w:w="4876" w:type="dxa"/>
            <w:tcBorders>
              <w:top w:val="nil"/>
              <w:left w:val="nil"/>
              <w:bottom w:val="nil"/>
              <w:right w:val="nil"/>
            </w:tcBorders>
          </w:tcPr>
          <w:p>
            <w:pPr>
              <w:pStyle w:val="Normal6a"/>
            </w:pPr>
            <w:r>
              <w:t>20.</w:t>
            </w:r>
            <w:r>
              <w:tab/>
            </w:r>
            <w:r>
              <w:t xml:space="preserve">dar kartą patvirtina, kad yra įsipareigojęs siekti </w:t>
            </w:r>
            <w:r>
              <w:rPr>
                <w:b/>
                <w:i/>
              </w:rPr>
              <w:t>tolesnės</w:t>
            </w:r>
            <w:r>
              <w:t xml:space="preserve"> bankų sąjungos </w:t>
            </w:r>
            <w:r>
              <w:rPr>
                <w:b/>
                <w:i/>
              </w:rPr>
              <w:t>plėtros tinkamai atsižvelgiant į nacionalinius ypatumus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dar kartą patvirtina, kad yra tvirtai įsipareigojęs siekti, kad būtų sukurta </w:t>
            </w:r>
            <w:r>
              <w:rPr>
                <w:b/>
                <w:i/>
              </w:rPr>
              <w:t>visavertė EIDS, kuri būtų trečiasis, paskutinis ir esminis</w:t>
            </w:r>
            <w:r>
              <w:t xml:space="preserve"> bankų </w:t>
            </w:r>
            <w:r>
              <w:rPr>
                <w:b/>
                <w:i/>
              </w:rPr>
              <w:t>sąjungos ramstis</w:t>
            </w:r>
            <w:r>
              <w:t>;</w:t>
            </w:r>
          </w:p>
        </w:tc>
        <w:tc>
          <w:tcPr>
            <w:tcW w:w="4876" w:type="dxa"/>
            <w:tcBorders>
              <w:top w:val="nil"/>
              <w:left w:val="nil"/>
              <w:bottom w:val="nil"/>
              <w:right w:val="nil"/>
            </w:tcBorders>
          </w:tcPr>
          <w:p>
            <w:pPr>
              <w:pStyle w:val="Normal6a"/>
            </w:pPr>
            <w:r>
              <w:t>20.</w:t>
            </w:r>
            <w:r>
              <w:tab/>
            </w:r>
            <w:r>
              <w:t xml:space="preserve">dar kartą patvirtina, kad yra tvirtai įsipareigojęs siekti, kad būtų sukurta </w:t>
            </w:r>
            <w:r>
              <w:rPr>
                <w:b/>
                <w:i/>
              </w:rPr>
              <w:t>patikima ir išsami</w:t>
            </w:r>
            <w:r>
              <w:t xml:space="preserve"> bankų </w:t>
            </w:r>
            <w:r>
              <w:rPr>
                <w:b/>
                <w:i/>
              </w:rPr>
              <w:t>sąjunga;</w:t>
            </w:r>
            <w:r>
              <w:t xml:space="preserve"> </w:t>
            </w:r>
            <w:r>
              <w:rPr>
                <w:b/>
                <w:i/>
              </w:rPr>
              <w:t>primena, kad abi teisėkūros institucijos nepadarė pažangos EIDS klausimu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dar kartą patvirtina, kad yra tvirtai įsipareigojęs siekti, kad būtų sukurta </w:t>
            </w:r>
            <w:r>
              <w:rPr>
                <w:b/>
                <w:i/>
              </w:rPr>
              <w:t>visavertė</w:t>
            </w:r>
            <w:r>
              <w:t xml:space="preserve"> EIDS, kuri būtų trečiasis, paskutinis ir esminis bankų sąjungos ramstis;</w:t>
            </w:r>
          </w:p>
        </w:tc>
        <w:tc>
          <w:tcPr>
            <w:tcW w:w="4876" w:type="dxa"/>
            <w:tcBorders>
              <w:top w:val="nil"/>
              <w:left w:val="nil"/>
              <w:bottom w:val="nil"/>
              <w:right w:val="nil"/>
            </w:tcBorders>
          </w:tcPr>
          <w:p>
            <w:pPr>
              <w:pStyle w:val="Normal6a"/>
            </w:pPr>
            <w:r>
              <w:t>20.</w:t>
            </w:r>
            <w:r>
              <w:tab/>
            </w:r>
            <w:r>
              <w:t xml:space="preserve">dar kartą patvirtina, kad yra tvirtai įsipareigojęs siekti, kad būtų sukurta </w:t>
            </w:r>
            <w:r>
              <w:rPr>
                <w:b/>
                <w:i/>
              </w:rPr>
              <w:t>tokia</w:t>
            </w:r>
            <w:r>
              <w:t xml:space="preserve"> EIDS, </w:t>
            </w:r>
            <w:r>
              <w:rPr>
                <w:b/>
                <w:i/>
              </w:rPr>
              <w:t>pagal kurią būtų visapusiškai atsižvelgiama į nacionalinius ypatumus ir</w:t>
            </w:r>
            <w:r>
              <w:t xml:space="preserve"> kuri būtų trečiasis, paskutinis ir esminis bankų sąjungos ramstis;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dar kartą patvirtina, kad yra tvirtai įsipareigojęs siekti, kad būtų sukurta </w:t>
            </w:r>
            <w:r>
              <w:rPr>
                <w:b/>
                <w:i/>
              </w:rPr>
              <w:t>visavertė</w:t>
            </w:r>
            <w:r>
              <w:t xml:space="preserve"> EIDS, kuri būtų trečiasis, paskutinis ir esminis bankų sąjungos ramstis;</w:t>
            </w:r>
          </w:p>
        </w:tc>
        <w:tc>
          <w:tcPr>
            <w:tcW w:w="4876" w:type="dxa"/>
            <w:tcBorders>
              <w:top w:val="nil"/>
              <w:left w:val="nil"/>
              <w:bottom w:val="nil"/>
              <w:right w:val="nil"/>
            </w:tcBorders>
          </w:tcPr>
          <w:p>
            <w:pPr>
              <w:pStyle w:val="Normal6a"/>
            </w:pPr>
            <w:r>
              <w:t>20.</w:t>
            </w:r>
            <w:r>
              <w:tab/>
            </w:r>
            <w:r>
              <w:t xml:space="preserve">dar kartą patvirtina, kad yra tvirtai įsipareigojęs siekti, kad būtų sukurta </w:t>
            </w:r>
            <w:r>
              <w:rPr>
                <w:b/>
                <w:i/>
              </w:rPr>
              <w:t>pasidalijamoji</w:t>
            </w:r>
            <w:r>
              <w:t xml:space="preserve"> EIDS, kuri būtų trečiasis, paskutinis ir esminis bankų sąjungos ramstis; </w:t>
            </w:r>
            <w:r>
              <w:rPr>
                <w:b/>
                <w:i/>
              </w:rPr>
              <w:t>pabrėžia, kad bendra indėlių apsaugos sistema yra būtina siekiant užtikrinti vienodą indėlininkų apsaugą visoje Sąjungoje, toliau stiprinti finansinį stabilumą ir ryžtingai mažinti likusio bankų ir valstybių ryšio mastą;</w:t>
            </w:r>
            <w:r>
              <w:t xml:space="preserve"> </w:t>
            </w:r>
            <w:r>
              <w:rPr>
                <w:b/>
                <w:i/>
              </w:rPr>
              <w:t>pabrėžia, kad EIDS turėtų būti baigiama kurti rizika grindžiamu, fiskaliniu požiūriu atsakingu būdu ir kartu dedant nuolatines pastangas mažinti riziką, taip stiprinant rinkos pasitikėjimą ir bendrosios bankų rinkos vientisumą;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dar kartą patvirtina, kad yra tvirtai įsipareigojęs siekti, kad būtų sukurta visavertė EIDS, kuri būtų trečiasis, paskutinis ir esminis bankų sąjungos ramstis;</w:t>
            </w:r>
          </w:p>
        </w:tc>
        <w:tc>
          <w:tcPr>
            <w:tcW w:w="4876" w:type="dxa"/>
            <w:tcBorders>
              <w:top w:val="nil"/>
              <w:left w:val="nil"/>
              <w:bottom w:val="nil"/>
              <w:right w:val="nil"/>
            </w:tcBorders>
          </w:tcPr>
          <w:p>
            <w:pPr>
              <w:pStyle w:val="Normal6a"/>
            </w:pPr>
            <w:r>
              <w:t>20.</w:t>
            </w:r>
            <w:r>
              <w:tab/>
            </w:r>
            <w:r>
              <w:t xml:space="preserve">dar kartą patvirtina, kad yra tvirtai įsipareigojęs siekti, kad būtų sukurta visavertė EIDS, </w:t>
            </w:r>
            <w:r>
              <w:rPr>
                <w:b/>
                <w:i/>
              </w:rPr>
              <w:t>pagal kurią būtų padengiami nuostoliai ir</w:t>
            </w:r>
            <w:r>
              <w:t xml:space="preserve"> kuri būtų trečiasis, paskutinis ir esminis bankų sąjungos ramstis; </w:t>
            </w:r>
            <w:r>
              <w:rPr>
                <w:b/>
                <w:i/>
              </w:rPr>
              <w:t>primena, kad EIDS gerokai sumažintų ydingą bankų ir jų valstybių ryšio ratą;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dar kartą patvirtina, kad yra tvirtai įsipareigojęs siekti, kad būtų sukurta visavertė EIDS, kuri būtų trečiasis, paskutinis ir esminis bankų sąjungos ramstis;</w:t>
            </w:r>
          </w:p>
        </w:tc>
        <w:tc>
          <w:tcPr>
            <w:tcW w:w="4876" w:type="dxa"/>
            <w:tcBorders>
              <w:top w:val="nil"/>
              <w:left w:val="nil"/>
              <w:bottom w:val="nil"/>
              <w:right w:val="nil"/>
            </w:tcBorders>
          </w:tcPr>
          <w:p>
            <w:pPr>
              <w:pStyle w:val="Normal6a"/>
            </w:pPr>
            <w:r>
              <w:t>20.</w:t>
            </w:r>
            <w:r>
              <w:tab/>
            </w:r>
            <w:r>
              <w:t>dar kartą patvirtina, kad yra tvirtai įsipareigojęs siekti, kad būtų sukurta visavertė EIDS, kuri būtų trečiasis, paskutinis ir esminis bankų sąjungos ramstis</w:t>
            </w:r>
            <w:r>
              <w:rPr>
                <w:b/>
                <w:i/>
              </w:rPr>
              <w:t>, grindžiamas tinkamu rizikos mažinimu, tinkamomis paskatomis ir struktūra, kuria didinamas indėlininkų pasitikėjimas, rinkos drausmė ir finansinis stabilumas visoje Sąjungoje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dar kartą patvirtina, kad yra tvirtai įsipareigojęs siekti, kad būtų sukurta </w:t>
            </w:r>
            <w:r>
              <w:rPr>
                <w:b/>
                <w:i/>
              </w:rPr>
              <w:t>visavertė</w:t>
            </w:r>
            <w:r>
              <w:t xml:space="preserve"> EIDS, kuri būtų trečiasis, paskutinis ir esminis bankų sąjungos ramstis;</w:t>
            </w:r>
          </w:p>
        </w:tc>
        <w:tc>
          <w:tcPr>
            <w:tcW w:w="4876" w:type="dxa"/>
            <w:tcBorders>
              <w:top w:val="nil"/>
              <w:left w:val="nil"/>
              <w:bottom w:val="nil"/>
              <w:right w:val="nil"/>
            </w:tcBorders>
          </w:tcPr>
          <w:p>
            <w:pPr>
              <w:pStyle w:val="Normal6a"/>
            </w:pPr>
            <w:r>
              <w:t>20.</w:t>
            </w:r>
            <w:r>
              <w:tab/>
            </w:r>
            <w:r>
              <w:t xml:space="preserve">dar kartą patvirtina, kad yra tvirtai įsipareigojęs siekti, kad būtų sukurta EIDS, kuri būtų trečiasis, paskutinis ir esminis bankų sąjungos ramstis; </w:t>
            </w:r>
            <w:r>
              <w:rPr>
                <w:b/>
                <w:i/>
              </w:rPr>
              <w:t>mano, kad palaipsniui įvedus Europos indėlių draudimo sistemą turėtų sumažėti rizika visiems bankams bankų sąjungoje;</w:t>
            </w:r>
            <w:r>
              <w:t xml:space="preserve"> </w:t>
            </w:r>
            <w:r>
              <w:rPr>
                <w:b/>
                <w:i/>
              </w:rPr>
              <w:t>pabrėžia, kad priimant įnašus į Europos indėlių draudimo sistemą turėtų būti atsižvelgiama į kiekvieno dalyvaujančio sektoriaus rizikos profilį;</w:t>
            </w:r>
            <w:r>
              <w:t xml:space="preserve"> </w:t>
            </w:r>
            <w:r>
              <w:rPr>
                <w:b/>
                <w:i/>
              </w:rPr>
              <w:t>taip pat pabrėžia, kad svarbu visapusiškai taikyti dabartines taisykles, įskaitant tokius mechanizmus kaip likvidumo reikalavimų netaikymas, nes tai yra vienas iš būdų užtikrinti laisvus grupės vidaus kapitalo ir likvidumo srautus, taip sudarant sąlygas Europos bankams veiksmingai finansuoti įmones visoje ES ir didinti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dar kartą patvirtina, kad yra tvirtai įsipareigojęs siekti, kad būtų sukurta visavertė EIDS, kuri būtų trečiasis, paskutinis ir esminis bankų sąjungos ramstis;</w:t>
            </w:r>
          </w:p>
        </w:tc>
        <w:tc>
          <w:tcPr>
            <w:tcW w:w="4876" w:type="dxa"/>
            <w:tcBorders>
              <w:top w:val="nil"/>
              <w:left w:val="nil"/>
              <w:bottom w:val="nil"/>
              <w:right w:val="nil"/>
            </w:tcBorders>
          </w:tcPr>
          <w:p>
            <w:pPr>
              <w:pStyle w:val="Normal6a"/>
            </w:pPr>
            <w:r>
              <w:t>20.</w:t>
            </w:r>
            <w:r>
              <w:tab/>
            </w:r>
            <w:r>
              <w:t xml:space="preserve">dar kartą patvirtina, kad yra tvirtai įsipareigojęs siekti, kad būtų sukurta visavertė EIDS, kuri būtų trečiasis, paskutinis ir esminis bankų sąjungos ramstis; </w:t>
            </w:r>
            <w:r>
              <w:rPr>
                <w:b/>
                <w:i/>
              </w:rPr>
              <w:t>apgailestauja dėl to, kad neturint EIDS bankų sąjunga tebėra neišbaigta;</w:t>
            </w:r>
            <w:r>
              <w:t xml:space="preserve"> </w:t>
            </w:r>
            <w:r>
              <w:rPr>
                <w:b/>
                <w:i/>
              </w:rPr>
              <w:t>pripažįsta, kad EIDS pagerintų indėlininkų apsaugą ES;</w:t>
            </w:r>
            <w:r>
              <w:t xml:space="preserve"> </w:t>
            </w:r>
            <w:r>
              <w:rPr>
                <w:b/>
                <w:i/>
              </w:rPr>
              <w:t>primena, kad EIDS būtų apčiuopiamas bankų sąjungos elementas ES piliečiams, kartu su padėjusia konkurencija ir vartotojų pasirinkimu;</w:t>
            </w:r>
            <w:r>
              <w:t xml:space="preserve"> </w:t>
            </w:r>
            <w:r>
              <w:rPr>
                <w:b/>
                <w:i/>
              </w:rPr>
              <w:t>mano, kad EIDS aprūpintų;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pripažįsta, kad Europos indėlių draudimo sistema (EIDS) galėtų pagerinti indėlininkų apsaugą ES;</w:t>
            </w:r>
            <w:r>
              <w:t xml:space="preserve"> </w:t>
            </w:r>
            <w:r>
              <w:rPr>
                <w:b/>
                <w:i/>
              </w:rPr>
              <w:t>vis dėlto mano, kad pagrindinė kliūtis, trukdanti įdiegti EIDS, yra susijusi su rizika kai kuriose bankų sistemose;</w:t>
            </w:r>
            <w:r>
              <w:t xml:space="preserve"> </w:t>
            </w:r>
            <w:r>
              <w:rPr>
                <w:b/>
                <w:i/>
              </w:rPr>
              <w:t>pabrėžia, kad šios rizikos mažinimas yra labai svarbus siekiant susitarimo dėl bet kokios EIDS;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atkreipia dėmesį į tai, kad iš pradžių pasiūlyta EIDS forma nebegalioja ir nėra galimybių užsitikrinti paramą, kad ją būtų galima įgyvendinti;</w:t>
            </w:r>
            <w:r>
              <w:t xml:space="preserve"> </w:t>
            </w:r>
            <w:r>
              <w:rPr>
                <w:b/>
                <w:i/>
              </w:rPr>
              <w:t>mano, kad galima EIDS turėtų būti ne visiškai integruota sistema, o tam tikros formos perdraudimas;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w:t>
            </w:r>
            <w:r>
              <w:t xml:space="preserve"> </w:t>
            </w:r>
            <w:r>
              <w:rPr>
                <w:b/>
                <w:i/>
              </w:rPr>
              <w:t>primena šio komiteto 2024 m. poziciją dėl EIDS;</w:t>
            </w:r>
            <w:r>
              <w:t xml:space="preserve"> </w:t>
            </w:r>
            <w:r>
              <w:rPr>
                <w:b/>
                <w:i/>
              </w:rPr>
              <w:t>primygtinai ragina Tarybą daryti pažangą derybose;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w:t>
            </w:r>
            <w:r>
              <w:t xml:space="preserve"> </w:t>
            </w:r>
            <w:r>
              <w:rPr>
                <w:b/>
                <w:i/>
              </w:rPr>
              <w:t>primena šio komiteto 2024 m. poziciją</w:t>
            </w:r>
            <w:r>
              <w:t xml:space="preserve"> dėl EIDS</w:t>
            </w:r>
            <w:r>
              <w:rPr>
                <w:b/>
                <w:i/>
              </w:rPr>
              <w:t>;</w:t>
            </w:r>
            <w:r>
              <w:t xml:space="preserve"> primygtinai ragina </w:t>
            </w:r>
            <w:r>
              <w:rPr>
                <w:b/>
                <w:i/>
              </w:rPr>
              <w:t>Tarybą daryti pažangą derybose</w:t>
            </w:r>
            <w:r>
              <w:t>;</w:t>
            </w:r>
          </w:p>
        </w:tc>
        <w:tc>
          <w:tcPr>
            <w:tcW w:w="4876" w:type="dxa"/>
            <w:tcBorders>
              <w:top w:val="nil"/>
              <w:left w:val="nil"/>
              <w:bottom w:val="nil"/>
              <w:right w:val="nil"/>
            </w:tcBorders>
          </w:tcPr>
          <w:p>
            <w:pPr>
              <w:pStyle w:val="Normal6a"/>
            </w:pPr>
            <w:r>
              <w:t>21.</w:t>
            </w:r>
            <w:r>
              <w:tab/>
            </w:r>
            <w:r>
              <w:rPr>
                <w:b/>
                <w:i/>
              </w:rPr>
              <w:t>ragina Komisiją pripažinti, kad dabartinis pasiūlymas dėl teisėkūros procedūra priimamo akto</w:t>
            </w:r>
            <w:r>
              <w:t xml:space="preserve"> dėl EIDS </w:t>
            </w:r>
            <w:r>
              <w:rPr>
                <w:b/>
                <w:i/>
              </w:rPr>
              <w:t>keletą metų buvo įstrigęs ir nedavė apčiuopiamos pažangos, apgailestauja dėl to, kad ši užsitęsusi aklavietė pakenkė įsipareigojimo baigti kurti bankų sąjungą patikimumui, ir</w:t>
            </w:r>
            <w:r>
              <w:t xml:space="preserve"> primygtinai ragina </w:t>
            </w:r>
            <w:r>
              <w:rPr>
                <w:b/>
                <w:i/>
              </w:rPr>
              <w:t>Komisiją atsiimti dabartinį pasiūlymą ir nedelsiant pateikti atnaujintą platesnio užmojo iniciatyvą, kuria būtų galima pasiekti tikrą politinį susitarimą dėl EIDS</w:t>
            </w:r>
            <w:r>
              <w:t xml:space="preserve">; </w:t>
            </w:r>
            <w:r>
              <w:rPr>
                <w:b/>
                <w:i/>
              </w:rPr>
              <w:t>pabrėžia, kad tokiu nauju pasiūlymu turėtų būti sukurta patikima, veiksminga ir rizika grindžiama sistema, kuri suteiktų tikrą postūmį baigti kurti EIDS, sustiprintų indėlininkų pasitikėjimą ir užtikrintų vienodas sąlygas visoje bendrojoje bankų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palankiai vertina</w:t>
            </w:r>
            <w:r>
              <w:t xml:space="preserve"> krizių valdymo ir indėlių draudimo </w:t>
            </w:r>
            <w:r>
              <w:rPr>
                <w:b/>
                <w:i/>
              </w:rPr>
              <w:t>sistemos dokumentų rinkinio priėmimą, kaip tinkamą žingsnį, stiprinantį nacionalines indėlių garantijų sistemas, didinantį pasitikėjimą bankų sektoriumi ir gerinantį veiklos ir teisines sąlygas siekiant bendros ES indėlininkų ir mokesčių mokėtojų apsaugos;</w:t>
            </w:r>
            <w:r>
              <w:t xml:space="preserve"> </w:t>
            </w:r>
            <w:r>
              <w:rPr>
                <w:b/>
                <w:i/>
              </w:rPr>
              <w:t>primena šio komiteto 2024 m. poziciją dėl EIDS;</w:t>
            </w:r>
            <w:r>
              <w:t xml:space="preserve"> </w:t>
            </w:r>
            <w:r>
              <w:rPr>
                <w:b/>
                <w:i/>
              </w:rPr>
              <w:t>primygtinai ragina Tarybą daryti pažangą derybose</w:t>
            </w:r>
            <w:r>
              <w:t>;</w:t>
            </w:r>
          </w:p>
        </w:tc>
        <w:tc>
          <w:tcPr>
            <w:tcW w:w="4876" w:type="dxa"/>
            <w:tcBorders>
              <w:top w:val="nil"/>
              <w:left w:val="nil"/>
              <w:bottom w:val="nil"/>
              <w:right w:val="nil"/>
            </w:tcBorders>
          </w:tcPr>
          <w:p>
            <w:pPr>
              <w:pStyle w:val="Normal6a"/>
            </w:pPr>
            <w:r>
              <w:t>21.</w:t>
            </w:r>
            <w:r>
              <w:tab/>
            </w:r>
            <w:r>
              <w:rPr>
                <w:b/>
                <w:i/>
              </w:rPr>
              <w:t>pripažįsta pažangą, padarytą</w:t>
            </w:r>
            <w:r>
              <w:t xml:space="preserve"> krizių valdymo ir indėlių draudimo </w:t>
            </w:r>
            <w:r>
              <w:rPr>
                <w:b/>
                <w:i/>
              </w:rPr>
              <w:t>srityje, tačiau įspėja dėl pernelyg didelio kliovimosi centralizuotomis sistemomis, nes dėl to galėtų sumažėti atskaitomybė ir fiskaliniu požiūriu atsakingoms valstybėms narėms galėtų tekti sisteminiai įsipareigojimai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palankiai vertina krizių valdymo ir indėlių draudimo </w:t>
            </w:r>
            <w:r>
              <w:rPr>
                <w:b/>
                <w:i/>
              </w:rPr>
              <w:t>sistemos</w:t>
            </w:r>
            <w:r>
              <w:t xml:space="preserve"> dokumentų rinkinio priėmimą, kaip tinkamą žingsnį, stiprinantį nacionalines indėlių garantijų sistemas</w:t>
            </w:r>
            <w:r>
              <w:rPr>
                <w:b/>
                <w:i/>
              </w:rPr>
              <w:t>, didinantį</w:t>
            </w:r>
            <w:r>
              <w:t xml:space="preserve"> pasitikėjimą bankų sektoriumi </w:t>
            </w:r>
            <w:r>
              <w:rPr>
                <w:b/>
                <w:i/>
              </w:rPr>
              <w:t>ir gerinantį veiklos ir teisines sąlygas siekiant bendros ES indėlininkų ir mokesčių mokėtojų apsaugos</w:t>
            </w:r>
            <w:r>
              <w:t xml:space="preserve">; </w:t>
            </w:r>
            <w:r>
              <w:rPr>
                <w:b/>
                <w:i/>
              </w:rPr>
              <w:t>primena šio komiteto 2024 m. poziciją dėl EIDS;</w:t>
            </w:r>
            <w:r>
              <w:t xml:space="preserve"> </w:t>
            </w:r>
            <w:r>
              <w:rPr>
                <w:b/>
                <w:i/>
              </w:rPr>
              <w:t>primygtinai ragina Tarybą daryti pažangą derybose;</w:t>
            </w:r>
          </w:p>
        </w:tc>
        <w:tc>
          <w:tcPr>
            <w:tcW w:w="4876" w:type="dxa"/>
            <w:tcBorders>
              <w:top w:val="nil"/>
              <w:left w:val="nil"/>
              <w:bottom w:val="nil"/>
              <w:right w:val="nil"/>
            </w:tcBorders>
          </w:tcPr>
          <w:p>
            <w:pPr>
              <w:pStyle w:val="Normal6a"/>
            </w:pPr>
            <w:r>
              <w:t>21.</w:t>
            </w:r>
            <w:r>
              <w:tab/>
            </w:r>
            <w:r>
              <w:t xml:space="preserve">palankiai vertina krizių valdymo ir indėlių draudimo dokumentų rinkinio priėmimą, kaip tinkamą žingsnį, stiprinantį nacionalines indėlių garantijų sistemas </w:t>
            </w:r>
            <w:r>
              <w:rPr>
                <w:b/>
                <w:i/>
              </w:rPr>
              <w:t>ir</w:t>
            </w:r>
            <w:r>
              <w:t xml:space="preserve"> pasitikėjimą bankų sektoriumi;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 </w:t>
            </w:r>
            <w:r>
              <w:rPr>
                <w:b/>
                <w:i/>
              </w:rPr>
              <w:t>primena šio komiteto 2024 m. poziciją dėl EIDS;</w:t>
            </w:r>
            <w:r>
              <w:t xml:space="preserve"> </w:t>
            </w:r>
            <w:r>
              <w:rPr>
                <w:b/>
                <w:i/>
              </w:rPr>
              <w:t>primygtinai ragina Tarybą daryti pažangą derybose;</w:t>
            </w:r>
          </w:p>
        </w:tc>
        <w:tc>
          <w:tcPr>
            <w:tcW w:w="4876" w:type="dxa"/>
            <w:tcBorders>
              <w:top w:val="nil"/>
              <w:left w:val="nil"/>
              <w:bottom w:val="nil"/>
              <w:right w:val="nil"/>
            </w:tcBorders>
          </w:tcPr>
          <w:p>
            <w:pPr>
              <w:pStyle w:val="Normal6a"/>
            </w:pPr>
            <w:r>
              <w:t>21.</w:t>
            </w:r>
            <w:r>
              <w:tab/>
            </w:r>
            <w:r>
              <w:t>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 </w:t>
            </w:r>
            <w:r>
              <w:rPr>
                <w:b/>
                <w:i/>
              </w:rPr>
              <w:t>primena šio komiteto 2024 m. poziciją dėl EIDS;</w:t>
            </w:r>
            <w:r>
              <w:t xml:space="preserve"> </w:t>
            </w:r>
            <w:r>
              <w:rPr>
                <w:b/>
                <w:i/>
              </w:rPr>
              <w:t>primygtinai ragina Tarybą daryti pažangą derybose;</w:t>
            </w:r>
          </w:p>
        </w:tc>
        <w:tc>
          <w:tcPr>
            <w:tcW w:w="4876" w:type="dxa"/>
            <w:tcBorders>
              <w:top w:val="nil"/>
              <w:left w:val="nil"/>
              <w:bottom w:val="nil"/>
              <w:right w:val="nil"/>
            </w:tcBorders>
          </w:tcPr>
          <w:p>
            <w:pPr>
              <w:pStyle w:val="Normal6a"/>
            </w:pPr>
            <w:r>
              <w:t>21.</w:t>
            </w:r>
            <w:r>
              <w:tab/>
            </w:r>
            <w:r>
              <w:t>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 </w:t>
            </w:r>
            <w:r>
              <w:rPr>
                <w:b/>
                <w:i/>
              </w:rPr>
              <w:t>primena šio komiteto 2024 m. poziciją dėl EIDS;</w:t>
            </w:r>
            <w:r>
              <w:t xml:space="preserve"> primygtinai ragina Tarybą daryti pažangą derybose;</w:t>
            </w:r>
          </w:p>
        </w:tc>
        <w:tc>
          <w:tcPr>
            <w:tcW w:w="4876" w:type="dxa"/>
            <w:tcBorders>
              <w:top w:val="nil"/>
              <w:left w:val="nil"/>
              <w:bottom w:val="nil"/>
              <w:right w:val="nil"/>
            </w:tcBorders>
          </w:tcPr>
          <w:p>
            <w:pPr>
              <w:pStyle w:val="Normal6a"/>
            </w:pPr>
            <w:r>
              <w:t>21.</w:t>
            </w:r>
            <w:r>
              <w:tab/>
            </w:r>
            <w:r>
              <w:t>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 primygtinai ragina Tarybą daryti pažangą derybose;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 </w:t>
            </w:r>
            <w:r>
              <w:rPr>
                <w:b/>
                <w:i/>
              </w:rPr>
              <w:t>primena šio komiteto 2024 m. poziciją dėl EIDS;</w:t>
            </w:r>
            <w:r>
              <w:t xml:space="preserve"> primygtinai ragina Tarybą daryti pažangą derybose;</w:t>
            </w:r>
          </w:p>
        </w:tc>
        <w:tc>
          <w:tcPr>
            <w:tcW w:w="4876" w:type="dxa"/>
            <w:tcBorders>
              <w:top w:val="nil"/>
              <w:left w:val="nil"/>
              <w:bottom w:val="nil"/>
              <w:right w:val="nil"/>
            </w:tcBorders>
          </w:tcPr>
          <w:p>
            <w:pPr>
              <w:pStyle w:val="Normal6a"/>
            </w:pPr>
            <w:r>
              <w:t>21.</w:t>
            </w:r>
            <w:r>
              <w:tab/>
            </w:r>
            <w:r>
              <w:t>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 primygtinai ragina Tarybą daryti pažangą derybose;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palankiai vertina krizių valdymo ir indėlių draudimo sistemos dokumentų rinkinio priėmimą, kaip tinkamą žingsnį</w:t>
            </w:r>
            <w:r>
              <w:rPr>
                <w:b/>
                <w:i/>
              </w:rPr>
              <w:t>, stiprinantį nacionalines indėlių garantijų sistemas</w:t>
            </w:r>
            <w:r>
              <w:t>, didinantį pasitikėjimą bankų sektoriumi ir gerinantį veiklos ir teisines sąlygas siekiant bendros ES indėlininkų ir mokesčių mokėtojų apsaugos; primena šio komiteto 2024 m. poziciją dėl EIDS; primygtinai ragina Tarybą daryti pažangą derybose;</w:t>
            </w:r>
          </w:p>
        </w:tc>
        <w:tc>
          <w:tcPr>
            <w:tcW w:w="4876" w:type="dxa"/>
            <w:tcBorders>
              <w:top w:val="nil"/>
              <w:left w:val="nil"/>
              <w:bottom w:val="nil"/>
              <w:right w:val="nil"/>
            </w:tcBorders>
          </w:tcPr>
          <w:p>
            <w:pPr>
              <w:pStyle w:val="Normal6a"/>
            </w:pPr>
            <w:r>
              <w:t>21.</w:t>
            </w:r>
            <w:r>
              <w:tab/>
            </w:r>
            <w:r>
              <w:t xml:space="preserve">palankiai vertina krizių valdymo ir indėlių draudimo sistemos dokumentų rinkinio priėmimą, kaip tinkamą žingsnį, didinantį pasitikėjimą bankų sektoriumi ir gerinantį veiklos ir teisines sąlygas siekiant bendros ES indėlininkų ir mokesčių mokėtojų apsaugos; primena šio komiteto 2024 m. poziciją dėl EIDS; primygtinai ragina Tarybą daryti pažangą derybose; </w:t>
            </w:r>
            <w:r>
              <w:rPr>
                <w:b/>
                <w:i/>
              </w:rPr>
              <w:t>primygtinai ragina naująjį Euro grupės pirmininką kuo greičiau atnaujinti diskusijas šiuo klausimu;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palankiai vertina krizių valdymo ir indėlių draudimo sistemos dokumentų rinkinio priėmimą, kaip tinkamą žingsnį, stiprinantį nacionalines indėlių garantijų sistemas, didinantį pasitikėjimą bankų sektoriumi ir gerinantį veiklos ir teisines sąlygas siekiant bendros ES indėlininkų ir mokesčių mokėtojų apsaugos; primena šio komiteto 2024 m. poziciją dėl EIDS; primygtinai ragina Tarybą daryti pažangą derybose;</w:t>
            </w:r>
          </w:p>
        </w:tc>
        <w:tc>
          <w:tcPr>
            <w:tcW w:w="4876" w:type="dxa"/>
            <w:tcBorders>
              <w:top w:val="nil"/>
              <w:left w:val="nil"/>
              <w:bottom w:val="nil"/>
              <w:right w:val="nil"/>
            </w:tcBorders>
          </w:tcPr>
          <w:p>
            <w:pPr>
              <w:pStyle w:val="Normal6a"/>
            </w:pPr>
            <w:r>
              <w:t>21.</w:t>
            </w:r>
            <w:r>
              <w:tab/>
            </w:r>
            <w:r>
              <w:t xml:space="preserve">palankiai vertina krizių valdymo ir indėlių draudimo sistemos dokumentų rinkinio priėmimą, kaip tinkamą žingsnį, stiprinantį nacionalines indėlių garantijų sistemas, didinantį pasitikėjimą bankų sektoriumi ir gerinantį veiklos ir teisines sąlygas </w:t>
            </w:r>
            <w:r>
              <w:rPr>
                <w:b/>
                <w:i/>
              </w:rPr>
              <w:t>palaipsniui ir įtikinamai</w:t>
            </w:r>
            <w:r>
              <w:t xml:space="preserve"> siekiant bendros ES indėlininkų ir mokesčių mokėtojų apsaugos; primena šio komiteto 2024 m. poziciją dėl EIDS; primygtinai ragina Tarybą daryti pažangą derybose;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140</w:t>
    </w:r>
    <w:r>
      <w:fldChar w:fldCharType="end"/>
    </w:r>
    <w:r>
      <w:t>/</w:t>
    </w:r>
    <w:r>
      <w:fldChar w:fldCharType="begin"/>
    </w:r>
    <w:r>
      <w:instrText xml:space="preserve"> NUMPAGES </w:instrText>
    </w:r>
    <w:r>
      <w:fldChar w:fldCharType="separate"/>
    </w:r>
    <w:r>
      <w:t>140</w:t>
    </w:r>
    <w:r>
      <w:fldChar w:fldCharType="end"/>
    </w:r>
    <w:r>
      <w:tab/>
    </w:r>
    <w:r>
      <w:rPr>
        <w:rStyle w:val="HideTWBExt"/>
      </w:rPr>
      <w:t>&lt;PathFdR&gt;</w:t>
    </w:r>
    <w:r>
      <w:t>AM\1335561LT.docx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AM\1335561LT.docx</w:t>
    </w:r>
    <w:r>
      <w:rPr>
        <w:rStyle w:val="HideTWBExt"/>
      </w:rPr>
      <w:t>&lt;/PathFdR&gt;</w:t>
    </w:r>
    <w:r>
      <w:tab/>
    </w:r>
    <w:r>
      <w:fldChar w:fldCharType="begin"/>
    </w:r>
    <w:r>
      <w:instrText xml:space="preserve"> PAGE </w:instrText>
    </w:r>
    <w:r>
      <w:fldChar w:fldCharType="separate"/>
    </w:r>
    <w:r>
      <w:t>139</w:t>
    </w:r>
    <w:r>
      <w:fldChar w:fldCharType="end"/>
    </w:r>
    <w:r>
      <w:t>/</w:t>
    </w:r>
    <w:r>
      <w:fldChar w:fldCharType="begin"/>
    </w:r>
    <w:r>
      <w:instrText xml:space="preserve"> NUMPAGES </w:instrText>
    </w:r>
    <w:r>
      <w:fldChar w:fldCharType="separate"/>
    </w:r>
    <w:r>
      <w:t>140</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AM\1335561LT.docx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140</Pages>
  <Words>25281</Words>
  <Characters>175538</Characters>
  <Application>Microsoft Office Word</Application>
  <DocSecurity>0</DocSecurity>
  <Lines>1</Lines>
  <Paragraphs>2600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360656</vt:lpwstr>
  </property>
  <property fmtid="{D5CDD505-2E9C-101B-9397-08002B2CF9AE}" pid="7" name="dmxml.render.traceId">
    <vt:lpwstr>6981b4a44c18b3d708c50af9ff48f7da</vt:lpwstr>
  </property>
  <property fmtid="{D5CDD505-2E9C-101B-9397-08002B2CF9AE}" pid="8" name="FooterPath">
    <vt:lpwstr>AM\1335561LT.docx</vt:lpwstr>
  </property>
  <property fmtid="{D5CDD505-2E9C-101B-9397-08002B2CF9AE}" pid="9" name="PE Number">
    <vt:lpwstr>782.353</vt:lpwstr>
  </property>
  <property fmtid="{D5CDD505-2E9C-101B-9397-08002B2CF9AE}" pid="10" name="UID">
    <vt:lpwstr>eu.europa.europarl-DIN1-2026-0000006414_01.00-lt-01.00_text-xml</vt:lpwstr>
  </property>
</Properties>
</file>