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Ekonomikas un monetārā komiteja</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Banku savienība: 2025. gada ziņojums</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Ekonomikas un monetārās komitejas 2024. gada 23. aprīļa ziņojumu par priekšlikumu Eiropas Parlamenta un Padomes regulai, ar ko groza Regulu (ES) Nr. 806/2014, lai izveidotu Eiropas noguldījumu apdrošināšanas sistēmu (ENAS),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Ekonomikas un monetārās komitejas 2024. gada 23. aprīļa ziņojumu par priekšlikumu Eiropas Parlamenta un Padomes regulai, ar ko groza Regulu (ES) Nr. 806/2014, lai izveidotu Eiropas noguldījumu apdrošināšanas sistēmu (ENAS),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piecu priekšsēdētāju 2015. gada 22. jūnija ziņojumu “Eiropas ekonomiskās un monetārās savienības izveides pabeigšana”,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ECB 2023. gada pētījuma dokumentu Nr. 328 “The Road to Paris: stress testing the transition towards a net-zero economy” [Ceļš uz Parīzi:</w:t>
            </w:r>
            <w:r>
              <w:t xml:space="preserve"> </w:t>
            </w:r>
            <w:r>
              <w:rPr>
                <w:b/>
                <w:i/>
              </w:rPr>
              <w:t>pārkārtošanās uz neto nulles emisiju ekonomiku spriedzes testēšana],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ECB 2023. gada pētījuma dokumentu Nr. 328 “The Road to Paris: stress testing the transition towards a net-zero economy” [Ceļš uz Parīzi:</w:t>
            </w:r>
            <w:r>
              <w:t xml:space="preserve"> </w:t>
            </w:r>
            <w:r>
              <w:rPr>
                <w:b/>
                <w:i/>
              </w:rPr>
              <w:t>pārkārtošanās uz neto nulles emisiju ekonomiku spriedzes testēšana],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ECB 2025. gada pētījuma dokumentu Nr. 376 "Capital requirements: a pillar or a burden for banks competitiveness?" [Kapitāla prasības: banku konkurētspējas pīlārs vai apgrūtinājums?],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Bāzeles Banku uzraudzības komitejas 2025. gada 10. jūlija ziņojumu "Banks interconnections with non-bank financial intermediaries" [Banku saikne ar nebanku finanšu starpniekiem],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30.a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Apdrošināšanas un aroda pensiju iestādes 2024. gada 7. novembra ziņojumu par prudenciālo režīmu, ko piemēro ar ilgtspēju saistītam riskam,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ECB 2025. gada decembra ziņojumu par Eiropas prudenciālā regulatīvā, uzraudzības un ziņošanas satvara vienkāršošanu,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34.b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EBI 2025. gada 1. oktobra ziņojumu par regulatīvā un uzraudzības satvara efektivitāti,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w:t>
            </w:r>
            <w:r>
              <w:rPr>
                <w:b/>
                <w:i/>
              </w:rPr>
              <w:t>banku darbības</w:t>
            </w:r>
            <w:r>
              <w:t xml:space="preserve"> stabilitāti, izvairīties no banku glābšanas par nodokļu maksātāju līdzekļiem, pastiprināt noturību, darīt iespējamu strukturētu noregulēšanu, mazināt tirgus fragmentāciju un uzlabot konkurētspēju, pārrobežu darbību un finansējuma pieejamību </w:t>
            </w:r>
            <w:r>
              <w:rPr>
                <w:b/>
                <w:i/>
              </w:rPr>
              <w:t>un ņemot vērā to, ka problēma “pārāk liels, lai bankrotētu” joprojām nav atrisināta</w:t>
            </w:r>
            <w:r>
              <w:t>;</w:t>
            </w:r>
          </w:p>
        </w:tc>
        <w:tc>
          <w:tcPr>
            <w:tcW w:w="4876" w:type="dxa"/>
            <w:tcBorders>
              <w:top w:val="nil"/>
              <w:left w:val="nil"/>
              <w:bottom w:val="nil"/>
              <w:right w:val="nil"/>
            </w:tcBorders>
          </w:tcPr>
          <w:p>
            <w:pPr>
              <w:pStyle w:val="Normal6a"/>
            </w:pPr>
            <w:r>
              <w:t>A.</w:t>
            </w:r>
            <w:r>
              <w:tab/>
            </w:r>
            <w:r>
              <w:t xml:space="preserve">tā kā banku savienības mērķis ir aizsargāt </w:t>
            </w:r>
            <w:r>
              <w:rPr>
                <w:b/>
                <w:i/>
              </w:rPr>
              <w:t>finanšu sistēmas</w:t>
            </w:r>
            <w:r>
              <w:t xml:space="preserve"> stabilitāti</w:t>
            </w:r>
            <w:r>
              <w:rPr>
                <w:b/>
                <w:i/>
              </w:rPr>
              <w:t>, garantēt organizētu banku krīzes pārvarēšanu</w:t>
            </w:r>
            <w:r>
              <w:t>, izvairīties no banku glābšanas par nodokļu maksātāju līdzekļiem, pastiprināt noturību, darīt iespējamu strukturētu noregulēšanu, mazināt tirgus fragmentāciju un uzlabot konkurētspēju, pārrobežu darbību un finansējuma pieejamību;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w:t>
            </w:r>
            <w:r>
              <w:rPr>
                <w:b/>
                <w:i/>
              </w:rPr>
              <w:t>un ņemot vērā to, ka problēma “pārāk liels, lai bankrotētu” joprojām nav atrisināta</w:t>
            </w:r>
            <w:r>
              <w:t>;</w:t>
            </w:r>
          </w:p>
        </w:tc>
        <w:tc>
          <w:tcPr>
            <w:tcW w:w="4876" w:type="dxa"/>
            <w:tcBorders>
              <w:top w:val="nil"/>
              <w:left w:val="nil"/>
              <w:bottom w:val="nil"/>
              <w:right w:val="nil"/>
            </w:tcBorders>
          </w:tcPr>
          <w:p>
            <w:pPr>
              <w:pStyle w:val="Normal6a"/>
            </w:pPr>
            <w:r>
              <w:t>A.</w:t>
            </w:r>
            <w:r>
              <w:tab/>
            </w:r>
            <w:r>
              <w:t>tā kā banku savienības mērķis ir aizsargāt banku darbības stabilitāti</w:t>
            </w:r>
            <w:r>
              <w:rPr>
                <w:b/>
                <w:i/>
              </w:rPr>
              <w:t>, pārraujot apburto loku starp valsts finanšu stāvokli un tās bankām</w:t>
            </w:r>
            <w:r>
              <w:t>, izvairīties no banku glābšanas par nodokļu maksātāju līdzekļiem, pastiprināt noturību, darīt iespējamu strukturētu noregulēšanu, mazināt tirgus fragmentāciju un uzlabot konkurētspēju, pārrobežu darbību un finansējuma pieejamību;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w:t>
            </w:r>
            <w:r>
              <w:rPr>
                <w:b/>
                <w:i/>
              </w:rPr>
              <w:t>un ņemot vērā to, ka problēma “pārāk liels, lai bankrotētu” joprojām nav atrisināta</w:t>
            </w:r>
            <w:r>
              <w:t>;</w:t>
            </w:r>
          </w:p>
        </w:tc>
        <w:tc>
          <w:tcPr>
            <w:tcW w:w="4876" w:type="dxa"/>
            <w:tcBorders>
              <w:top w:val="nil"/>
              <w:left w:val="nil"/>
              <w:bottom w:val="nil"/>
              <w:right w:val="nil"/>
            </w:tcBorders>
          </w:tcPr>
          <w:p>
            <w:pPr>
              <w:pStyle w:val="Normal6a"/>
            </w:pPr>
            <w:r>
              <w:t>A.</w:t>
            </w:r>
            <w:r>
              <w:tab/>
            </w:r>
            <w:r>
              <w:t>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un ņemot vērā </w:t>
            </w:r>
            <w:r>
              <w:rPr>
                <w:b/>
                <w:i/>
              </w:rPr>
              <w:t>to, ka problēma “pārāk liels, lai bankrotētu” joprojām nav atrisināta</w:t>
            </w:r>
            <w:r>
              <w:t>;</w:t>
            </w:r>
          </w:p>
        </w:tc>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un ņemot vērā </w:t>
            </w:r>
            <w:r>
              <w:rPr>
                <w:b/>
                <w:i/>
              </w:rPr>
              <w:t>daudzveidīgo Eiropas Savienības banku darbības vidi ar dažādām banku darbības struktūrām, kas Eiropas iedzīvotājiem un uzņēmumiem piedāvā plašu pakalpojumu klāstu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un ņemot vērā to, ka </w:t>
            </w:r>
            <w:r>
              <w:rPr>
                <w:b/>
                <w:i/>
              </w:rPr>
              <w:t>problēma</w:t>
            </w:r>
            <w:r>
              <w:t xml:space="preserve"> “pārāk liels, lai bankrotētu” </w:t>
            </w:r>
            <w:r>
              <w:rPr>
                <w:b/>
                <w:i/>
              </w:rPr>
              <w:t>joprojām nav atrisināta</w:t>
            </w:r>
            <w:r>
              <w:t>;</w:t>
            </w:r>
          </w:p>
        </w:tc>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un ņemot vērā to, ka </w:t>
            </w:r>
            <w:r>
              <w:rPr>
                <w:b/>
                <w:i/>
              </w:rPr>
              <w:t>joprojām īstenotā pieeja</w:t>
            </w:r>
            <w:r>
              <w:t xml:space="preserve"> “pārāk liels, lai bankrotētu” </w:t>
            </w:r>
            <w:r>
              <w:rPr>
                <w:b/>
                <w:i/>
              </w:rPr>
              <w:t>turpina kropļot tirgus stimulus un palielina netiešas valsts garantijas</w:t>
            </w:r>
            <w:r>
              <w:t xml:space="preserve">; </w:t>
            </w:r>
            <w:r>
              <w:rPr>
                <w:b/>
                <w:i/>
              </w:rPr>
              <w:t>pieprasa stingrāku tirgus disciplīnu, nevis tikai jau esošu noteikumu papildināšanu ar jauniem;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 un ņemot vērā to, ka problēma “pārāk liels, lai bankrotētu” joprojām nav atrisināta;</w:t>
            </w:r>
          </w:p>
        </w:tc>
        <w:tc>
          <w:tcPr>
            <w:tcW w:w="4876" w:type="dxa"/>
            <w:tcBorders>
              <w:top w:val="nil"/>
              <w:left w:val="nil"/>
              <w:bottom w:val="nil"/>
              <w:right w:val="nil"/>
            </w:tcBorders>
          </w:tcPr>
          <w:p>
            <w:pPr>
              <w:pStyle w:val="Normal6a"/>
            </w:pPr>
            <w:r>
              <w:t>A.</w:t>
            </w:r>
            <w:r>
              <w:tab/>
            </w:r>
            <w:r>
              <w:t>tā kā banku savienības mērķis ir aizsargāt banku darbības stabilitāti, izvairīties no banku glābšanas par nodokļu maksātāju līdzekļiem, pastiprināt noturību, darīt iespējamu strukturētu noregulēšanu, mazināt tirgus fragmentāciju un uzlabot konkurētspēju, pārrobežu darbību un finansējuma pieejamību</w:t>
            </w:r>
            <w:r>
              <w:rPr>
                <w:b/>
                <w:i/>
              </w:rPr>
              <w:t>, tādējādi samazinot izmaksas banku klientiem,</w:t>
            </w:r>
            <w:r>
              <w:t xml:space="preserve"> un ņemot vērā to, ka problēma “pārāk liels, lai bankrotētu” joprojām nav atrisināta;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banku savienības mērķis ir aizsargāt banku darbības stabilitāti, izvairīties no banku glābšanas par nodokļu maksātāju līdzekļiem, pastiprināt noturību, darīt iespējamu strukturētu noregulēšanu, mazināt tirgus fragmentāciju </w:t>
            </w:r>
            <w:r>
              <w:rPr>
                <w:b/>
                <w:i/>
              </w:rPr>
              <w:t>un</w:t>
            </w:r>
            <w:r>
              <w:t xml:space="preserve"> uzlabot konkurētspēju, pārrobežu darbību un finansējuma pieejamību un ņemot vērā to, ka problēma “pārāk liels, lai bankrotētu” joprojām nav atrisināta;</w:t>
            </w:r>
          </w:p>
        </w:tc>
        <w:tc>
          <w:tcPr>
            <w:tcW w:w="4876" w:type="dxa"/>
            <w:tcBorders>
              <w:top w:val="nil"/>
              <w:left w:val="nil"/>
              <w:bottom w:val="nil"/>
              <w:right w:val="nil"/>
            </w:tcBorders>
          </w:tcPr>
          <w:p>
            <w:pPr>
              <w:pStyle w:val="Normal6a"/>
            </w:pPr>
            <w:r>
              <w:t>A.</w:t>
            </w:r>
            <w:r>
              <w:tab/>
            </w:r>
            <w:r>
              <w:t>tā kā banku savienības mērķis ir aizsargāt banku darbības stabilitāti, izvairīties no banku glābšanas par nodokļu maksātāju līdzekļiem, pastiprināt noturību, darīt iespējamu strukturētu noregulēšanu, mazināt tirgus fragmentāciju</w:t>
            </w:r>
            <w:r>
              <w:rPr>
                <w:b/>
                <w:i/>
              </w:rPr>
              <w:t>,</w:t>
            </w:r>
            <w:r>
              <w:t xml:space="preserve"> uzlabot </w:t>
            </w:r>
            <w:r>
              <w:rPr>
                <w:b/>
                <w:i/>
              </w:rPr>
              <w:t>noguldītāju aizsardzību un veicināt</w:t>
            </w:r>
            <w:r>
              <w:t xml:space="preserve"> konkurētspēju, pārrobežu darbību un finansējuma pieejamību un ņemot vērā to, ka problēma “pārāk liels, lai bankrotētu” joprojām nav atrisināta;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banku savienības mērķi ir:</w:t>
            </w:r>
            <w:r>
              <w:t xml:space="preserve"> </w:t>
            </w:r>
            <w:r>
              <w:rPr>
                <w:b/>
                <w:i/>
              </w:rPr>
              <w:t>i) veicināt banku noturību, lai tās spētu izturēt turpmākās finanšu krīzes, ii) nodrošināt banku, kurām draud bankrots, noregulēšanu, izvairoties no nodokļu maksātāju naudas izmantošanas un minimāli ietekmējot reālo ekonomiku, un iii) mazināt tirgus sadrumstalotību, ieviešot saskaņotus noteikumus finanšu nozarei;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spēcīgai un diversificētai banku darbības nozarei ir būtiska loma ekonomikas izaugsmes nodrošināšanā, mazo un vidējo uzņēmumu (MVU) un jaunuzņēmumu finansēšanā un pārkārtošanās uz zaļu un digitālu ekonomiku īstenošanā;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banku savienība, kas sastāv no VUM un VNM, </w:t>
            </w:r>
            <w:r>
              <w:rPr>
                <w:b/>
                <w:i/>
              </w:rPr>
              <w:t>saskaņo</w:t>
            </w:r>
            <w:r>
              <w:t xml:space="preserve"> uzraudzību </w:t>
            </w:r>
            <w:r>
              <w:rPr>
                <w:b/>
                <w:i/>
              </w:rPr>
              <w:t>ar</w:t>
            </w:r>
            <w:r>
              <w:t xml:space="preserve"> krīzes pārvarēšanu</w:t>
            </w:r>
            <w:r>
              <w:rPr>
                <w:b/>
                <w:i/>
              </w:rPr>
              <w:t>, taču tās izveide joprojām nav pabeigta, jo trūkst pilnībā ieviestas ENAS</w:t>
            </w:r>
            <w:r>
              <w:t>;</w:t>
            </w:r>
          </w:p>
        </w:tc>
        <w:tc>
          <w:tcPr>
            <w:tcW w:w="4876" w:type="dxa"/>
            <w:tcBorders>
              <w:top w:val="nil"/>
              <w:left w:val="nil"/>
              <w:bottom w:val="nil"/>
              <w:right w:val="nil"/>
            </w:tcBorders>
          </w:tcPr>
          <w:p>
            <w:pPr>
              <w:pStyle w:val="Normal6a"/>
            </w:pPr>
            <w:r>
              <w:t>B.</w:t>
            </w:r>
            <w:r>
              <w:tab/>
            </w:r>
            <w:r>
              <w:t xml:space="preserve">tā kā banku savienība, kas sastāv no VUM un VNM, </w:t>
            </w:r>
            <w:r>
              <w:rPr>
                <w:b/>
                <w:i/>
              </w:rPr>
              <w:t>ir palielinājusi finanšu stabilitāti un uzlabojusi saskaņotību starp</w:t>
            </w:r>
            <w:r>
              <w:t xml:space="preserve"> uzraudzību </w:t>
            </w:r>
            <w:r>
              <w:rPr>
                <w:b/>
                <w:i/>
              </w:rPr>
              <w:t>un</w:t>
            </w:r>
            <w:r>
              <w:t xml:space="preserve"> krīzes pārvarēšanu;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banku savienība, kas sastāv no VUM </w:t>
            </w:r>
            <w:r>
              <w:rPr>
                <w:b/>
                <w:i/>
              </w:rPr>
              <w:t>un VNM</w:t>
            </w:r>
            <w:r>
              <w:t>, saskaņo uzraudzību ar krīzes pārvarēšanu</w:t>
            </w:r>
            <w:r>
              <w:rPr>
                <w:b/>
                <w:i/>
              </w:rPr>
              <w:t>, taču tās izveide joprojām nav pabeigta, jo trūkst pilnībā ieviestas ENAS</w:t>
            </w:r>
            <w:r>
              <w:t>;</w:t>
            </w:r>
          </w:p>
        </w:tc>
        <w:tc>
          <w:tcPr>
            <w:tcW w:w="4876" w:type="dxa"/>
            <w:tcBorders>
              <w:top w:val="nil"/>
              <w:left w:val="nil"/>
              <w:bottom w:val="nil"/>
              <w:right w:val="nil"/>
            </w:tcBorders>
          </w:tcPr>
          <w:p>
            <w:pPr>
              <w:pStyle w:val="Normal6a"/>
            </w:pPr>
            <w:r>
              <w:t>B.</w:t>
            </w:r>
            <w:r>
              <w:tab/>
            </w:r>
            <w:r>
              <w:t>tā kā banku savienība, kas sastāv no VUM</w:t>
            </w:r>
            <w:r>
              <w:rPr>
                <w:b/>
                <w:i/>
              </w:rPr>
              <w:t>, VNM un saskaņotiem noteikumiem par noguldījumu apdrošināšanu</w:t>
            </w:r>
            <w:r>
              <w:t>, saskaņo uzraudzību ar krīzes pārvarēšanu;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r>
              <w:rPr>
                <w:b/>
                <w:i/>
              </w:rPr>
              <w:t>, taču tās izveide joprojām nav pabeigta, jo trūkst pilnībā</w:t>
            </w:r>
            <w:r>
              <w:t xml:space="preserve"> ieviestas </w:t>
            </w:r>
            <w:r>
              <w:rPr>
                <w:b/>
                <w:i/>
              </w:rPr>
              <w:t>ENAS</w:t>
            </w:r>
            <w:r>
              <w:t>;</w:t>
            </w:r>
          </w:p>
        </w:tc>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r>
              <w:rPr>
                <w:b/>
                <w:i/>
              </w:rPr>
              <w:t>;</w:t>
            </w:r>
            <w:r>
              <w:t xml:space="preserve"> </w:t>
            </w:r>
            <w:r>
              <w:rPr>
                <w:b/>
                <w:i/>
              </w:rPr>
              <w:t>atzīmē, ka valstu noguldījumu garantiju sistēmas ir veiksmīgi</w:t>
            </w:r>
            <w:r>
              <w:t xml:space="preserve"> ieviestas </w:t>
            </w:r>
            <w:r>
              <w:rPr>
                <w:b/>
                <w:i/>
              </w:rPr>
              <w:t>un vairākos gadījumos ir apliecinājušas savu atbilstību noteiktajam mērķim</w:t>
            </w:r>
            <w:r>
              <w:t xml:space="preserve">; </w:t>
            </w:r>
            <w:r>
              <w:rPr>
                <w:b/>
                <w:i/>
              </w:rPr>
              <w:t>jaunā Komisijas priekšlikumā par Eiropas noguldījumu apdrošināšanas sistēmas izveidi būtu vairāk jāņem vērā valstu specifiskās iezīmes, lai saglabātu dažās dalībvalstīs jau ieviestas labi funkcionējošas sistēmas mazākām bankām, vienlaikus nodrošinot vienlīdzīgus konkurences apstākļus visā banku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r>
              <w:rPr>
                <w:b/>
                <w:i/>
              </w:rPr>
              <w:t>, taču tās izveide joprojām nav pabeigta, jo trūkst pilnībā ieviestas ENAS</w:t>
            </w:r>
            <w:r>
              <w:t>;</w:t>
            </w:r>
          </w:p>
        </w:tc>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w:t>
            </w:r>
            <w:r>
              <w:rPr>
                <w:b/>
                <w:i/>
              </w:rPr>
              <w:t>un nodrošina noguldījumu augsta līmeņa aizsardzību, balstoties uz kopējiem Eiropas minimālajiem standartiem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r>
              <w:rPr>
                <w:b/>
                <w:i/>
              </w:rPr>
              <w:t>, taču tās izveide joprojām nav pabeigta, jo trūkst pilnībā ieviestas ENAS</w:t>
            </w:r>
            <w:r>
              <w:t>;</w:t>
            </w:r>
          </w:p>
        </w:tc>
        <w:tc>
          <w:tcPr>
            <w:tcW w:w="4876" w:type="dxa"/>
            <w:tcBorders>
              <w:top w:val="nil"/>
              <w:left w:val="nil"/>
              <w:bottom w:val="nil"/>
              <w:right w:val="nil"/>
            </w:tcBorders>
          </w:tcPr>
          <w:p>
            <w:pPr>
              <w:pStyle w:val="Normal6a"/>
            </w:pPr>
            <w:r>
              <w:t>B.</w:t>
            </w:r>
            <w:r>
              <w:tab/>
            </w:r>
            <w:r>
              <w:t xml:space="preserve">tā kā banku savienība, kas </w:t>
            </w:r>
            <w:r>
              <w:rPr>
                <w:b/>
                <w:i/>
              </w:rPr>
              <w:t>pašlaik</w:t>
            </w:r>
            <w:r>
              <w:t xml:space="preserve"> sastāv no VUM un VNM, saskaņo uzraudzību ar krīzes pārvarēšanu;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r>
              <w:rPr>
                <w:b/>
                <w:i/>
              </w:rPr>
              <w:t>, taču tās izveide joprojām nav pabeigta, jo trūkst pilnībā ieviestas ENAS</w:t>
            </w:r>
            <w:r>
              <w:t>;</w:t>
            </w:r>
          </w:p>
        </w:tc>
        <w:tc>
          <w:tcPr>
            <w:tcW w:w="4876" w:type="dxa"/>
            <w:tcBorders>
              <w:top w:val="nil"/>
              <w:left w:val="nil"/>
              <w:bottom w:val="nil"/>
              <w:right w:val="nil"/>
            </w:tcBorders>
          </w:tcPr>
          <w:p>
            <w:pPr>
              <w:pStyle w:val="Normal6a"/>
            </w:pPr>
            <w:r>
              <w:t>B.</w:t>
            </w:r>
            <w:r>
              <w:tab/>
            </w:r>
            <w:r>
              <w:t>tā kā banku savienība, kas sastāv no VUM un VNM, saskaņo uzraudzību ar krīzes pārvarēšanu;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taču </w:t>
            </w:r>
            <w:r>
              <w:rPr>
                <w:b/>
                <w:i/>
              </w:rPr>
              <w:t>tās izveide</w:t>
            </w:r>
            <w:r>
              <w:t xml:space="preserve"> joprojām </w:t>
            </w:r>
            <w:r>
              <w:rPr>
                <w:b/>
                <w:i/>
              </w:rPr>
              <w:t>nav pabeigta, jo trūkst pilnībā ieviestas ENAS</w:t>
            </w:r>
            <w:r>
              <w:t>;</w:t>
            </w:r>
          </w:p>
        </w:tc>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taču joprojām </w:t>
            </w:r>
            <w:r>
              <w:rPr>
                <w:b/>
                <w:i/>
              </w:rPr>
              <w:t>ir strukturāli nepilnīga un neefektīva;</w:t>
            </w:r>
            <w:r>
              <w:t xml:space="preserve"> </w:t>
            </w:r>
            <w:r>
              <w:rPr>
                <w:b/>
                <w:i/>
              </w:rPr>
              <w:t>uzsver, ka riska dalīšana, nepastāvot tirgus pārskatatbildībai, kropļo konkurences neitralitāti un pakļauj fiskālā ziņā atbildīgas dalībvalstis nepamatotām iespējamām finansiālām saistībām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taču tās izveide joprojām nav pabeigta, jo </w:t>
            </w:r>
            <w:r>
              <w:rPr>
                <w:b/>
                <w:i/>
              </w:rPr>
              <w:t>trūkst</w:t>
            </w:r>
            <w:r>
              <w:t xml:space="preserve"> pilnībā </w:t>
            </w:r>
            <w:r>
              <w:rPr>
                <w:b/>
                <w:i/>
              </w:rPr>
              <w:t>ieviestas ENAS</w:t>
            </w:r>
            <w:r>
              <w:t>;</w:t>
            </w:r>
          </w:p>
        </w:tc>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taču tās izveide joprojām nav pabeigta, jo </w:t>
            </w:r>
            <w:r>
              <w:rPr>
                <w:b/>
                <w:i/>
              </w:rPr>
              <w:t>nav ENAS, kurā</w:t>
            </w:r>
            <w:r>
              <w:t xml:space="preserve"> pilnībā </w:t>
            </w:r>
            <w:r>
              <w:rPr>
                <w:b/>
                <w:i/>
              </w:rPr>
              <w:t>būtu ņemtas vērā valstu specifiskās iezīmes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 taču tās izveide joprojām nav pabeigta, jo trūkst pilnībā ieviestas ENAS;</w:t>
            </w:r>
          </w:p>
        </w:tc>
        <w:tc>
          <w:tcPr>
            <w:tcW w:w="4876" w:type="dxa"/>
            <w:tcBorders>
              <w:top w:val="nil"/>
              <w:left w:val="nil"/>
              <w:bottom w:val="nil"/>
              <w:right w:val="nil"/>
            </w:tcBorders>
          </w:tcPr>
          <w:p>
            <w:pPr>
              <w:pStyle w:val="Normal6a"/>
            </w:pPr>
            <w:r>
              <w:t>B.</w:t>
            </w:r>
            <w:r>
              <w:tab/>
            </w:r>
            <w:r>
              <w:t xml:space="preserve">tā kā banku savienība, kas sastāv no VUM un VNM, saskaņo uzraudzību ar krīzes pārvarēšanu, taču tās izveide joprojām nav pabeigta, jo trūkst pilnībā ieviestas ENAS </w:t>
            </w:r>
            <w:r>
              <w:rPr>
                <w:b/>
                <w:i/>
              </w:rPr>
              <w:t>un kopējā VNF atbalsta mehānisma, kura ieviešana ir atkarīga no pārskatītā ESM līguma ratificēšanas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banku savienība, kas sastāv no VUM un VNM, saskaņo uzraudzību ar krīzes pārvarēšanu, taču tās izveide joprojām nav pabeigta, jo trūkst pilnībā ieviestas ENAS;</w:t>
            </w:r>
          </w:p>
        </w:tc>
        <w:tc>
          <w:tcPr>
            <w:tcW w:w="4876" w:type="dxa"/>
            <w:tcBorders>
              <w:top w:val="nil"/>
              <w:left w:val="nil"/>
              <w:bottom w:val="nil"/>
              <w:right w:val="nil"/>
            </w:tcBorders>
          </w:tcPr>
          <w:p>
            <w:pPr>
              <w:pStyle w:val="Normal6a"/>
            </w:pPr>
            <w:r>
              <w:t>B.</w:t>
            </w:r>
            <w:r>
              <w:tab/>
            </w:r>
            <w:r>
              <w:t xml:space="preserve">tā kā banku savienība, kas sastāv no VUM un VNM </w:t>
            </w:r>
            <w:r>
              <w:rPr>
                <w:b/>
                <w:i/>
              </w:rPr>
              <w:t>un balstās uz vienotu noteikumu kopumu</w:t>
            </w:r>
            <w:r>
              <w:t>, saskaņo uzraudzību ar krīzes pārvarēšanu, taču tās izveide joprojām nav pabeigta, jo trūkst pilnībā ieviestas 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banku savienības izveides pabeigšana sniegtu labumu iedzīvotājiem un ES ekonomikai, nodrošinot pamatu stabilākai banku sistēmai, sistēmiskā riska mazināšanai, konkurences palielināšanai, plašākas izvēles nodrošināšanai patērētājiem, pārrobežu banku darbības iespēju palielielināšanai un mazumtirdzniecības finanšu pakalpojumu pieejamības uzlabošanai, ekonomisko investīciju palielināšanai, finansējuma pieejamības mājsaimniecībām un uzņēmumiem uzlabošanai un izmaksu samazināšanai banku klientiem;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ECB mudina pabeigt banku savienības izveidi, lai veicinātu pārrobežu integrāciju un ļautu efektīvāk sadalīt kapitālu, kas ir priekšnosacījumi tam, lai novērstu pašreizējo neizdevīgo stāvokli konkurences jomā, kurā ES bankas atrodas darbības vēriena trūkuma dēļ, un tā kā ECB arī iesaka vienkāršot Eiropas prudenciālo regulatīvo, uzraudzības un ziņošanas satvaru;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banku savienības struktūrā neietilpst nebanku finanšu starpnieki (nebanku finanšu institūcijas un t. s. "ēnu" bankas) un tā kā tas padara ES banku darbības nozari neaizsargātu pret risku, ko rada aizvien ciešākā saikne starp nebanku finanšu institūcijām un banku darbības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stabila, noturīga, dinamiska un konkurētspējīga banku darbības nozare ir ļoti svarīga ekonomikas izaugsmei, mazo un vidējo uzņēmumu atbalstīšanai, iespējas iegādāties mājokli palielināšanai, inovācijai, investēšanai un visiem vienlīdzīgu ekonomisko iespēju paplašināšanai;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saskaņā ar publikācijām par optimālām valūtas zonām banku savienības izveides pabeigšana ir izšķiroši svarīga, lai visā ES izvairītos no satricinājumu asimetriskas ietekmes un līdz ar to palielinātu finanšu stabilitāti un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tā kā ES nekavējoties būtu pilnībā jāīsteno “Bāzele III” standarti;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ES </w:t>
            </w:r>
            <w:r>
              <w:rPr>
                <w:b/>
                <w:i/>
              </w:rPr>
              <w:t>nekavējoties būtu pilnībā jāīsteno</w:t>
            </w:r>
            <w:r>
              <w:t xml:space="preserve"> “Bāzele III” </w:t>
            </w:r>
            <w:r>
              <w:rPr>
                <w:b/>
                <w:i/>
              </w:rPr>
              <w:t>standarti</w:t>
            </w:r>
            <w:r>
              <w:t>;</w:t>
            </w:r>
          </w:p>
        </w:tc>
        <w:tc>
          <w:tcPr>
            <w:tcW w:w="4876" w:type="dxa"/>
            <w:tcBorders>
              <w:top w:val="nil"/>
              <w:left w:val="nil"/>
              <w:bottom w:val="nil"/>
              <w:right w:val="nil"/>
            </w:tcBorders>
          </w:tcPr>
          <w:p>
            <w:pPr>
              <w:pStyle w:val="Normal6a"/>
            </w:pPr>
            <w:r>
              <w:t>C.</w:t>
            </w:r>
            <w:r>
              <w:tab/>
            </w:r>
            <w:r>
              <w:rPr>
                <w:b/>
                <w:i/>
              </w:rPr>
              <w:t>tā kā finanšu stabilitāte ir efektīvas monetārās politikas un noturīgas finanšu sistēmas priekšnosacījums un</w:t>
            </w:r>
            <w:r>
              <w:t xml:space="preserve"> tā kā ES </w:t>
            </w:r>
            <w:r>
              <w:rPr>
                <w:b/>
                <w:i/>
              </w:rPr>
              <w:t>jau ir vienojusies par satvara</w:t>
            </w:r>
            <w:r>
              <w:t xml:space="preserve"> "Bāzele III" </w:t>
            </w:r>
            <w:r>
              <w:rPr>
                <w:b/>
                <w:i/>
              </w:rPr>
              <w:t>īstenošanu</w:t>
            </w:r>
            <w:r>
              <w:t xml:space="preserve">; </w:t>
            </w:r>
            <w:r>
              <w:rPr>
                <w:b/>
                <w:i/>
              </w:rPr>
              <w:t>tā kā, lai nodrošinātu to, ka Eiropas bankas spēj konkurēt vienlīdzīgos apstākļos ar citu jurisdikciju bankām, ir svarīgi arī nodrošināt pareizo līdzsvaru starp finanšu stabilitāti, starptautisko satvaru ievērošanu un vienlīdzīgiem konkurences apstākļiem starptautiskā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w:t>
            </w:r>
            <w:r>
              <w:rPr>
                <w:b/>
                <w:i/>
              </w:rPr>
              <w:t>ES nekavējoties būtu pilnībā jāīsteno</w:t>
            </w:r>
            <w:r>
              <w:t xml:space="preserve"> “Bāzele III” </w:t>
            </w:r>
            <w:r>
              <w:rPr>
                <w:b/>
                <w:i/>
              </w:rPr>
              <w:t>standarti</w:t>
            </w:r>
            <w:r>
              <w:t>;</w:t>
            </w:r>
          </w:p>
        </w:tc>
        <w:tc>
          <w:tcPr>
            <w:tcW w:w="4876" w:type="dxa"/>
            <w:tcBorders>
              <w:top w:val="nil"/>
              <w:left w:val="nil"/>
              <w:bottom w:val="nil"/>
              <w:right w:val="nil"/>
            </w:tcBorders>
          </w:tcPr>
          <w:p>
            <w:pPr>
              <w:pStyle w:val="Normal6a"/>
            </w:pPr>
            <w:r>
              <w:t>C.</w:t>
            </w:r>
            <w:r>
              <w:tab/>
            </w:r>
            <w:r>
              <w:t xml:space="preserve">tā kā "Bāzele III" </w:t>
            </w:r>
            <w:r>
              <w:rPr>
                <w:b/>
                <w:i/>
              </w:rPr>
              <w:t>noteikumi būtu jāpielāgo Eiropas banku darbības nozares īpatnībām, mazāku banku gadījumā ņemot vērā proporcionalitātes kritēriju un vienkāršošanu saskaņā ar Eiropas Centrālās bankas augsta līmeņa darba grupas vienkāršošanas jautājumos ieteikumiem, kurus atbalstījusi ECB Padome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ES </w:t>
            </w:r>
            <w:r>
              <w:rPr>
                <w:b/>
                <w:i/>
              </w:rPr>
              <w:t>nekavējoties būtu pilnībā</w:t>
            </w:r>
            <w:r>
              <w:t xml:space="preserve"> jāīsteno “Bāzele III” standarti;</w:t>
            </w:r>
          </w:p>
        </w:tc>
        <w:tc>
          <w:tcPr>
            <w:tcW w:w="4876" w:type="dxa"/>
            <w:tcBorders>
              <w:top w:val="nil"/>
              <w:left w:val="nil"/>
              <w:bottom w:val="nil"/>
              <w:right w:val="nil"/>
            </w:tcBorders>
          </w:tcPr>
          <w:p>
            <w:pPr>
              <w:pStyle w:val="Normal6a"/>
            </w:pPr>
            <w:r>
              <w:t>C.</w:t>
            </w:r>
            <w:r>
              <w:tab/>
            </w:r>
            <w:r>
              <w:t xml:space="preserve">tā kā ES </w:t>
            </w:r>
            <w:r>
              <w:rPr>
                <w:b/>
                <w:i/>
              </w:rPr>
              <w:t>būtu saskaņotā veidā</w:t>
            </w:r>
            <w:r>
              <w:t xml:space="preserve"> jāīsteno “Bāzele III” standarti</w:t>
            </w:r>
            <w:r>
              <w:rPr>
                <w:b/>
                <w:i/>
              </w:rPr>
              <w:t>, vienlaikus nodrošinot, ka tie tiek piemēroti samērīgi, pakāpeniski un atbilstoši Eiropas finanšu sistēmas īpatnībām, nemazinot ES banku darbības nozares konkurētspēju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t xml:space="preserve">tā kā ES nekavējoties būtu pilnībā jāīsteno “Bāzele III” standarti </w:t>
            </w:r>
            <w:r>
              <w:rPr>
                <w:b/>
                <w:i/>
              </w:rPr>
              <w:t>tādā veidā, kas aizsargā Eiropas banku darbības nozares konkurētspēju starptautiskā līmenī un nodrošina vienlīdzīgus konkurences apstākļus pasaulē</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t>tā kā ES nekavējoties būtu pilnībā jāīsteno “Bāzele III” standarti</w:t>
            </w:r>
            <w:r>
              <w:rPr>
                <w:b/>
                <w:i/>
              </w:rPr>
              <w:t>, nemazinot banku darbības nozares konkurētspēju starptautiskā līmenī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rPr>
                <w:b/>
                <w:i/>
              </w:rPr>
              <w:t>tā kā ES piemēro “Bāzele III” standartus visām bankām neatkarīgi no to lieluma un darbības mēroga;</w:t>
            </w:r>
            <w:r>
              <w:t xml:space="preserve"> tā kā ES nekavējoties būtu pilnībā jāīsteno “Bāzele III” standarti </w:t>
            </w:r>
            <w:r>
              <w:rPr>
                <w:b/>
                <w:i/>
              </w:rPr>
              <w:t>tikai attiecībā uz tām Eiropas bankām, kas darbojas starptautiskā līmenī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t>tā kā ES nekavējoties būtu pilnībā jāīsteno “Bāzele III” standarti</w:t>
            </w:r>
            <w:r>
              <w:rPr>
                <w:b/>
                <w:i/>
              </w:rPr>
              <w:t>, vienlaikus ņemot vērā to, ka liela nozīme ir vienlīdzīgiem konkurences apstākļiem starptautiskā līmenī, un ES banku izšķiroši svarīgo lomu ekonomikas, tostarp mājsaimniecību un MVU, finansēšanā un nozares konkurētspējas nodrošināšanā</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t>tā kā ES nekavējoties būtu pilnībā jāīsteno “Bāzele III” standarti</w:t>
            </w:r>
            <w:r>
              <w:rPr>
                <w:b/>
                <w:i/>
              </w:rPr>
              <w:t>, tostarp tirgus riska regulējums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ES nekavējoties būtu pilnībā jāīsteno “Bāzele III” standarti;</w:t>
            </w:r>
          </w:p>
        </w:tc>
        <w:tc>
          <w:tcPr>
            <w:tcW w:w="4876" w:type="dxa"/>
            <w:tcBorders>
              <w:top w:val="nil"/>
              <w:left w:val="nil"/>
              <w:bottom w:val="nil"/>
              <w:right w:val="nil"/>
            </w:tcBorders>
          </w:tcPr>
          <w:p>
            <w:pPr>
              <w:pStyle w:val="Normal6a"/>
            </w:pPr>
            <w:r>
              <w:t>C.</w:t>
            </w:r>
            <w:r>
              <w:tab/>
            </w:r>
            <w:r>
              <w:t xml:space="preserve">tā kā ES nekavējoties būtu pilnībā jāīsteno “Bāzele III” standarti; </w:t>
            </w:r>
            <w:r>
              <w:rPr>
                <w:b/>
                <w:i/>
              </w:rPr>
              <w:t>kritizē to, ka ES vairākkārt atlikusi starptautisko Bāzeles standartu ieviešanu, tostarp tirgus riska noteikumu ieviešanu līdz 2026. gadam, un novirzes no šiem noteikumiem, jo tas rada regulējuma arbitrāžu un neizdevīgus konkurences apstākļus ES bankām pasaules vairumtirgos;</w:t>
            </w:r>
            <w:r>
              <w:t xml:space="preserve"> </w:t>
            </w:r>
            <w:r>
              <w:rPr>
                <w:b/>
                <w:i/>
              </w:rPr>
              <w:t>šāda nekonsekventa īstenošana kropļo vienlīdzīgus konkurences apstākļus un palielina sistēmisko risku neefektīvas riska kapitāla sadales dēļ;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Krievijas agresija pret Ukrainu un šīs agresijas ekonomiskās un sociālās sekas gan tieši, gan netieši ietekmē ES banku darbības nozari;</w:t>
            </w:r>
            <w:r>
              <w:t xml:space="preserve"> </w:t>
            </w:r>
            <w:r>
              <w:rPr>
                <w:b/>
                <w:i/>
              </w:rPr>
              <w:t>tā kā ES bankām ir svarīga loma, lai nodrošinātu to, ka tiek pastāvīgi īstenotas un ievērotas sankcijas, ko ES noteikusi pret Krieviju, reaģējot uz tās iebrukumu;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tā kā finanšu digitalizācija sniedz plašas iespējas banku darbības nozarei un ir izraisījusi būtisku tehnoloģisko progresu šajā nozarē, palielinot banku pakalpojumu sniegšanas efektivitāti un stimulējot vēlmi inovēt, tomēr tā rada arī izaicinājumus, tostarp tādus, kas saistīti ar kiberrisku, datu privātumu, reputācijas risku, nelikumīgi iegūtu līdzekļu legalizēšanas risku un bažām par patērētāju tiesību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tā kā viens no banku savienības galvenajiem mērķiem ir nodrošināt, ka nodokļu maksātājiem nav jāsedz finansiālās grūtībās nonākušu banku glābšanas izmaksas;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ar banku bilanci saistīto risku izvērtēšanā ir jāņem vērā klimata pārmaiņas, vides riski un pāreja uz mazoglekļa ekonomiku;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ar banku bilanci saistīto risku izvērtēšanā ir jāņem vērā klimata pārmaiņas, vides riski un pāreja uz mazoglekļa ekonomiku;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ar banku bilanci saistīto risku izvērtēšanā ir jāņem vērā klimata pārmaiņas, vides riski un pāreja uz mazoglekļa ekonomiku;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ar banku bilanci saistīto risku izvērtēšanā ir jāņem vērā klimata pārmaiņas, vides riski un pāreja uz mazoglekļa ekonomiku;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w:t>
            </w:r>
            <w:r>
              <w:rPr>
                <w:b/>
                <w:i/>
              </w:rPr>
              <w:t>ar banku bilanci saistīto risku izvērtēšanā ir jāņem vērā klimata pārmaiņas,</w:t>
            </w:r>
            <w:r>
              <w:t xml:space="preserve"> vides </w:t>
            </w:r>
            <w:r>
              <w:rPr>
                <w:b/>
                <w:i/>
              </w:rPr>
              <w:t>riski un pāreja uz mazoglekļa ekonomiku</w:t>
            </w:r>
            <w:r>
              <w:t>;</w:t>
            </w:r>
          </w:p>
        </w:tc>
        <w:tc>
          <w:tcPr>
            <w:tcW w:w="4876" w:type="dxa"/>
            <w:tcBorders>
              <w:top w:val="nil"/>
              <w:left w:val="nil"/>
              <w:bottom w:val="nil"/>
              <w:right w:val="nil"/>
            </w:tcBorders>
          </w:tcPr>
          <w:p>
            <w:pPr>
              <w:pStyle w:val="Normal6a"/>
            </w:pPr>
            <w:r>
              <w:t>D.</w:t>
            </w:r>
            <w:r>
              <w:tab/>
            </w:r>
            <w:r>
              <w:t xml:space="preserve">tā kā </w:t>
            </w:r>
            <w:r>
              <w:rPr>
                <w:b/>
                <w:i/>
              </w:rPr>
              <w:t>steidzami ir jānodrošina, ka tradicionālā riska mērīšanas sistēma netiek pakārtota politisku apsvērumu rezultātā noteiktiem</w:t>
            </w:r>
            <w:r>
              <w:t xml:space="preserve"> vides </w:t>
            </w:r>
            <w:r>
              <w:rPr>
                <w:b/>
                <w:i/>
              </w:rPr>
              <w:t>mērķrādītājiem, kas var nesamērīgi paaugstināt kapitāla prasības un ierobežot kredīta piedāvājumu tur, kur tas ir visražīgākais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ar banku bilanci saistīto risku izvērtēšanā </w:t>
            </w:r>
            <w:r>
              <w:rPr>
                <w:b/>
                <w:i/>
              </w:rPr>
              <w:t>ir jāņem vērā klimata pārmaiņas, vides riski un pāreja uz mazoglekļa ekonomiku</w:t>
            </w:r>
            <w:r>
              <w:t>;</w:t>
            </w:r>
          </w:p>
        </w:tc>
        <w:tc>
          <w:tcPr>
            <w:tcW w:w="4876" w:type="dxa"/>
            <w:tcBorders>
              <w:top w:val="nil"/>
              <w:left w:val="nil"/>
              <w:bottom w:val="nil"/>
              <w:right w:val="nil"/>
            </w:tcBorders>
          </w:tcPr>
          <w:p>
            <w:pPr>
              <w:pStyle w:val="Normal6a"/>
            </w:pPr>
            <w:r>
              <w:t>D.</w:t>
            </w:r>
            <w:r>
              <w:tab/>
            </w:r>
            <w:r>
              <w:t>tā kā</w:t>
            </w:r>
            <w:r>
              <w:rPr>
                <w:b/>
                <w:i/>
              </w:rPr>
              <w:t> klimata pārmaiņas, ar vidi saistītus riskus un pāreju uz mazoglekļa ekonomiku</w:t>
            </w:r>
            <w:r>
              <w:t xml:space="preserve"> ar banku bilanci saistīto risku izvērtēšanā </w:t>
            </w:r>
            <w:r>
              <w:rPr>
                <w:b/>
                <w:i/>
              </w:rPr>
              <w:t>var ņemt vērā tikai tad, ja šie faktori skar finanšu stabilitāti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ar banku bilanci saistīto risku izvērtēšanā ir jāņem vērā klimata pārmaiņas, vides riski un pāreja uz </w:t>
            </w:r>
            <w:r>
              <w:rPr>
                <w:b/>
                <w:i/>
              </w:rPr>
              <w:t>mazoglekļa</w:t>
            </w:r>
            <w:r>
              <w:t xml:space="preserve"> ekonomiku;</w:t>
            </w:r>
          </w:p>
        </w:tc>
        <w:tc>
          <w:tcPr>
            <w:tcW w:w="4876" w:type="dxa"/>
            <w:tcBorders>
              <w:top w:val="nil"/>
              <w:left w:val="nil"/>
              <w:bottom w:val="nil"/>
              <w:right w:val="nil"/>
            </w:tcBorders>
          </w:tcPr>
          <w:p>
            <w:pPr>
              <w:pStyle w:val="Normal6a"/>
            </w:pPr>
            <w:r>
              <w:t>D.</w:t>
            </w:r>
            <w:r>
              <w:tab/>
            </w:r>
            <w:r>
              <w:t xml:space="preserve">tā kā ar banku bilanci saistīto risku izvērtēšanā ir jāņem vērā klimata pārmaiņas, vides riski un pāreja uz </w:t>
            </w:r>
            <w:r>
              <w:rPr>
                <w:b/>
                <w:i/>
              </w:rPr>
              <w:t>klimatneitrālu</w:t>
            </w:r>
            <w:r>
              <w:t> ekonomiku;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w:t>
            </w:r>
            <w:r>
              <w:rPr>
                <w:b/>
                <w:i/>
              </w:rPr>
              <w:t>digitālais euro varētu palielināt ES maksājumu efektivitāti, noturību, finansiālo iekļaušanu, inovāciju, sabiedrības uzticēšanos un euro starptautisko lomu</w:t>
            </w:r>
            <w:r>
              <w:t>;</w:t>
            </w:r>
          </w:p>
        </w:tc>
        <w:tc>
          <w:tcPr>
            <w:tcW w:w="4876" w:type="dxa"/>
            <w:tcBorders>
              <w:top w:val="nil"/>
              <w:left w:val="nil"/>
              <w:bottom w:val="nil"/>
              <w:right w:val="nil"/>
            </w:tcBorders>
          </w:tcPr>
          <w:p>
            <w:pPr>
              <w:pStyle w:val="Normal6a"/>
            </w:pPr>
            <w:r>
              <w:t>E.</w:t>
            </w:r>
            <w:r>
              <w:tab/>
            </w:r>
            <w:r>
              <w:t xml:space="preserve">tā kā </w:t>
            </w:r>
            <w:r>
              <w:rPr>
                <w:b/>
                <w:i/>
              </w:rPr>
              <w:t>digitālā euro projekts rada izaicinājumus un iespējamu apdraudējumu ES banku darbības nozares likviditātei un stabilitātei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digitālais euro varētu </w:t>
            </w:r>
            <w:r>
              <w:rPr>
                <w:b/>
                <w:i/>
              </w:rPr>
              <w:t>palielināt</w:t>
            </w:r>
            <w:r>
              <w:t xml:space="preserve"> ES maksājumu efektivitāti</w:t>
            </w:r>
            <w:r>
              <w:rPr>
                <w:b/>
                <w:i/>
              </w:rPr>
              <w:t>,</w:t>
            </w:r>
            <w:r>
              <w:t xml:space="preserve"> noturību, </w:t>
            </w:r>
            <w:r>
              <w:rPr>
                <w:b/>
                <w:i/>
              </w:rPr>
              <w:t>finansiālo iekļaušanu, inovāciju, sabiedrības uzticēšanos un euro starptautisko lomu</w:t>
            </w:r>
            <w:r>
              <w:t>;</w:t>
            </w:r>
          </w:p>
        </w:tc>
        <w:tc>
          <w:tcPr>
            <w:tcW w:w="4876" w:type="dxa"/>
            <w:tcBorders>
              <w:top w:val="nil"/>
              <w:left w:val="nil"/>
              <w:bottom w:val="nil"/>
              <w:right w:val="nil"/>
            </w:tcBorders>
          </w:tcPr>
          <w:p>
            <w:pPr>
              <w:pStyle w:val="Normal6a"/>
            </w:pPr>
            <w:r>
              <w:t>E.</w:t>
            </w:r>
            <w:r>
              <w:tab/>
            </w:r>
            <w:r>
              <w:t xml:space="preserve">tā kā </w:t>
            </w:r>
            <w:r>
              <w:rPr>
                <w:b/>
                <w:i/>
              </w:rPr>
              <w:t>bezsaistes un tikai finanšu institūcijām paredzēts</w:t>
            </w:r>
            <w:r>
              <w:t xml:space="preserve"> digitālais euro varētu </w:t>
            </w:r>
            <w:r>
              <w:rPr>
                <w:b/>
                <w:i/>
              </w:rPr>
              <w:t>uzlabot</w:t>
            </w:r>
            <w:r>
              <w:t xml:space="preserve"> ES maksājumu </w:t>
            </w:r>
            <w:r>
              <w:rPr>
                <w:b/>
                <w:i/>
              </w:rPr>
              <w:t>sistēmas</w:t>
            </w:r>
            <w:r>
              <w:t xml:space="preserve"> efektivitāti </w:t>
            </w:r>
            <w:r>
              <w:rPr>
                <w:b/>
                <w:i/>
              </w:rPr>
              <w:t>un</w:t>
            </w:r>
            <w:r>
              <w:t xml:space="preserve"> noturību, </w:t>
            </w:r>
            <w:r>
              <w:rPr>
                <w:b/>
                <w:i/>
              </w:rPr>
              <w:t>taču tas varētu arī būtiski vājināt komercbanku noguldījumu bāzi un mazināt finanšu stabilitāti, veicinot līdzekļu aizplūšanu uz noguldījumiem centrālajās bankās, it īpaši spriedzes periodos</w:t>
            </w:r>
            <w:r>
              <w:t xml:space="preserve">; </w:t>
            </w:r>
            <w:r>
              <w:rPr>
                <w:b/>
                <w:i/>
              </w:rPr>
              <w:t>šāda līdzekļu aizplūšana varētu mazināt banku spēju izsniegt aizdevumus mājsaimniecībām un MVU, tādējādi tā vietā, lai veicinātu diversificētu tirgus finansējumu, palielinot atkarību no centralizētiem monetāriem finansēšanas mehānismiem;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digitālais euro </w:t>
            </w:r>
            <w:r>
              <w:rPr>
                <w:b/>
                <w:i/>
              </w:rPr>
              <w:t>varētu palielināt</w:t>
            </w:r>
            <w:r>
              <w:t xml:space="preserve"> ES maksājumu efektivitāti, noturību, finansiālo iekļaušanu, inovāciju, sabiedrības uzticēšanos un euro starptautisko lomu;</w:t>
            </w:r>
          </w:p>
        </w:tc>
        <w:tc>
          <w:tcPr>
            <w:tcW w:w="4876" w:type="dxa"/>
            <w:tcBorders>
              <w:top w:val="nil"/>
              <w:left w:val="nil"/>
              <w:bottom w:val="nil"/>
              <w:right w:val="nil"/>
            </w:tcBorders>
          </w:tcPr>
          <w:p>
            <w:pPr>
              <w:pStyle w:val="Normal6a"/>
            </w:pPr>
            <w:r>
              <w:t>E.</w:t>
            </w:r>
            <w:r>
              <w:tab/>
            </w:r>
            <w:r>
              <w:t xml:space="preserve">tā kā digitālais euro </w:t>
            </w:r>
            <w:r>
              <w:rPr>
                <w:b/>
                <w:i/>
              </w:rPr>
              <w:t>palielinās</w:t>
            </w:r>
            <w:r>
              <w:t xml:space="preserve"> ES maksājumu </w:t>
            </w:r>
            <w:r>
              <w:rPr>
                <w:b/>
                <w:i/>
              </w:rPr>
              <w:t>sistēmas</w:t>
            </w:r>
            <w:r>
              <w:t xml:space="preserve"> efektivitāti</w:t>
            </w:r>
            <w:r>
              <w:rPr>
                <w:b/>
                <w:i/>
              </w:rPr>
              <w:t>, konkurētspēju</w:t>
            </w:r>
            <w:r>
              <w:t>, noturību, finansiālo iekļaušanu, inovāciju, sabiedrības uzticēšanos un euro starptautisko lomu;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digitālais euro </w:t>
            </w:r>
            <w:r>
              <w:rPr>
                <w:b/>
                <w:i/>
              </w:rPr>
              <w:t>varētu palielināt</w:t>
            </w:r>
            <w:r>
              <w:t xml:space="preserve"> ES maksājumu efektivitāti, noturību, finansiālo iekļaušanu, inovāciju, sabiedrības uzticēšanos un euro starptautisko lomu;</w:t>
            </w:r>
          </w:p>
        </w:tc>
        <w:tc>
          <w:tcPr>
            <w:tcW w:w="4876" w:type="dxa"/>
            <w:tcBorders>
              <w:top w:val="nil"/>
              <w:left w:val="nil"/>
              <w:bottom w:val="nil"/>
              <w:right w:val="nil"/>
            </w:tcBorders>
          </w:tcPr>
          <w:p>
            <w:pPr>
              <w:pStyle w:val="Normal6a"/>
            </w:pPr>
            <w:r>
              <w:t>E.</w:t>
            </w:r>
            <w:r>
              <w:tab/>
            </w:r>
            <w:r>
              <w:t xml:space="preserve">tā kā digitālais euro </w:t>
            </w:r>
            <w:r>
              <w:rPr>
                <w:b/>
                <w:i/>
              </w:rPr>
              <w:t>palielinātu</w:t>
            </w:r>
            <w:r>
              <w:t xml:space="preserve"> ES maksājumu </w:t>
            </w:r>
            <w:r>
              <w:rPr>
                <w:b/>
                <w:i/>
              </w:rPr>
              <w:t>sistēmas</w:t>
            </w:r>
            <w:r>
              <w:t xml:space="preserve"> efektivitāti, noturību, finansiālo iekļaušanu, inovāciju, sabiedrības uzticēšanos un euro starptautisko lomu;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w:t>
            </w:r>
            <w:r>
              <w:rPr>
                <w:b/>
                <w:i/>
              </w:rPr>
              <w:t>digitālais euro</w:t>
            </w:r>
            <w:r>
              <w:t xml:space="preserve"> varētu palielināt ES maksājumu efektivitāti, noturību, finansiālo iekļaušanu, inovāciju, sabiedrības uzticēšanos un euro starptautisko lomu;</w:t>
            </w:r>
          </w:p>
        </w:tc>
        <w:tc>
          <w:tcPr>
            <w:tcW w:w="4876" w:type="dxa"/>
            <w:tcBorders>
              <w:top w:val="nil"/>
              <w:left w:val="nil"/>
              <w:bottom w:val="nil"/>
              <w:right w:val="nil"/>
            </w:tcBorders>
          </w:tcPr>
          <w:p>
            <w:pPr>
              <w:pStyle w:val="Normal6a"/>
            </w:pPr>
            <w:r>
              <w:t>E.</w:t>
            </w:r>
            <w:r>
              <w:tab/>
            </w:r>
            <w:r>
              <w:t xml:space="preserve">tā kā </w:t>
            </w:r>
            <w:r>
              <w:rPr>
                <w:b/>
                <w:i/>
              </w:rPr>
              <w:t>Eiropas mēroga suverēns risinājums mazumtirdzniecības maksājumu veikšanai</w:t>
            </w:r>
            <w:r>
              <w:t xml:space="preserve"> varētu palielināt ES maksājumu </w:t>
            </w:r>
            <w:r>
              <w:rPr>
                <w:b/>
                <w:i/>
              </w:rPr>
              <w:t>sistēmas</w:t>
            </w:r>
            <w:r>
              <w:t xml:space="preserve"> efektivitāti</w:t>
            </w:r>
            <w:r>
              <w:rPr>
                <w:b/>
                <w:i/>
              </w:rPr>
              <w:t>, suverenitāti</w:t>
            </w:r>
            <w:r>
              <w:t xml:space="preserve">, noturību, finansiālo iekļaušanu, inovāciju, sabiedrības uzticēšanos un euro starptautisko lomu; </w:t>
            </w:r>
            <w:r>
              <w:rPr>
                <w:b/>
                <w:i/>
              </w:rPr>
              <w:t>tā kā risinājums, kas pilnībā integrē tirgus dalībniekus, veicinātu pastāvīgu inovāciju, uzticēšanos un finanšu stabilitāti, radot dziļākus un likvīdākus tirgus;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digitālais euro varētu palielināt ES maksājumu efektivitāti, noturību, finansiālo iekļaušanu, inovāciju, sabiedrības uzticēšanos un euro starptautisko lomu;</w:t>
            </w:r>
          </w:p>
        </w:tc>
        <w:tc>
          <w:tcPr>
            <w:tcW w:w="4876" w:type="dxa"/>
            <w:tcBorders>
              <w:top w:val="nil"/>
              <w:left w:val="nil"/>
              <w:bottom w:val="nil"/>
              <w:right w:val="nil"/>
            </w:tcBorders>
          </w:tcPr>
          <w:p>
            <w:pPr>
              <w:pStyle w:val="Normal6a"/>
            </w:pPr>
            <w:r>
              <w:t>E.</w:t>
            </w:r>
            <w:r>
              <w:tab/>
            </w:r>
            <w:r>
              <w:t xml:space="preserve">tā kā </w:t>
            </w:r>
            <w:r>
              <w:rPr>
                <w:b/>
                <w:i/>
              </w:rPr>
              <w:t>plašai sabiedrībai paredzēts</w:t>
            </w:r>
            <w:r>
              <w:t xml:space="preserve"> digitālais euro varētu palielināt ES maksājumu </w:t>
            </w:r>
            <w:r>
              <w:rPr>
                <w:b/>
                <w:i/>
              </w:rPr>
              <w:t>sistēmas</w:t>
            </w:r>
            <w:r>
              <w:t xml:space="preserve"> efektivitāti, noturību, finansiālo iekļaušanu, inovāciju, </w:t>
            </w:r>
            <w:r>
              <w:rPr>
                <w:b/>
                <w:i/>
              </w:rPr>
              <w:t>konkurētspēju,</w:t>
            </w:r>
            <w:r>
              <w:t xml:space="preserve"> sabiedrības uzticēšanos</w:t>
            </w:r>
            <w:r>
              <w:rPr>
                <w:b/>
                <w:i/>
              </w:rPr>
              <w:t>, patērētāju privātumu attiecībā uz digitāliem maksājumiem</w:t>
            </w:r>
            <w:r>
              <w:t xml:space="preserve"> un euro starptautisko lomu;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ES finanšu tirgus infrastruktūras efektivitāte, noturība un stratēģiskā autonomija ir ļoti svarīgas, lai nodrošinātu pienācīgu banku savienības darbību un ES finanšu sistēmas konkurētspēju;</w:t>
            </w:r>
            <w:r>
              <w:t xml:space="preserve"> </w:t>
            </w:r>
            <w:r>
              <w:rPr>
                <w:b/>
                <w:i/>
              </w:rPr>
              <w:t>tā kā tādas CBDV izstrāde, kas paredzēta tikai norēķiniem starp regulētām finanšu institūcijām, var ievērojami uzlabot pārrobežu maksājumus, vērtspapīru norēķinus un likviditātes pārvaldību, tostarp, uzlabojot maksājumu sistēmu un tirgus infrastruktūras sadarbspēju;</w:t>
            </w:r>
            <w:r>
              <w:t xml:space="preserve"> </w:t>
            </w:r>
            <w:r>
              <w:rPr>
                <w:b/>
                <w:i/>
              </w:rPr>
              <w:t>tā kā pašreizējās Eurosistēmas iniciatīvas ir svarīgs solis ceļā uz šo ieguvumu izpēti kontrolētā un uz tirgu orientētā veidā;</w:t>
            </w:r>
            <w:r>
              <w:t xml:space="preserve"> </w:t>
            </w:r>
            <w:r>
              <w:rPr>
                <w:b/>
                <w:i/>
              </w:rPr>
              <w:t>tā kā pilna mēroga darbības līmeņa panākšana varētu veicināt euro starptautiskās lomas palielināšanos, ES finanšu tirgu sadrumstalotības mazināšanu un atbalstu finanšu stabilitātei, vienlaikus pilnībā saglabājot naudas universālumu un privātā sektora starpnieku lomu;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ECB strauji virzās uz priekšu tikai finanšu institūcijām paredzētā digitālā euro ieviešanas jomā, īstenojot īstermiņa pieejas (Pontes) un ilgtermiņa pieejas (Appia) sadalītās virsgrāmatas tehnoloģijas projektus attiecībā uz centrālo banku lielapjoma naudas norēķiniem;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tā kā, pateicoties stingrākas monetārās politikas novēlotai ietekmei, ES bankas kopš 2022. gada ziņo par rekordaugstu peļņu;</w:t>
            </w:r>
            <w:r>
              <w:t xml:space="preserve"> </w:t>
            </w:r>
            <w:r>
              <w:rPr>
                <w:b/>
                <w:i/>
              </w:rPr>
              <w:t>tā kā vairākas dalībvalstis ir ieviesušas pagaidu banku nodevu, lai nodrošinātu to taisnīgu ieguldījumu, vienlaikus aizsargājot stabilitāti un sociālo kohēziju,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tā kā, pateicoties stingrākas monetārās politikas novēlotai ietekmei, ES bankas kopš 2022. gada ziņo par rekordaugstu peļņu;</w:t>
            </w:r>
            <w:r>
              <w:t xml:space="preserve"> </w:t>
            </w:r>
            <w:r>
              <w:rPr>
                <w:b/>
                <w:i/>
              </w:rPr>
              <w:t>tā kā vairākas dalībvalstis ir ieviesušas pagaidu banku nodevu, lai nodrošinātu to taisnīgu ieguldījumu, vienlaikus aizsargājot stabilitāti un sociālo kohēziju,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pateicoties stingrākas monetārās politikas novēlotai ietekmei, ES bankas kopš 2022. gada ziņo par rekordaugstu peļņu; tā kā vairākas dalībvalstis ir ieviesušas pagaidu banku nodevu, lai </w:t>
            </w:r>
            <w:r>
              <w:rPr>
                <w:b/>
                <w:i/>
              </w:rPr>
              <w:t>nodrošinātu to taisnīgu ieguldījumu, vienlaikus aizsargājot stabilitāti un sociālo kohēziju</w:t>
            </w:r>
            <w:r>
              <w:t>,</w:t>
            </w:r>
          </w:p>
        </w:tc>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w:t>
            </w:r>
            <w:r>
              <w:rPr>
                <w:b/>
                <w:i/>
              </w:rPr>
              <w:t>, tādējādi palīdzot novērst vairāk nekā 15 gadus pastāvējušo pašu kapitāla ienesīguma starpību starp ES un ASV bankām</w:t>
            </w:r>
            <w:r>
              <w:t xml:space="preserve">; tā kā vairākas dalībvalstis ir ieviesušas pagaidu banku nodevu, lai </w:t>
            </w:r>
            <w:r>
              <w:rPr>
                <w:b/>
                <w:i/>
              </w:rPr>
              <w:t>gan tādas institūcijas kā ECB savos atzinumos atkārtoti ir norādījušas, ka nodevas uzlikšana finanšu institūcijām vispārēju budžeta apsvērumu dēļ nav vēlama un ka tā varētu izkropļot tirgus konkurenci un vājināt vienlīdzīgus konkurences apstākļus gan attiecīgajā valstī</w:t>
            </w:r>
            <w:r>
              <w:t xml:space="preserve">, </w:t>
            </w:r>
            <w:r>
              <w:rPr>
                <w:b/>
                <w:i/>
              </w:rPr>
              <w:t>gan visā banku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pateicoties stingrākas monetārās politikas novēlotai ietekmei, ES bankas kopš 2022. gada ziņo par rekordaugstu peļņu; tā kā vairākas dalībvalstis ir ieviesušas pagaidu banku nodevu, </w:t>
            </w:r>
            <w:r>
              <w:rPr>
                <w:b/>
                <w:i/>
              </w:rPr>
              <w:t>lai nodrošinātu to taisnīgu ieguldījumu, vienlaikus aizsargājot stabilitāti un sociālo kohēziju,</w:t>
            </w:r>
          </w:p>
        </w:tc>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 tā kā vairākas dalībvalstis ir ieviesušas pagaidu banku nodevu,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 tā kā vairākas dalībvalstis ir ieviesušas pagaidu banku nodevu, lai nodrošinātu to taisnīgu ieguldījumu, vienlaikus aizsargājot stabilitāti un sociālo kohēziju,</w:t>
            </w:r>
          </w:p>
        </w:tc>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 tā kā vairākas dalībvalstis ir ieviesušas pagaidu banku nodevu, lai nodrošinātu to taisnīgu ieguldījumu, vienlaikus aizsargājot stabilitāti un sociālo kohēziju</w:t>
            </w:r>
            <w:r>
              <w:rPr>
                <w:b/>
                <w:i/>
              </w:rPr>
              <w:t>;</w:t>
            </w:r>
            <w:r>
              <w:t xml:space="preserve"> </w:t>
            </w:r>
            <w:r>
              <w:rPr>
                <w:b/>
                <w:i/>
              </w:rPr>
              <w:t>tā kā</w:t>
            </w:r>
            <w:r>
              <w:t xml:space="preserve">, </w:t>
            </w:r>
            <w:r>
              <w:rPr>
                <w:b/>
                <w:i/>
              </w:rPr>
              <w:t>neraugoties uz stingrākas monetārās politikas īstenošanu, ES banku rentabilitāte kopš 2022. gada ir palielinājusies, veicinot kapitāla radīšanu un finanšu stabilitāti;</w:t>
            </w:r>
            <w:r>
              <w:t xml:space="preserve"> </w:t>
            </w:r>
            <w:r>
              <w:rPr>
                <w:b/>
                <w:i/>
              </w:rPr>
              <w:t>tā kā banku rentabilitāte joprojām ir cikliska, jo tā ir atkarīga no procentu likmju cikla;</w:t>
            </w:r>
            <w:r>
              <w:t xml:space="preserve"> </w:t>
            </w:r>
            <w:r>
              <w:rPr>
                <w:b/>
                <w:i/>
              </w:rPr>
              <w:t>tā kā vairākas dalībvalstis ir ieviesušas bankām piemērojamu pagaidu nodevu, kurai arī turpmāk būtu jāsaglabā izņēmuma raksturs un vajadzētu būt samērīgai un rūpīgi izvērtētai, lai izvairītos no nelabvēlīgas ietekmes uz banku kapitāla pozīciju, aizdošanas spēju, finanšu stabilitāti un vienlīdzīgiem konkurences apstākļiem banku savienības iekšienē;</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 tā kā vairākas dalībvalstis ir ieviesušas pagaidu banku nodevu, lai nodrošinātu to taisnīgu ieguldījumu, vienlaikus aizsargājot stabilitāti un sociālo kohēziju,</w:t>
            </w:r>
          </w:p>
        </w:tc>
        <w:tc>
          <w:tcPr>
            <w:tcW w:w="4876" w:type="dxa"/>
            <w:tcBorders>
              <w:top w:val="nil"/>
              <w:left w:val="nil"/>
              <w:bottom w:val="nil"/>
              <w:right w:val="nil"/>
            </w:tcBorders>
          </w:tcPr>
          <w:p>
            <w:pPr>
              <w:pStyle w:val="Normal6a"/>
            </w:pPr>
            <w:r>
              <w:t>F.</w:t>
            </w:r>
            <w:r>
              <w:tab/>
            </w:r>
            <w:r>
              <w:t>tā kā, pateicoties stingrākas monetārās politikas novēlotai ietekmei, ES bankas kopš 2022. gada ziņo par rekordaugstu peļņu; tā kā vairākas dalībvalstis ir ieviesušas pagaidu banku nodevu, lai nodrošinātu to taisnīgu ieguldījumu, vienlaikus aizsargājot stabilitāti un sociālo kohēziju</w:t>
            </w:r>
            <w:r>
              <w:rPr>
                <w:b/>
                <w:i/>
              </w:rPr>
              <w:t>;</w:t>
            </w:r>
            <w:r>
              <w:t xml:space="preserve"> </w:t>
            </w:r>
            <w:r>
              <w:rPr>
                <w:b/>
                <w:i/>
              </w:rPr>
              <w:t>tā kā augsto nesadalīto peļņu lielā mērā ir absorbējušas augošās kapitāla prasības un pārmērīgi augstās atbilstības nodrošināšanas</w:t>
            </w:r>
            <w:r>
              <w:t xml:space="preserve">, </w:t>
            </w:r>
            <w:r>
              <w:rPr>
                <w:b/>
                <w:i/>
              </w:rPr>
              <w:t>tostarp ilgtspējas ziņu sniegšanas, izmaksas, kas ierobežo banku spēju sniegt atbalstu reālajai ekonomikai; tā kā stingrāka monetārā politika ir samazinājusi neto procentu starpību, atspoguļojot plašāku makroprudenciālo spiedienu uz rentabilitāti;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nozarei specifisku nodokļu uzlikšana kredītiestādēm, pat ja to ievieš kā pagaidu pasākumu, var radīt iekšējā tirgus izkropļojumus, nelabvēlīgi ietekmēt vienību spēju izsniegt kredītu mājsaimniecībām un uzņēmumiem un mazināt fiskālā satvara paredzamību;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Komisija savā 2025. gada marta paziņojumā par uzkrājumu un investīciju savienību ir apņēmusies veikt "apņēmīgus pasākumus, lai turpmāk attīstītu banku savienību, citstarp identificējot saistībā ar Eiropas noguldījumu apdrošināšanas sistēmu veicamos pasākumus", taču kopš tā laika joprojām nav iesniegusi nevienu priekšlikumu saistībā ar banku savienības izveides pabeigšanu;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bankas ir viens no mūsu ekonomikas pamatpīlāriem un banku darbība ir viena no stratēģiski svarīgākajām nozarēm;</w:t>
            </w:r>
            <w:r>
              <w:t xml:space="preserve"> </w:t>
            </w:r>
            <w:r>
              <w:rPr>
                <w:b/>
                <w:i/>
              </w:rPr>
              <w:t>tā kā stabilitātei, noturībai un konkurētspējai ir būtiska nozīme, lai nodrošinātu, ka finanšu sistēma var pielāgoties globāliem izaicinājumiem, veicināt inovāciju un efektīvi apmierināt uzņēmumu un iedzīvotāju vajadzības;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likviditātes pārpalikums eurozonā 2022. gadā sasniedza 4,7 triljonus EUR, savukārt pašlaik tas ir 2,8 triljoni EUR;</w:t>
            </w:r>
            <w:r>
              <w:t xml:space="preserve"> </w:t>
            </w:r>
            <w:r>
              <w:rPr>
                <w:b/>
                <w:i/>
              </w:rPr>
              <w:t>tā kā arī eurozonas banku likviditātes seguma rādītājs 2022. gadā bija sasniedzis savu augstāko līmeni, pārsniedzot 170 %, savukārt 2025. gada trešajā ceturksnī tas bija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banku savienības ietvaros arvien vairāk tiek izmantoti e-naudas žetoni un kļūst ciešāka to savstarpējā saikne ar bankām;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tā kā, ņemot vērā to, ka bankas ir viens no mūsu ekonomikas stūrakmeņiem un viena no stratēģiski svarīgākajām nozarēm, ir svarīgi nodrošināt, ka tās darbojas vidē, kas veicina stabilitāti, noturību, dinamismu un konkurētspēju;</w:t>
            </w:r>
            <w:r>
              <w:t xml:space="preserve"> </w:t>
            </w:r>
            <w:r>
              <w:rPr>
                <w:b/>
                <w:i/>
              </w:rPr>
              <w:t>tā kā šie principi ir būtiski ne tikai ilgtspējīgai ekonomikas izaugsmei, bet arī tam, lai nodrošinātu finanšu sistēmas spēju pielāgoties globāliem izaicinājumiem, atvieglotu inovāciju un efektīvi reaģētu uz uzņēmumu un iedzīvotāju vajadzībām;</w:t>
            </w:r>
            <w:r>
              <w:t xml:space="preserve"> </w:t>
            </w:r>
            <w:r>
              <w:rPr>
                <w:b/>
                <w:i/>
              </w:rPr>
              <w:t>tā kā dinamiskai ekonomikai ir nepieciešama vienlaikus stabila un elastīga banku darbības nozare, kas veicina investēšanu un efektīvi novirza kapitālu, tādējādi palielinot mūsu spēju konkurēt pastāvīgi mainīgā globālajā tirgū;</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tā kā Regula (ES) 2023/1114 (KAT regula) paredz diferencētas tirgus piekļuves prasības, izpirkšanas pienākumus un uzraudzības satvaru aktīviem piesaistītu žetonu un e-naudas žetonu emitentiem, atspoguļojot to atšķirīgo riska profilu un monetāro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tā kā labi attīstītai banku darbības nozarei ir būtiska loma ekonomikas izaugsmes nodrošināšanā un mazo un vidējo uzņēmumu (MVU) un jaunuzņēmumu finansēšanā;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atzinīgi vērtē saistībā</w:t>
            </w:r>
            <w:r>
              <w:t xml:space="preserve"> ar VUM un VNM </w:t>
            </w:r>
            <w:r>
              <w:rPr>
                <w:b/>
                <w:i/>
              </w:rPr>
              <w:t>pēdējā desmitgadē panākto progresu</w:t>
            </w:r>
            <w:r>
              <w:t xml:space="preserve">; prasa </w:t>
            </w:r>
            <w:r>
              <w:rPr>
                <w:b/>
                <w:i/>
              </w:rPr>
              <w:t>pilnībā un ātri pabeigt banku savienības, tostarp pilnībā funkcionējošas ENAS, izveidi</w:t>
            </w:r>
            <w:r>
              <w:t xml:space="preserve">; uzsver, ka </w:t>
            </w:r>
            <w:r>
              <w:rPr>
                <w:b/>
                <w:i/>
              </w:rPr>
              <w:t>banku savienībai ir jāveicina iekļaujošāka un ilgtspējīgāka finanšu sistēma, kas ir saskaņota ar sociālo kohēziju un ES zaļo kursu</w:t>
            </w:r>
            <w:r>
              <w:t>;</w:t>
            </w:r>
          </w:p>
        </w:tc>
        <w:tc>
          <w:tcPr>
            <w:tcW w:w="4876" w:type="dxa"/>
            <w:tcBorders>
              <w:top w:val="nil"/>
              <w:left w:val="nil"/>
              <w:bottom w:val="nil"/>
              <w:right w:val="nil"/>
            </w:tcBorders>
          </w:tcPr>
          <w:p>
            <w:pPr>
              <w:pStyle w:val="Normal6a"/>
            </w:pPr>
            <w:r>
              <w:t>1.</w:t>
            </w:r>
            <w:r>
              <w:tab/>
            </w:r>
            <w:r>
              <w:rPr>
                <w:b/>
                <w:i/>
              </w:rPr>
              <w:t>pieņem zināšanai</w:t>
            </w:r>
            <w:r>
              <w:t xml:space="preserve"> ar VUM un VNM </w:t>
            </w:r>
            <w:r>
              <w:rPr>
                <w:b/>
                <w:i/>
              </w:rPr>
              <w:t>saistītās norises pēdējos desmit gados</w:t>
            </w:r>
            <w:r>
              <w:t xml:space="preserve">; prasa </w:t>
            </w:r>
            <w:r>
              <w:rPr>
                <w:b/>
                <w:i/>
              </w:rPr>
              <w:t>veikt reformas, kas uzlabotu tirgus disciplīnu, nevis veicinātu birokrātijas vēršanos plašumā</w:t>
            </w:r>
            <w:r>
              <w:t xml:space="preserve">; uzsver, ka </w:t>
            </w:r>
            <w:r>
              <w:rPr>
                <w:b/>
                <w:i/>
              </w:rPr>
              <w:t>priekšlikumi, kas paredz vēl lielāku riska centralizēšanu, būtu jākompensē ar atbilstošas pakāpes pārskatatbildību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w:t>
            </w:r>
            <w:r>
              <w:rPr>
                <w:b/>
                <w:i/>
              </w:rPr>
              <w:t>prasa pilnībā un ātri pabeigt banku savienības, tostarp pilnībā funkcionējošas ENAS, izveidi;</w:t>
            </w:r>
            <w:r>
              <w:t xml:space="preserve"> </w:t>
            </w:r>
            <w:r>
              <w:rPr>
                <w:b/>
                <w:i/>
              </w:rPr>
              <w:t>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atzinīgi vērtē saistībā ar VUM un VNM pēdējā desmitgadē panākto progresu;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w:t>
            </w:r>
            <w:r>
              <w:rPr>
                <w:b/>
                <w:i/>
              </w:rPr>
              <w:t>pilnībā un ātri pabeigt</w:t>
            </w:r>
            <w:r>
              <w:t xml:space="preserve"> banku savienības</w:t>
            </w:r>
            <w:r>
              <w:rPr>
                <w:b/>
                <w:i/>
              </w:rPr>
              <w:t>, tostarp pilnībā funkcionējošas ENAS, izveidi;</w:t>
            </w:r>
            <w:r>
              <w:t xml:space="preserve"> </w:t>
            </w:r>
            <w:r>
              <w:rPr>
                <w:b/>
                <w:i/>
              </w:rPr>
              <w:t>uzsver, ka</w:t>
            </w:r>
            <w:r>
              <w:t xml:space="preserve"> banku </w:t>
            </w:r>
            <w:r>
              <w:rPr>
                <w:b/>
                <w:i/>
              </w:rPr>
              <w:t>savienībai ir jāveicina iekļaujošāka un ilgtspējīgāka finanšu sistēma, kas ir saskaņota ar sociālo kohēziju un 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w:t>
            </w:r>
            <w:r>
              <w:rPr>
                <w:b/>
                <w:i/>
              </w:rPr>
              <w:t>turpināt</w:t>
            </w:r>
            <w:r>
              <w:t xml:space="preserve"> banku savienības </w:t>
            </w:r>
            <w:r>
              <w:rPr>
                <w:b/>
                <w:i/>
              </w:rPr>
              <w:t>pilnveidošanu, ņemot vērā valstu</w:t>
            </w:r>
            <w:r>
              <w:t xml:space="preserve"> banku </w:t>
            </w:r>
            <w:r>
              <w:rPr>
                <w:b/>
                <w:i/>
              </w:rPr>
              <w:t>darbības nozaru īpašās iezīmes un nodrošinot institucionālo aizsardzības shēmu (IAS) autonomiju un efektīvu darbību, taču nepārkāpjot īpašos noteikumus par IAS, par kuriem tika panākta vienošanās CMDI pārskatīšanā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w:t>
            </w:r>
            <w:r>
              <w:rPr>
                <w:b/>
                <w:i/>
              </w:rPr>
              <w:t>pilnībā un ātri pabeigt</w:t>
            </w:r>
            <w:r>
              <w:t xml:space="preserve"> banku savienības</w:t>
            </w:r>
            <w:r>
              <w:rPr>
                <w:b/>
                <w:i/>
              </w:rPr>
              <w:t>, tostarp pilnībā funkcionējošas ENAS, izveidi;</w:t>
            </w:r>
            <w:r>
              <w:t xml:space="preserve"> </w:t>
            </w:r>
            <w:r>
              <w:rPr>
                <w:b/>
                <w:i/>
              </w:rPr>
              <w:t>uzsver, ka banku savienībai ir jāveicina iekļaujošāka un ilgtspējīgāka finanšu sistēma, kas ir saskaņota ar sociālo kohēziju un 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w:t>
            </w:r>
            <w:r>
              <w:rPr>
                <w:b/>
                <w:i/>
              </w:rPr>
              <w:t>pakāpeniski turpināt</w:t>
            </w:r>
            <w:r>
              <w:t xml:space="preserve"> banku savienības </w:t>
            </w:r>
            <w:r>
              <w:rPr>
                <w:b/>
                <w:i/>
              </w:rPr>
              <w:t>pilnveidošanu, vienlaikus pienācīgi ņemot vērā nacionālās īpatnības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w:t>
            </w:r>
            <w:r>
              <w:rPr>
                <w:b/>
                <w:i/>
              </w:rPr>
              <w:t>pilnībā funkcionējošas</w:t>
            </w:r>
            <w:r>
              <w:t xml:space="preserve"> ENAS, </w:t>
            </w:r>
            <w:r>
              <w:rPr>
                <w:b/>
                <w:i/>
              </w:rPr>
              <w:t>izveidi;</w:t>
            </w:r>
            <w:r>
              <w:t xml:space="preserve"> </w:t>
            </w:r>
            <w:r>
              <w:rPr>
                <w:b/>
                <w:i/>
              </w:rPr>
              <w:t>uzsver, ka banku savienībai ir jāveicina iekļaujošāka un ilgtspējīgāka finanšu sistēma, kas ir saskaņota ar sociālo kohēziju un 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w:t>
            </w:r>
            <w:r>
              <w:rPr>
                <w:b/>
                <w:i/>
              </w:rPr>
              <w:t>izveidi</w:t>
            </w:r>
            <w:r>
              <w:t xml:space="preserve">, tostarp </w:t>
            </w:r>
            <w:r>
              <w:rPr>
                <w:b/>
                <w:i/>
              </w:rPr>
              <w:t>ieviest tādu</w:t>
            </w:r>
            <w:r>
              <w:t xml:space="preserve"> ENAS, </w:t>
            </w:r>
            <w:r>
              <w:rPr>
                <w:b/>
                <w:i/>
              </w:rPr>
              <w:t>kurā tiek ņemtas vērā nacionālās īpatnības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atzinīgi vērtē saistībā ar VUM un VNM pēdējā desmitgadē panākto progresu</w:t>
            </w:r>
            <w:r>
              <w:rPr>
                <w:b/>
                <w:i/>
              </w:rPr>
              <w:t>;</w:t>
            </w:r>
            <w:r>
              <w:t xml:space="preserve"> </w:t>
            </w:r>
            <w:r>
              <w:rPr>
                <w:b/>
                <w:i/>
              </w:rPr>
              <w:t>prasa pilnībā un ātri pabeigt banku savienības, tostarp pilnībā funkcionējošas ENAS, izveidi</w:t>
            </w:r>
            <w:r>
              <w:t xml:space="preserve">; uzsver, ka banku savienībai ir jāveicina iekļaujošāka un ilgtspējīgāka finanšu sistēma, kas ir saskaņota ar </w:t>
            </w:r>
            <w:r>
              <w:rPr>
                <w:b/>
                <w:i/>
              </w:rPr>
              <w:t>sociālo kohēziju un 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uzsver, ka banku savienībai ir jāveicina iekļaujošāka un ilgtspējīgāka finanšu sistēma, kas ir saskaņota ar </w:t>
            </w:r>
            <w:r>
              <w:rPr>
                <w:b/>
                <w:i/>
              </w:rPr>
              <w:t>divējādo pārkārtošanos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funkcionējošas ENAS, izveidi; </w:t>
            </w:r>
            <w:r>
              <w:rPr>
                <w:b/>
                <w:i/>
              </w:rPr>
              <w:t>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atzinīgi vērtē saistībā ar VUM un VNM pēdējā desmitgadē panākto progresu; prasa pilnībā un ātri pabeigt banku savienības, tostarp pilnībā funkcionējošas ENAS,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funkcionējošas ENAS, izveidi; </w:t>
            </w:r>
            <w:r>
              <w:rPr>
                <w:b/>
                <w:i/>
              </w:rPr>
              <w:t>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atzinīgi vērtē saistībā ar VUM un VNM pēdējā desmitgadē panākto progresu; prasa pilnībā un ātri pabeigt banku savienības, tostarp pilnībā funkcionējošas ENAS, izveidi;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w:t>
            </w:r>
            <w:r>
              <w:rPr>
                <w:b/>
                <w:i/>
              </w:rPr>
              <w:t>prasa pilnībā un ātri</w:t>
            </w:r>
            <w:r>
              <w:t xml:space="preserve"> pabeigt banku savienības</w:t>
            </w:r>
            <w:r>
              <w:rPr>
                <w:b/>
                <w:i/>
              </w:rPr>
              <w:t>, tostarp pilnībā funkcionējošas ENAS,</w:t>
            </w:r>
            <w:r>
              <w:t xml:space="preserve"> izveidi; uzsver, ka banku savienībai ir jāveicina </w:t>
            </w:r>
            <w:r>
              <w:rPr>
                <w:b/>
                <w:i/>
              </w:rPr>
              <w:t>iekļaujošāka un ilgtspējīgāka</w:t>
            </w:r>
            <w:r>
              <w:t xml:space="preserve"> finanšu sistēma, kas ir saskaņota ar sociālo kohēziju un ES zaļo kursu;</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w:t>
            </w:r>
            <w:r>
              <w:rPr>
                <w:b/>
                <w:i/>
              </w:rPr>
              <w:t>mudina</w:t>
            </w:r>
            <w:r>
              <w:t xml:space="preserve"> pabeigt banku savienības izveidi; uzsver, ka banku savienībai ir jāveicina </w:t>
            </w:r>
            <w:r>
              <w:rPr>
                <w:b/>
                <w:i/>
              </w:rPr>
              <w:t>iekļaujoša un ilgtspējīga</w:t>
            </w:r>
            <w:r>
              <w:t xml:space="preserve"> finanšu sistēma, kas ir saskaņota ar sociālo kohēziju un ES zaļo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w:t>
            </w:r>
            <w:r>
              <w:rPr>
                <w:b/>
                <w:i/>
              </w:rPr>
              <w:t>pilnībā funkcionējošas</w:t>
            </w:r>
            <w:r>
              <w:t xml:space="preserve"> ENAS, </w:t>
            </w:r>
            <w:r>
              <w:rPr>
                <w:b/>
                <w:i/>
              </w:rPr>
              <w:t>izveidi</w:t>
            </w:r>
            <w:r>
              <w:t>; 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w:t>
            </w:r>
            <w:r>
              <w:rPr>
                <w:b/>
                <w:i/>
              </w:rPr>
              <w:t>izveidi</w:t>
            </w:r>
            <w:r>
              <w:t xml:space="preserve">, tostarp </w:t>
            </w:r>
            <w:r>
              <w:rPr>
                <w:b/>
                <w:i/>
              </w:rPr>
              <w:t>turpināt darbu pie</w:t>
            </w:r>
            <w:r>
              <w:t xml:space="preserve"> ENAS, </w:t>
            </w:r>
            <w:r>
              <w:rPr>
                <w:b/>
                <w:i/>
              </w:rPr>
              <w:t>un veikt pasākumus, lai padziļinātu tirgus integrāciju un atvieglotu kapitāla un likvīdu efektīvu apriti banku grupās</w:t>
            </w:r>
            <w:r>
              <w:t>; uzsver, ka banku savienībai ir jāveicina iekļaujošāka un ilgtspējīgāka finanšu sistēma, kas ir saskaņota ar sociālo kohēziju un ES zaļo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w:t>
            </w:r>
            <w:r>
              <w:rPr>
                <w:b/>
                <w:i/>
              </w:rPr>
              <w:t>pilnībā funkcionējošas</w:t>
            </w:r>
            <w:r>
              <w:t xml:space="preserve"> ENAS, </w:t>
            </w:r>
            <w:r>
              <w:rPr>
                <w:b/>
                <w:i/>
              </w:rPr>
              <w:t>izveidi</w:t>
            </w:r>
            <w:r>
              <w:t>; 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w:t>
            </w:r>
            <w:r>
              <w:rPr>
                <w:b/>
                <w:i/>
              </w:rPr>
              <w:t>izveidi</w:t>
            </w:r>
            <w:r>
              <w:t xml:space="preserve">, tostarp </w:t>
            </w:r>
            <w:r>
              <w:rPr>
                <w:b/>
                <w:i/>
              </w:rPr>
              <w:t>ieviest tādu</w:t>
            </w:r>
            <w:r>
              <w:t xml:space="preserve"> ENAS, </w:t>
            </w:r>
            <w:r>
              <w:rPr>
                <w:b/>
                <w:i/>
              </w:rPr>
              <w:t>kurā tiek ņemtas vērā nacionālās īpatnības</w:t>
            </w:r>
            <w:r>
              <w:t>; uzsver, ka banku savienībai ir jāveicina iekļaujošāka un ilgtspējīgāka finanšu sistēma, kas ir saskaņota ar sociālo kohēziju un ES zaļo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atzinīgi vērtē saistībā ar VUM un VNM pēdējā desmitgadē panākto progresu; prasa pilnībā un ātri pabeigt banku savienības, tostarp pilnībā funkcionējošas ENAS, izveidi; uzsver, ka banku savienībai ir jāveicina iekļaujošāka un ilgtspējīgāka finanšu sistēma</w:t>
            </w:r>
            <w:r>
              <w:rPr>
                <w:b/>
                <w:i/>
              </w:rPr>
              <w:t>, kas ir saskaņota ar sociālo kohēziju un 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funkcionējošas </w:t>
            </w:r>
            <w:r>
              <w:rPr>
                <w:b/>
                <w:i/>
              </w:rPr>
              <w:t>un uz kopīgiem principiem balstītas</w:t>
            </w:r>
            <w:r>
              <w:t xml:space="preserve"> ENAS, izveidi; uzsver, ka banku savienībai ir jāveicina </w:t>
            </w:r>
            <w:r>
              <w:rPr>
                <w:b/>
                <w:i/>
              </w:rPr>
              <w:t>konkurētspējīgāka,</w:t>
            </w:r>
            <w:r>
              <w:t xml:space="preserve"> iekļaujošāka un ilgtspējīgāka finanšu sistēma;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funkcionējošas ENAS, izveidi; uzsver, ka banku savienībai ir jāveicina iekļaujošāka un ilgtspējīgāka finanšu sistēma, kas ir saskaņota ar sociālo kohēziju un </w:t>
            </w:r>
            <w:r>
              <w:rPr>
                <w:b/>
                <w:i/>
              </w:rPr>
              <w:t>ES zaļo kursu</w:t>
            </w:r>
            <w:r>
              <w:t>;</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funkcionējošas ENAS, izveidi; uzsver, ka banku savienībai ir jāveicina iekļaujošāka un ilgtspējīgāka finanšu sistēma, kas ir saskaņota ar sociālo kohēziju un </w:t>
            </w:r>
            <w:r>
              <w:rPr>
                <w:b/>
                <w:i/>
              </w:rPr>
              <w:t>konkurētspēju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tostarp pilnībā </w:t>
            </w:r>
            <w:r>
              <w:rPr>
                <w:b/>
                <w:i/>
              </w:rPr>
              <w:t>funkcionējošas</w:t>
            </w:r>
            <w:r>
              <w:t xml:space="preserve"> ENAS, </w:t>
            </w:r>
            <w:r>
              <w:rPr>
                <w:b/>
                <w:i/>
              </w:rPr>
              <w:t>izveidi</w:t>
            </w:r>
            <w:r>
              <w:t>; uzsver, ka banku savienībai ir jāveicina iekļaujošāka un ilgtspējīgāka finanšu sistēma, kas ir saskaņota ar sociālo kohēziju un ES zaļo kursu;</w:t>
            </w:r>
          </w:p>
        </w:tc>
        <w:tc>
          <w:tcPr>
            <w:tcW w:w="4876" w:type="dxa"/>
            <w:tcBorders>
              <w:top w:val="nil"/>
              <w:left w:val="nil"/>
              <w:bottom w:val="nil"/>
              <w:right w:val="nil"/>
            </w:tcBorders>
          </w:tcPr>
          <w:p>
            <w:pPr>
              <w:pStyle w:val="Normal6a"/>
            </w:pPr>
            <w:r>
              <w:t>1.</w:t>
            </w:r>
            <w:r>
              <w:tab/>
            </w:r>
            <w:r>
              <w:t xml:space="preserve">atzinīgi vērtē saistībā ar VUM un VNM pēdējā desmitgadē panākto progresu; prasa pilnībā un ātri pabeigt banku savienības </w:t>
            </w:r>
            <w:r>
              <w:rPr>
                <w:b/>
                <w:i/>
              </w:rPr>
              <w:t>izveidi</w:t>
            </w:r>
            <w:r>
              <w:t xml:space="preserve">, tostarp </w:t>
            </w:r>
            <w:r>
              <w:rPr>
                <w:b/>
                <w:i/>
              </w:rPr>
              <w:t>ieviest</w:t>
            </w:r>
            <w:r>
              <w:t xml:space="preserve"> pilnībā </w:t>
            </w:r>
            <w:r>
              <w:rPr>
                <w:b/>
                <w:i/>
              </w:rPr>
              <w:t>funkcionējošu</w:t>
            </w:r>
            <w:r>
              <w:t xml:space="preserve"> ENAS, </w:t>
            </w:r>
            <w:r>
              <w:rPr>
                <w:b/>
                <w:i/>
              </w:rPr>
              <w:t>kas nodrošina zaudējumu segšanu</w:t>
            </w:r>
            <w:r>
              <w:t>; uzsver, ka banku savienībai ir jāveicina iekļaujošāka un ilgtspējīgāka finanšu sistēma, kas ir saskaņota ar sociālo kohēziju un ES zaļo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atzīmē, ka integrētāka banku savienība palīdzētu palielināt ES banku darbības nozares noturību un sniegtu labumu patērētājiem;</w:t>
            </w:r>
            <w:r>
              <w:t xml:space="preserve"> </w:t>
            </w:r>
            <w:r>
              <w:rPr>
                <w:b/>
                <w:i/>
              </w:rPr>
              <w:t>šajā sakarā norāda uz nepieciešamību risināt problēmas un izacinājumus, kas saistīti ar izcelsmes valsts un uzņēmējvalsts jautājumu, it īpaši sniegt ticamas ES tiesību aktos minētās garantijas uzņēmējvalstīm;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aicina Komisiju par prioritāti noteikt banku savienības un uzkrājumu un investīciju savienības izveides (UIS) pabeigšanu;</w:t>
            </w:r>
            <w:r>
              <w:t xml:space="preserve"> </w:t>
            </w:r>
            <w:r>
              <w:rPr>
                <w:b/>
                <w:i/>
              </w:rPr>
              <w:t>vērš uzmanību uz to nozīmi iedzīvotājiem, MVU un reālajai ekonomikai, jo tās veicina ilgtspējīgu labklājību, kvalitatīvu darbvietu izveidi un finanšu stabilitāti;</w:t>
            </w:r>
            <w:r>
              <w:t xml:space="preserve"> </w:t>
            </w:r>
            <w:r>
              <w:rPr>
                <w:b/>
                <w:i/>
              </w:rPr>
              <w:t>uzsver nepieciešamību pēc spēcīga uz solidaritāti balstīta satvara, kas novērstu līdzekļu masveida izņemšanu no bankām;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aicina Komisiju par prioritāti noteikt banku savienības un</w:t>
            </w:r>
            <w:r>
              <w:t xml:space="preserve"> uzkrājumu un investīciju </w:t>
            </w:r>
            <w:r>
              <w:rPr>
                <w:b/>
                <w:i/>
              </w:rPr>
              <w:t>savienības izveides (UIS) pabeigšanu;</w:t>
            </w:r>
            <w:r>
              <w:t xml:space="preserve"> </w:t>
            </w:r>
            <w:r>
              <w:rPr>
                <w:b/>
                <w:i/>
              </w:rPr>
              <w:t>vērš uzmanību uz to nozīmi iedzīvotājiem, MVU un reālajai ekonomikai, jo tās veicina ilgtspējīgu labklājību, kvalitatīvu darbvietu izveidi un finanšu stabilitāti;</w:t>
            </w:r>
            <w:r>
              <w:t xml:space="preserve"> </w:t>
            </w:r>
            <w:r>
              <w:rPr>
                <w:b/>
                <w:i/>
              </w:rPr>
              <w:t>uzsver nepieciešamību pēc spēcīga uz solidaritāti balstīta satvara, kas novērstu līdzekļu masveida izņemšanu no bankām</w:t>
            </w:r>
            <w:r>
              <w:t>;</w:t>
            </w:r>
          </w:p>
        </w:tc>
        <w:tc>
          <w:tcPr>
            <w:tcW w:w="4876" w:type="dxa"/>
            <w:tcBorders>
              <w:top w:val="nil"/>
              <w:left w:val="nil"/>
              <w:bottom w:val="nil"/>
              <w:right w:val="nil"/>
            </w:tcBorders>
          </w:tcPr>
          <w:p>
            <w:pPr>
              <w:pStyle w:val="Normal6a"/>
            </w:pPr>
            <w:r>
              <w:t>2.</w:t>
            </w:r>
            <w:r>
              <w:tab/>
            </w:r>
            <w:r>
              <w:rPr>
                <w:b/>
                <w:i/>
              </w:rPr>
              <w:t>pieņem zināšanai Komisijas priekšlikumus, kas saistīti ar</w:t>
            </w:r>
            <w:r>
              <w:t xml:space="preserve"> uzkrājumu un investīciju </w:t>
            </w:r>
            <w:r>
              <w:rPr>
                <w:b/>
                <w:i/>
              </w:rPr>
              <w:t>savienību (UIS);</w:t>
            </w:r>
            <w:r>
              <w:t xml:space="preserve"> </w:t>
            </w:r>
            <w:r>
              <w:rPr>
                <w:b/>
                <w:i/>
              </w:rPr>
              <w:t>atzīmē, ka pašreizējais UIS projekts rada risku, ka uzkrājumi tiks novirzīti uz augsta riska kapitāla tirgiem bez atbilstošas ieguldītāju aizsardzības un skaidriem tirgus stimuliem.</w:t>
            </w:r>
            <w:r>
              <w:t xml:space="preserve"> </w:t>
            </w:r>
            <w:r>
              <w:rPr>
                <w:b/>
                <w:i/>
              </w:rPr>
              <w:t>Spēcīgu drošības mehānismu neesamības gadījumā šāda centralizēta plānošana var izkropļot uzkrājumu sadali un pakļaut privātos ieguldītājus svārstīgumam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izveides (UIS) pabeigšanu</w:t>
            </w:r>
            <w:r>
              <w:t xml:space="preserve">; vērš uzmanību uz to nozīmi iedzīvotājiem, MVU un reālajai ekonomikai, jo tās veicina ilgtspējīgu labklājību, kvalitatīvu darbvietu izveidi un finanšu stabilitāti; </w:t>
            </w:r>
            <w:r>
              <w:rPr>
                <w:b/>
                <w:i/>
              </w:rPr>
              <w:t>uzsver nepieciešamību pēc spēcīga uz solidaritāti balstīta satvara, kas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turpmāku pilnveidošanu</w:t>
            </w:r>
            <w:r>
              <w:t>; vērš uzmanību uz to nozīmi iedzīvotājiem, MVU un reālajai ekonomikai, jo tās veicina ilgtspējīgu labklājību, kvalitatīvu darbvietu izveidi un finanšu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izveides </w:t>
            </w:r>
            <w:r>
              <w:rPr>
                <w:b/>
                <w:i/>
              </w:rPr>
              <w:t>(UIS)</w:t>
            </w:r>
            <w:r>
              <w:t xml:space="preserve"> pabeigšanu; vērš uzmanību uz to nozīmi iedzīvotājiem, MVU un </w:t>
            </w:r>
            <w:r>
              <w:rPr>
                <w:b/>
                <w:i/>
              </w:rPr>
              <w:t>reālajai</w:t>
            </w:r>
            <w:r>
              <w:t xml:space="preserve"> ekonomikai, jo tās veicina </w:t>
            </w:r>
            <w:r>
              <w:rPr>
                <w:b/>
                <w:i/>
              </w:rPr>
              <w:t>ilgtspējīgu</w:t>
            </w:r>
            <w:r>
              <w:t xml:space="preserve"> labklājību, kvalitatīvu darbvietu izveidi un finanšu stabilitāti; uzsver nepieciešamību pēc </w:t>
            </w:r>
            <w:r>
              <w:rPr>
                <w:b/>
                <w:i/>
              </w:rPr>
              <w:t>spēcīga uz solidaritāti</w:t>
            </w:r>
            <w:r>
              <w:t xml:space="preserve"> balstīta satvara, kas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w:t>
            </w:r>
            <w:r>
              <w:t>izveides pabeigšanu</w:t>
            </w:r>
            <w:r>
              <w:rPr>
                <w:b/>
                <w:i/>
              </w:rPr>
              <w:t>, jo tās ir ļoti svarīgs instruments uzkrājumu novirzīšanai uz investīcijām</w:t>
            </w:r>
            <w:r>
              <w:t xml:space="preserve">; vērš uzmanību uz to nozīmi iedzīvotājiem, MVU un ekonomikai, jo tās veicina labklājību, kvalitatīvu darbvietu izveidi un finanšu stabilitāti; uzsver nepieciešamību pēc </w:t>
            </w:r>
            <w:r>
              <w:rPr>
                <w:b/>
                <w:i/>
              </w:rPr>
              <w:t>stabila un uz skaidriem noteikumiem un efektīviem mehānismiem</w:t>
            </w:r>
            <w:r>
              <w:t xml:space="preserve"> balstīta satvara, kas </w:t>
            </w:r>
            <w:r>
              <w:rPr>
                <w:b/>
                <w:i/>
              </w:rPr>
              <w:t>palielinātu noguldītāju uzticēšanos un</w:t>
            </w:r>
            <w:r>
              <w:t xml:space="preserve"> novērstu līdzekļu masveida izņemšanu no bankām;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izveides </w:t>
            </w:r>
            <w:r>
              <w:rPr>
                <w:b/>
                <w:i/>
              </w:rPr>
              <w:t>(UIS)</w:t>
            </w:r>
            <w:r>
              <w:t xml:space="preserve"> pabeigšanu; vērš uzmanību uz to nozīmi iedzīvotājiem, MVU un reālajai ekonomikai, jo tās veicina ilgtspējīgu labklājību, kvalitatīvu darbvietu izveidi un finanšu stabilitāti; uzsver nepieciešamību pēc </w:t>
            </w:r>
            <w:r>
              <w:rPr>
                <w:b/>
                <w:i/>
              </w:rPr>
              <w:t>spēcīga uz solidaritāti balstīta</w:t>
            </w:r>
            <w:r>
              <w:t xml:space="preserve"> satvara, </w:t>
            </w:r>
            <w:r>
              <w:rPr>
                <w:b/>
                <w:i/>
              </w:rPr>
              <w:t>kas</w:t>
            </w:r>
            <w:r>
              <w:t xml:space="preserve">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w:t>
            </w:r>
            <w:r>
              <w:t>izveides pabeigšanu; vērš uzmanību uz to nozīmi iedzīvotājiem, MVU un reālajai ekonomikai, jo tās veicina ilgtspējīgu labklājību, kvalitatīvu darbvietu izveidi un finanšu stabilitāti; uzsver</w:t>
            </w:r>
            <w:r>
              <w:rPr>
                <w:b/>
                <w:i/>
              </w:rPr>
              <w:t>, ka integrētāka banku savienība veicinātu Eiropas banku izaugsmi un palielinātu to konkurētspēju;</w:t>
            </w:r>
            <w:r>
              <w:t xml:space="preserve"> </w:t>
            </w:r>
            <w:r>
              <w:rPr>
                <w:b/>
                <w:i/>
              </w:rPr>
              <w:t>vērš uzmanību uz</w:t>
            </w:r>
            <w:r>
              <w:t xml:space="preserve"> nepieciešamību pēc </w:t>
            </w:r>
            <w:r>
              <w:rPr>
                <w:b/>
                <w:i/>
              </w:rPr>
              <w:t>stabila</w:t>
            </w:r>
            <w:r>
              <w:t xml:space="preserve"> satvara, </w:t>
            </w:r>
            <w:r>
              <w:rPr>
                <w:b/>
                <w:i/>
              </w:rPr>
              <w:t>lai</w:t>
            </w:r>
            <w:r>
              <w:t xml:space="preserve"> novērstu līdzekļu masveida izņemšanu no bankām;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izveides </w:t>
            </w:r>
            <w:r>
              <w:rPr>
                <w:b/>
                <w:i/>
              </w:rPr>
              <w:t>(UIS)</w:t>
            </w:r>
            <w:r>
              <w:t xml:space="preserve"> pabeigšanu; vērš uzmanību uz to nozīmi iedzīvotājiem, MVU un reālajai ekonomikai, jo tās veicina ilgtspējīgu labklājību, kvalitatīvu darbvietu izveidi un finanšu stabilitāti; uzsver nepieciešamību pēc spēcīga </w:t>
            </w:r>
            <w:r>
              <w:rPr>
                <w:b/>
                <w:i/>
              </w:rPr>
              <w:t>uz solidaritāti balstīta</w:t>
            </w:r>
            <w:r>
              <w:t xml:space="preserve"> satvara, kas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w:t>
            </w:r>
            <w:r>
              <w:t xml:space="preserve">izveides pabeigšanu; vērš uzmanību uz to nozīmi iedzīvotājiem, MVU un reālajai ekonomikai, jo tās veicina ilgtspējīgu labklājību, kvalitatīvu darbvietu izveidi un finanšu stabilitāti; uzsver nepieciešamību pēc spēcīga </w:t>
            </w:r>
            <w:r>
              <w:rPr>
                <w:b/>
                <w:i/>
              </w:rPr>
              <w:t>un dzīvotspējīga</w:t>
            </w:r>
            <w:r>
              <w:t xml:space="preserve"> satvara, kas </w:t>
            </w:r>
            <w:r>
              <w:rPr>
                <w:b/>
                <w:i/>
              </w:rPr>
              <w:t>balstītos uz skaidriem noteikumiem un pienākumiem,</w:t>
            </w:r>
            <w:r>
              <w:t xml:space="preserve"> novērstu līdzekļu masveida izņemšanu no bankām</w:t>
            </w:r>
            <w:r>
              <w:rPr>
                <w:b/>
                <w:i/>
              </w:rPr>
              <w:t>, palielinātu finanšu stabilitāti un konkurētspēju un stiprinātu ES banku darbības nozari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w:t>
            </w:r>
            <w:r>
              <w:rPr>
                <w:b/>
                <w:i/>
              </w:rPr>
              <w:t>un</w:t>
            </w:r>
            <w:r>
              <w:t xml:space="preserve"> uzkrājumu un investīciju savienības </w:t>
            </w:r>
            <w:r>
              <w:rPr>
                <w:b/>
                <w:i/>
              </w:rPr>
              <w:t>izveides (UIS) pabeigšanu</w:t>
            </w:r>
            <w:r>
              <w:t>; vērš uzmanību uz to nozīmi iedzīvotājiem, MVU un reālajai ekonomikai, jo tās veicina ilgtspējīgu labklājību, kvalitatīvu darbvietu izveidi un finanšu stabilitāti; uzsver nepieciešamību pēc spēcīga uz solidaritāti balstīta satvara, kas novērstu līdzekļu masveida izņemšanu no bankām;</w:t>
            </w:r>
          </w:p>
        </w:tc>
        <w:tc>
          <w:tcPr>
            <w:tcW w:w="4876" w:type="dxa"/>
            <w:tcBorders>
              <w:top w:val="nil"/>
              <w:left w:val="nil"/>
              <w:bottom w:val="nil"/>
              <w:right w:val="nil"/>
            </w:tcBorders>
          </w:tcPr>
          <w:p>
            <w:pPr>
              <w:pStyle w:val="Normal6a"/>
            </w:pPr>
            <w:r>
              <w:t>2.</w:t>
            </w:r>
            <w:r>
              <w:tab/>
            </w:r>
            <w:r>
              <w:t>aicina Komisiju par prioritāti noteikt banku savienības </w:t>
            </w:r>
            <w:r>
              <w:rPr>
                <w:b/>
                <w:i/>
              </w:rPr>
              <w:t>izveides pabeigšanu</w:t>
            </w:r>
            <w:r>
              <w:t xml:space="preserve"> uzkrājumu un investīciju savienības </w:t>
            </w:r>
            <w:r>
              <w:rPr>
                <w:b/>
                <w:i/>
              </w:rPr>
              <w:t>(UIS) ietvaros</w:t>
            </w:r>
            <w:r>
              <w:t>; vērš uzmanību uz to nozīmi iedzīvotājiem, MVU un reālajai ekonomikai, jo tās veicina ilgtspējīgu labklājību, kvalitatīvu darbvietu izveidi un finanšu stabilitāti; uzsver nepieciešamību pēc spēcīga uz solidaritāti balstīta satvara, kas novērstu līdzekļu masveida izņemšanu no bankām;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izveides </w:t>
            </w:r>
            <w:r>
              <w:rPr>
                <w:b/>
                <w:i/>
              </w:rPr>
              <w:t>(UIS)</w:t>
            </w:r>
            <w:r>
              <w:t xml:space="preserve"> pabeigšanu; vērš uzmanību uz to nozīmi iedzīvotājiem, MVU un reālajai ekonomikai, jo tās veicina ilgtspējīgu labklājību, kvalitatīvu darbvietu izveidi un finanšu stabilitāti; uzsver nepieciešamību pēc spēcīga uz solidaritāti balstīta satvara, kas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w:t>
            </w:r>
            <w:r>
              <w:t xml:space="preserve">izveides pabeigšanu; vērš uzmanību uz to nozīmi iedzīvotājiem, MVU un reālajai ekonomikai, jo tās veicina </w:t>
            </w:r>
            <w:r>
              <w:rPr>
                <w:b/>
                <w:i/>
              </w:rPr>
              <w:t>noturību, konkurētspēju,</w:t>
            </w:r>
            <w:r>
              <w:t xml:space="preserve"> ilgtspējīgu labklājību, kvalitatīvu darbvietu izveidi un finanšu stabilitāti; uzsver nepieciešamību pēc spēcīga uz solidaritāti balstīta satvara, kas novērstu līdzekļu masveida izņemšanu no bankām;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izveides </w:t>
            </w:r>
            <w:r>
              <w:rPr>
                <w:b/>
                <w:i/>
              </w:rPr>
              <w:t>(UIS)</w:t>
            </w:r>
            <w:r>
              <w:t xml:space="preserve"> pabeigšanu; vērš uzmanību uz to nozīmi iedzīvotājiem, MVU un reālajai ekonomikai, jo tās veicina ilgtspējīgu labklājību, kvalitatīvu darbvietu izveidi un finanšu stabilitāti; uzsver nepieciešamību pēc spēcīga uz solidaritāti balstīta satvara, kas novērstu līdzekļu masveida izņemšanu no bankām;</w:t>
            </w:r>
          </w:p>
        </w:tc>
        <w:tc>
          <w:tcPr>
            <w:tcW w:w="4876" w:type="dxa"/>
            <w:tcBorders>
              <w:top w:val="nil"/>
              <w:left w:val="nil"/>
              <w:bottom w:val="nil"/>
              <w:right w:val="nil"/>
            </w:tcBorders>
          </w:tcPr>
          <w:p>
            <w:pPr>
              <w:pStyle w:val="Normal6a"/>
            </w:pPr>
            <w:r>
              <w:t>2.</w:t>
            </w:r>
            <w:r>
              <w:tab/>
            </w:r>
            <w:r>
              <w:t xml:space="preserve">aicina Komisiju par prioritāti noteikt banku savienības un uzkrājumu un investīciju savienības </w:t>
            </w:r>
            <w:r>
              <w:rPr>
                <w:b/>
                <w:i/>
              </w:rPr>
              <w:t>(UIS) </w:t>
            </w:r>
            <w:r>
              <w:t xml:space="preserve">izveides pabeigšanu; vērš uzmanību uz to nozīmi iedzīvotājiem, MVU un reālajai ekonomikai, jo tās veicina ilgtspējīgu labklājību, kvalitatīvu darbvietu izveidi un finanšu stabilitāti; uzsver nepieciešamību pēc spēcīga uz solidaritāti balstīta satvara, kas novērstu līdzekļu masveida izņemšanu no bankām; </w:t>
            </w:r>
            <w:r>
              <w:rPr>
                <w:b/>
                <w:i/>
              </w:rPr>
              <w:t>uzsver, ka kapitāla tirgu savienības izveides pabeigšana līdztekus banku savienības attīstīšanai palīdzēs nodrošināt labākus apstākļus Eiropas ekonomikas ― gan mājsaimniecību, gan uzņēmumu, kas investīciju un darbvietu izveides veicināšanā joprojām lielā mērā ir atkarīgi no banku kredītiem, ― finansēšanai, vienlaikus veicinot Eiropas ekonomikas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uzsver, ka dažādās dalībvalstīs mājsaimniecībām un MVU piedāvātās procentu likmes būtiski atšķiras;</w:t>
            </w:r>
            <w:r>
              <w:t xml:space="preserve"> </w:t>
            </w:r>
            <w:r>
              <w:rPr>
                <w:b/>
                <w:i/>
              </w:rPr>
              <w:t>mudina Komisiju un banku uzraudzītājus apsvērt pasākumus, lai visiem iedzīvotājiem un uzņēmumiem nodrošinātu piekļuvi tik ļoti nepieciešamajam kapitālam ar samērīgām un konkurētspējīgām procentu likmēm;</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banku darbības nozares lomu pārejas uz oglekļneitrālu ekonomiku finansēšanā;</w:t>
            </w:r>
            <w:r>
              <w:t xml:space="preserve">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banku darbības nozares lomu pārejas uz oglekļneitrālu ekonomiku finansēšanā;</w:t>
            </w:r>
            <w:r>
              <w:t xml:space="preserve">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banku darbības nozares lomu pārejas uz oglekļneitrālu ekonomiku finansēšanā;</w:t>
            </w:r>
            <w:r>
              <w:t xml:space="preserve">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banku darbības nozares lomu pārejas uz oglekļneitrālu ekonomiku finansēšanā;</w:t>
            </w:r>
            <w:r>
              <w:t xml:space="preserve">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banku darbības nozares lomu </w:t>
            </w:r>
            <w:r>
              <w:rPr>
                <w:b/>
                <w:i/>
              </w:rPr>
              <w:t>pārejas uz oglekļneitrālu ekonomiku</w:t>
            </w:r>
            <w:r>
              <w:t xml:space="preserve"> finansēšanā;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t>3.</w:t>
            </w:r>
            <w:r>
              <w:tab/>
            </w:r>
            <w:r>
              <w:t xml:space="preserve">uzsver banku darbības nozares lomu </w:t>
            </w:r>
            <w:r>
              <w:rPr>
                <w:b/>
                <w:i/>
              </w:rPr>
              <w:t>digitālās pārkārtošanās</w:t>
            </w:r>
            <w:r>
              <w:t xml:space="preserve"> finansēšanā;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w:t>
            </w:r>
            <w:r>
              <w:rPr>
                <w:b/>
                <w:i/>
              </w:rPr>
              <w:t>banku</w:t>
            </w:r>
            <w:r>
              <w:t xml:space="preserve"> darbības </w:t>
            </w:r>
            <w:r>
              <w:rPr>
                <w:b/>
                <w:i/>
              </w:rPr>
              <w:t>nozares lomu pārejas uz oglekļneitrālu ekonomiku finansēšanā;</w:t>
            </w:r>
            <w:r>
              <w:t xml:space="preserve"> </w:t>
            </w:r>
            <w:r>
              <w:rPr>
                <w:b/>
                <w:i/>
              </w:rPr>
              <w:t>pieprasa stingrākus uzraudzības norādījumus, lai finanšu institūcijas savu darbību saskaņotu ar ES mērķiem klimata jomā</w:t>
            </w:r>
            <w:r>
              <w:t>;</w:t>
            </w:r>
          </w:p>
        </w:tc>
        <w:tc>
          <w:tcPr>
            <w:tcW w:w="4876" w:type="dxa"/>
            <w:tcBorders>
              <w:top w:val="nil"/>
              <w:left w:val="nil"/>
              <w:bottom w:val="nil"/>
              <w:right w:val="nil"/>
            </w:tcBorders>
          </w:tcPr>
          <w:p>
            <w:pPr>
              <w:pStyle w:val="Normal6a"/>
            </w:pPr>
            <w:r>
              <w:t>3.</w:t>
            </w:r>
            <w:r>
              <w:tab/>
            </w:r>
            <w:r>
              <w:t>uzsver</w:t>
            </w:r>
            <w:r>
              <w:rPr>
                <w:b/>
                <w:i/>
              </w:rPr>
              <w:t>, ka finanšu jomas tiesību aktiem, ar kuriem atbalsta videi labvēlīgas</w:t>
            </w:r>
            <w:r>
              <w:t xml:space="preserve"> darbības</w:t>
            </w:r>
            <w:r>
              <w:rPr>
                <w:b/>
                <w:i/>
              </w:rPr>
              <w:t>, nevajadzētu aizstāt kredītspēju, tradicionālos riska izvērtējumus un cenu noteikšanas mehānismus, kas ir rūpīgi apsvērtu aizdošanas lēmumu pamatā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banku darbības nozares lomu </w:t>
            </w:r>
            <w:r>
              <w:rPr>
                <w:b/>
                <w:i/>
              </w:rPr>
              <w:t>pārejas uz oglekļneitrālu ekonomiku</w:t>
            </w:r>
            <w:r>
              <w:t xml:space="preserve"> finansēšanā; </w:t>
            </w:r>
            <w:r>
              <w:rPr>
                <w:b/>
                <w:i/>
              </w:rPr>
              <w:t>pieprasa stingrākus uzraudzības norādījumus, lai finanšu institūcijas savu darbību</w:t>
            </w:r>
            <w:r>
              <w:t xml:space="preserve"> saskaņotu </w:t>
            </w:r>
            <w:r>
              <w:rPr>
                <w:b/>
                <w:i/>
              </w:rPr>
              <w:t>ar ES mērķiem klimata jomā</w:t>
            </w:r>
            <w:r>
              <w:t>;</w:t>
            </w:r>
          </w:p>
        </w:tc>
        <w:tc>
          <w:tcPr>
            <w:tcW w:w="4876" w:type="dxa"/>
            <w:tcBorders>
              <w:top w:val="nil"/>
              <w:left w:val="nil"/>
              <w:bottom w:val="nil"/>
              <w:right w:val="nil"/>
            </w:tcBorders>
          </w:tcPr>
          <w:p>
            <w:pPr>
              <w:pStyle w:val="Normal6a"/>
            </w:pPr>
            <w:r>
              <w:t>3.</w:t>
            </w:r>
            <w:r>
              <w:tab/>
            </w:r>
            <w:r>
              <w:t xml:space="preserve">uzsver banku darbības nozares lomu </w:t>
            </w:r>
            <w:r>
              <w:rPr>
                <w:b/>
                <w:i/>
              </w:rPr>
              <w:t>divējādās pārkārtošanās</w:t>
            </w:r>
            <w:r>
              <w:t xml:space="preserve"> finansēšanā; </w:t>
            </w:r>
            <w:r>
              <w:rPr>
                <w:b/>
                <w:i/>
              </w:rPr>
              <w:t>vērš uzmanību uz nepieciešamību vienkāršot ES ilgtspējīga finansējuma satvaru, lai nodrošinātu saskaņotību, mazinātu dublēšanos un</w:t>
            </w:r>
            <w:r>
              <w:t xml:space="preserve"> saskaņotu </w:t>
            </w:r>
            <w:r>
              <w:rPr>
                <w:b/>
                <w:i/>
              </w:rPr>
              <w:t>pienākumus, ko paredz noteikumi par banku darbību, informācijas atklāšanu un riska pārvaldību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banku darbības nozares lomu </w:t>
            </w:r>
            <w:r>
              <w:rPr>
                <w:b/>
                <w:i/>
              </w:rPr>
              <w:t>pārejas uz oglekļneitrālu ekonomiku</w:t>
            </w:r>
            <w:r>
              <w:t xml:space="preserve"> finansēšanā; </w:t>
            </w:r>
            <w:r>
              <w:rPr>
                <w:b/>
                <w:i/>
              </w:rPr>
              <w:t>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t>3.</w:t>
            </w:r>
            <w:r>
              <w:tab/>
            </w:r>
            <w:r>
              <w:t xml:space="preserve">uzsver banku darbības nozares lomu </w:t>
            </w:r>
            <w:r>
              <w:rPr>
                <w:b/>
                <w:i/>
              </w:rPr>
              <w:t>divējādās pārkārtošanās</w:t>
            </w:r>
            <w:r>
              <w:t xml:space="preserve"> finansēšanā;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uzsver</w:t>
            </w:r>
            <w:r>
              <w:t xml:space="preserve"> banku darbības nozares lomu </w:t>
            </w:r>
            <w:r>
              <w:rPr>
                <w:b/>
                <w:i/>
              </w:rPr>
              <w:t>pārejas uz oglekļneitrālu</w:t>
            </w:r>
            <w:r>
              <w:t xml:space="preserve"> ekonomiku </w:t>
            </w:r>
            <w:r>
              <w:rPr>
                <w:b/>
                <w:i/>
              </w:rPr>
              <w:t>finansēšanā</w:t>
            </w:r>
            <w:r>
              <w:t xml:space="preserve">; pieprasa stingrākus uzraudzības norādījumus, lai finanšu institūcijas savu darbību saskaņotu ar ES </w:t>
            </w:r>
            <w:r>
              <w:rPr>
                <w:b/>
                <w:i/>
              </w:rPr>
              <w:t>mērķiem klimata jomā</w:t>
            </w:r>
            <w:r>
              <w:t>;</w:t>
            </w:r>
          </w:p>
        </w:tc>
        <w:tc>
          <w:tcPr>
            <w:tcW w:w="4876" w:type="dxa"/>
            <w:tcBorders>
              <w:top w:val="nil"/>
              <w:left w:val="nil"/>
              <w:bottom w:val="nil"/>
              <w:right w:val="nil"/>
            </w:tcBorders>
          </w:tcPr>
          <w:p>
            <w:pPr>
              <w:pStyle w:val="Normal6a"/>
            </w:pPr>
            <w:r>
              <w:t>3.</w:t>
            </w:r>
            <w:r>
              <w:tab/>
            </w:r>
            <w:r>
              <w:rPr>
                <w:b/>
                <w:i/>
              </w:rPr>
              <w:t>atzīst</w:t>
            </w:r>
            <w:r>
              <w:t xml:space="preserve"> banku darbības nozares lomu </w:t>
            </w:r>
            <w:r>
              <w:rPr>
                <w:b/>
                <w:i/>
              </w:rPr>
              <w:t>reālās ekonomikas vajadzību, tostarp ar pārkārtošanos uz konkurētspējīgāku</w:t>
            </w:r>
            <w:r>
              <w:t xml:space="preserve"> ekonomiku </w:t>
            </w:r>
            <w:r>
              <w:rPr>
                <w:b/>
                <w:i/>
              </w:rPr>
              <w:t>saistītu investīciju, finansēšanas atbalstīšanā</w:t>
            </w:r>
            <w:r>
              <w:t xml:space="preserve">; pieprasa stingrākus uzraudzības norādījumus, lai finanšu institūcijas savu darbību saskaņotu ar ES </w:t>
            </w:r>
            <w:r>
              <w:rPr>
                <w:b/>
                <w:i/>
              </w:rPr>
              <w:t>ekonomikas konkurētspējas programmu;</w:t>
            </w:r>
            <w:r>
              <w:t xml:space="preserve"> </w:t>
            </w:r>
            <w:r>
              <w:rPr>
                <w:b/>
                <w:i/>
              </w:rPr>
              <w:t>uzsver, ka ilgtspējas jomā īstenotās uzraudzības pamatā arī turpmāk vajadzētu būt uz risku balstītai pieejai un tai būtu jānotiek prudenciālo pilnvaru ietvaros, galveno uzmanību pievēršot būtisku ar klimatu saistītu finanšu risku identificēšanai, izvērtēšanai un pārvaldībai, neapdraudot tirgus neitralitāti un galvenos mērķus, proti, finanšu stabilitāti un pareizu riska pārvaldību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uzsver banku darbības nozares lomu pārejas uz oglekļneitrālu ekonomiku finansēšanā; pieprasa stingrākus uzraudzības norādījumus, lai finanšu institūcijas savu darbību saskaņotu ar ES mērķiem klimata jomā;</w:t>
            </w:r>
          </w:p>
        </w:tc>
        <w:tc>
          <w:tcPr>
            <w:tcW w:w="4876" w:type="dxa"/>
            <w:tcBorders>
              <w:top w:val="nil"/>
              <w:left w:val="nil"/>
              <w:bottom w:val="nil"/>
              <w:right w:val="nil"/>
            </w:tcBorders>
          </w:tcPr>
          <w:p>
            <w:pPr>
              <w:pStyle w:val="Normal6a"/>
            </w:pPr>
            <w:r>
              <w:t>3.</w:t>
            </w:r>
            <w:r>
              <w:tab/>
            </w:r>
            <w:r>
              <w:t>uzsver banku darbības nozares lomu pārejas uz oglekļneitrālu ekonomiku finansēšanā</w:t>
            </w:r>
            <w:r>
              <w:rPr>
                <w:b/>
                <w:i/>
              </w:rPr>
              <w:t>;</w:t>
            </w:r>
            <w:r>
              <w:t xml:space="preserve"> </w:t>
            </w:r>
            <w:r>
              <w:rPr>
                <w:b/>
                <w:i/>
              </w:rPr>
              <w:t>aicina Komisiju iesniegt priekšlikumu par risku, kas saistīti ar ilgtspēju, pilnīgu iekļaušanu prudenciālajā satvarā, tostarp, nosakot augstākas kapitāla prasības ar fosilo kurināmo saistītiem riska darījumiem, kā ieteikusi Eiropas Apdrošināšanas un aroda pensiju iestāde</w:t>
            </w:r>
            <w:r>
              <w:t>; pieprasa stingrākus uzraudzības norādījumus, lai finanšu institūcijas savu darbību saskaņotu ar ES mērķiem klimata jomā</w:t>
            </w:r>
            <w:r>
              <w:rPr>
                <w:b/>
                <w:i/>
              </w:rPr>
              <w:t>, tostarp, izmantojot 2. pīlāra prasības</w:t>
            </w:r>
            <w:r>
              <w:t xml:space="preserve">; </w:t>
            </w:r>
            <w:r>
              <w:rPr>
                <w:b/>
                <w:i/>
              </w:rPr>
              <w:t>uzsver, ka minēto mērķu sasniegšanai ir nepieciešams drošs taksonomijas satvars;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uzskata, ka integrētai banku savienībai jābūt atkarīgai no labi funkcionējoša vienotā mazumtirdzniecības finanšu pakalpojumu tirgus;</w:t>
            </w:r>
            <w:r>
              <w:t xml:space="preserve"> </w:t>
            </w:r>
            <w:r>
              <w:rPr>
                <w:b/>
                <w:i/>
              </w:rPr>
              <w:t>aicina Komisiju izvērtēt šķēršļus un barjeras, kas rodas patērētājiem, kad viņi izmanto mazumtirdzniecības banku darbības produktus, tādus kā pārrobežu hipotekārais kredīts, un ierosināt risinājumus, lai nodrošinātu, ka patērētāji var saņemt mazumtirdzniecības finanšu pakalpojumus pāri robežām;</w:t>
            </w:r>
            <w:r>
              <w:t xml:space="preserve"> </w:t>
            </w:r>
            <w:r>
              <w:rPr>
                <w:b/>
                <w:i/>
              </w:rPr>
              <w:t>turklāt atzīmē hipotekārā kredīta procentu likmju lielo atšķirību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uzsver banku darbības nozares kā galvenās aizdevējas ES izšķirošo lomu pieaugošās plaisas starp ES un citu reģionu konkurētspēju novēršanā;</w:t>
            </w:r>
            <w:r>
              <w:t xml:space="preserve"> </w:t>
            </w:r>
            <w:r>
              <w:rPr>
                <w:b/>
                <w:i/>
              </w:rPr>
              <w:t>atgādina par banku darbības nozares nozīmi Eiropas MVU finansēšanā, kamēr turpinās kapitāla tirgu attīstīšana;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pauž nožēlu par atlikušajiem šķēršļiem pārrobežu banku pakalpojumiem, kurus sniedz privātpersonām;</w:t>
            </w:r>
            <w:r>
              <w:t xml:space="preserve"> </w:t>
            </w:r>
            <w:r>
              <w:rPr>
                <w:b/>
                <w:i/>
              </w:rPr>
              <w:t>uzsver integrētas banku savienības potenciālu uzlabot konkurenci un izvēles iespējas privātpersonām sniegto banku pakalpojumu jomā, tostarp, palielinot iespējas sniegt privātpersonām paredzētus pārrobežu banku pakalpojumus;</w:t>
            </w:r>
            <w:r>
              <w:t xml:space="preserve"> </w:t>
            </w:r>
            <w:r>
              <w:rPr>
                <w:b/>
                <w:i/>
              </w:rPr>
              <w:t>uzsver priekšrocības, ko sniedz diversificēta un konkurētspējīga banku darbības nozare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digitālā euro </w:t>
            </w:r>
            <w:r>
              <w:rPr>
                <w:b/>
                <w:i/>
              </w:rPr>
              <w:t>jomā sasniegto progresu un tā potenciālu skaidras naudas papildināšanā, vienlaikus pastiprinot ES finansiālo suverenitāti un autonomiju</w:t>
            </w:r>
            <w:r>
              <w:t>;</w:t>
            </w:r>
          </w:p>
        </w:tc>
        <w:tc>
          <w:tcPr>
            <w:tcW w:w="4876" w:type="dxa"/>
            <w:tcBorders>
              <w:top w:val="nil"/>
              <w:left w:val="nil"/>
              <w:bottom w:val="nil"/>
              <w:right w:val="nil"/>
            </w:tcBorders>
          </w:tcPr>
          <w:p>
            <w:pPr>
              <w:pStyle w:val="Normal6a"/>
            </w:pPr>
            <w:r>
              <w:t>4.</w:t>
            </w:r>
            <w:r>
              <w:tab/>
            </w:r>
            <w:r>
              <w:rPr>
                <w:b/>
                <w:i/>
              </w:rPr>
              <w:t>pauž dziļu skepticismu par</w:t>
            </w:r>
            <w:r>
              <w:t xml:space="preserve"> digitālā euro </w:t>
            </w:r>
            <w:r>
              <w:rPr>
                <w:b/>
                <w:i/>
              </w:rPr>
              <w:t>ietekmi uz banku noguldījumu bāzi un finanšu starpniecību;</w:t>
            </w:r>
            <w:r>
              <w:t xml:space="preserve"> </w:t>
            </w:r>
            <w:r>
              <w:rPr>
                <w:b/>
                <w:i/>
              </w:rPr>
              <w:t>prasa noteikt stingrus turējumu ierobežojumus un aizsardzības pasākumus, lai novērstu privātbanku noguldījumu pārvietošanu un saglabātu banku spēju veikt kredītstarpniecību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digitālā euro jomā sasniegto progresu un </w:t>
            </w:r>
            <w:r>
              <w:rPr>
                <w:b/>
                <w:i/>
              </w:rPr>
              <w:t>tā potenciālu skaidras naudas papildināšanā, vienlaikus pastiprinot ES finansiālo suverenitāti un autonomiju</w:t>
            </w:r>
            <w:r>
              <w:t>;</w:t>
            </w:r>
          </w:p>
        </w:tc>
        <w:tc>
          <w:tcPr>
            <w:tcW w:w="4876" w:type="dxa"/>
            <w:tcBorders>
              <w:top w:val="nil"/>
              <w:left w:val="nil"/>
              <w:bottom w:val="nil"/>
              <w:right w:val="nil"/>
            </w:tcBorders>
          </w:tcPr>
          <w:p>
            <w:pPr>
              <w:pStyle w:val="Normal6a"/>
            </w:pPr>
            <w:r>
              <w:t>4.</w:t>
            </w:r>
            <w:r>
              <w:tab/>
            </w:r>
            <w:r>
              <w:rPr>
                <w:b/>
                <w:i/>
              </w:rPr>
              <w:t>atzīmē</w:t>
            </w:r>
            <w:r>
              <w:t xml:space="preserve"> digitālā euro jomā sasniegto progresu un </w:t>
            </w:r>
            <w:r>
              <w:rPr>
                <w:b/>
                <w:i/>
              </w:rPr>
              <w:t>apzinās izaicinājumus un iespējamos draudus, ko šis projekts var radīt ES banku darbības nozares likviditātei un stabilitātei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atzinīgi vērtē</w:t>
            </w:r>
            <w:r>
              <w:t xml:space="preserve"> digitālā euro jomā sasniegto progresu un tā potenciālu skaidras naudas papildināšanā, vienlaikus pastiprinot ES finansiālo suverenitāti un autonomiju;</w:t>
            </w:r>
          </w:p>
        </w:tc>
        <w:tc>
          <w:tcPr>
            <w:tcW w:w="4876" w:type="dxa"/>
            <w:tcBorders>
              <w:top w:val="nil"/>
              <w:left w:val="nil"/>
              <w:bottom w:val="nil"/>
              <w:right w:val="nil"/>
            </w:tcBorders>
          </w:tcPr>
          <w:p>
            <w:pPr>
              <w:pStyle w:val="Normal6a"/>
            </w:pPr>
            <w:r>
              <w:t>4.</w:t>
            </w:r>
            <w:r>
              <w:tab/>
            </w:r>
            <w:r>
              <w:rPr>
                <w:b/>
                <w:i/>
              </w:rPr>
              <w:t>pieņem zināšanai</w:t>
            </w:r>
            <w:r>
              <w:t xml:space="preserve"> digitālā euro jomā sasniegto progresu un tā potenciālu skaidras naudas papildināšanā, vienlaikus pastiprinot ES finansiālo suverenitāti un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atzinīgi vērtē digitālā euro jomā sasniegto progresu </w:t>
            </w:r>
            <w:r>
              <w:rPr>
                <w:b/>
                <w:i/>
              </w:rPr>
              <w:t>un tā potenciālu skaidras naudas papildināšanā</w:t>
            </w:r>
            <w:r>
              <w:t>, vienlaikus pastiprinot ES finansiālo suverenitāti un autonomiju;</w:t>
            </w:r>
          </w:p>
        </w:tc>
        <w:tc>
          <w:tcPr>
            <w:tcW w:w="4876" w:type="dxa"/>
            <w:tcBorders>
              <w:top w:val="nil"/>
              <w:left w:val="nil"/>
              <w:bottom w:val="nil"/>
              <w:right w:val="nil"/>
            </w:tcBorders>
          </w:tcPr>
          <w:p>
            <w:pPr>
              <w:pStyle w:val="Normal6a"/>
            </w:pPr>
            <w:r>
              <w:t>4.</w:t>
            </w:r>
            <w:r>
              <w:tab/>
            </w:r>
            <w:r>
              <w:t xml:space="preserve">atzinīgi vērtē </w:t>
            </w:r>
            <w:r>
              <w:rPr>
                <w:b/>
                <w:i/>
              </w:rPr>
              <w:t>tikai finanšu institūcijām paredzētā</w:t>
            </w:r>
            <w:r>
              <w:t xml:space="preserve"> digitālā euro jomā sasniegto progresu</w:t>
            </w:r>
            <w:r>
              <w:rPr>
                <w:b/>
                <w:i/>
              </w:rPr>
              <w:t>, jo tas sniedz labumu efektivitātes, pārrobežu norēķinu un finanšu tirgu integrācijas ziņā;</w:t>
            </w:r>
            <w:r>
              <w:t xml:space="preserve"> </w:t>
            </w:r>
            <w:r>
              <w:rPr>
                <w:b/>
                <w:i/>
              </w:rPr>
              <w:t>uzsver, ka ieviešot jebkādu plašai sabiedrībai paredzētu digitālo euro, tas noteikti būtu jāpapildina ar skaidru naudu, būtu jāievēro esošā tirgus struktūra un jāizvairās no tādu privāto maksājumu risinājumu izstumšanas, kas jau nodrošina inovāciju un efektivitāti visā ES</w:t>
            </w:r>
            <w:r>
              <w:t>, vienlaikus pastiprinot ES finansiālo suverenitāti un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atzinīgi vērtē digitālā euro jomā sasniegto progresu </w:t>
            </w:r>
            <w:r>
              <w:rPr>
                <w:b/>
                <w:i/>
              </w:rPr>
              <w:t>un tā</w:t>
            </w:r>
            <w:r>
              <w:t xml:space="preserve"> potenciālu skaidras naudas papildināšanā, vienlaikus pastiprinot ES finansiālo suverenitāti un autonomiju;</w:t>
            </w:r>
          </w:p>
        </w:tc>
        <w:tc>
          <w:tcPr>
            <w:tcW w:w="4876" w:type="dxa"/>
            <w:tcBorders>
              <w:top w:val="nil"/>
              <w:left w:val="nil"/>
              <w:bottom w:val="nil"/>
              <w:right w:val="nil"/>
            </w:tcBorders>
          </w:tcPr>
          <w:p>
            <w:pPr>
              <w:pStyle w:val="Normal6a"/>
            </w:pPr>
            <w:r>
              <w:t>4.</w:t>
            </w:r>
            <w:r>
              <w:tab/>
            </w:r>
            <w:r>
              <w:t xml:space="preserve">atzinīgi vērtē </w:t>
            </w:r>
            <w:r>
              <w:rPr>
                <w:b/>
                <w:i/>
              </w:rPr>
              <w:t>gan tikai institūcijām paredzētā, gan plašai sabiedrībai paredzētā</w:t>
            </w:r>
            <w:r>
              <w:t xml:space="preserve"> digitālā euro jomā sasniegto progresu</w:t>
            </w:r>
            <w:r>
              <w:rPr>
                <w:b/>
                <w:i/>
              </w:rPr>
              <w:t>;</w:t>
            </w:r>
            <w:r>
              <w:t xml:space="preserve"> </w:t>
            </w:r>
            <w:r>
              <w:rPr>
                <w:b/>
                <w:i/>
              </w:rPr>
              <w:t>atzinīgi vērtē plašai sabiedrībai paredzētā digitālā euro</w:t>
            </w:r>
            <w:r>
              <w:t xml:space="preserve"> potenciālu skaidras naudas papildināšanā, vienlaikus pastiprinot ES finansiālo suverenitāti un autonomiju; </w:t>
            </w:r>
            <w:r>
              <w:rPr>
                <w:b/>
                <w:i/>
              </w:rPr>
              <w:t>atzinīgi vērtē Padomes vispārējās pieejas plašai sabiedrībai paredzētajam digitālajam euro izstrādes pabeigšanu 2025. gada decembrī un aicina Parlamentu pēc iespējas ātrāk pabeigt savas apņēmīgās nostājas izstrādi;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atzinīgi vērtē digitālā euro jomā sasniegto progresu un tā potenciālu skaidras naudas papildināšanā, vienlaikus pastiprinot ES finansiālo suverenitāti un autonomiju;</w:t>
            </w:r>
          </w:p>
        </w:tc>
        <w:tc>
          <w:tcPr>
            <w:tcW w:w="4876" w:type="dxa"/>
            <w:tcBorders>
              <w:top w:val="nil"/>
              <w:left w:val="nil"/>
              <w:bottom w:val="nil"/>
              <w:right w:val="nil"/>
            </w:tcBorders>
          </w:tcPr>
          <w:p>
            <w:pPr>
              <w:pStyle w:val="Normal6a"/>
            </w:pPr>
            <w:r>
              <w:t>4.</w:t>
            </w:r>
            <w:r>
              <w:tab/>
            </w:r>
            <w:r>
              <w:t xml:space="preserve">atzinīgi vērtē digitālā euro jomā sasniegto progresu un tā potenciālu skaidras naudas papildināšanā, vienlaikus pastiprinot ES finansiālo suverenitāti un autonomiju </w:t>
            </w:r>
            <w:r>
              <w:rPr>
                <w:b/>
                <w:i/>
              </w:rPr>
              <w:t>un veicinot finansiālo iekļautību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atzinīgi vērtē to, ka banku darbības nozare pielāgojas digitalizācijas radītajiem izaicinājumiem un iespējām, kas bankām ļaus labāk apkalpot savus klientus;</w:t>
            </w:r>
            <w:r>
              <w:t xml:space="preserve"> </w:t>
            </w:r>
            <w:r>
              <w:rPr>
                <w:b/>
                <w:i/>
              </w:rPr>
              <w:t>mudina bankas vēl vairāk izmantot digitalizācijas sniegtās iespējas, vienlaikus saglabājot augstu patērētāju un ieguldītāju aizsardzības līmeni, šajā nolūkā investējot IT sistēmās, pētniecībā un izstrādē, pilnībā īstenojot DORA paredzētās prasības un izstrādājot tādu tiesisko regulējumu, kas atbilst izvirzītajam mērķim, proti, reaģēt uz digitalizācijas tendencēm, un balstās uz tehnoloģisko neitralitāti;</w:t>
            </w:r>
            <w:r>
              <w:t xml:space="preserve"> </w:t>
            </w:r>
            <w:r>
              <w:rPr>
                <w:b/>
                <w:i/>
              </w:rPr>
              <w:t>atzinīgi vērtē progresu, kas sasniegts darbā pie finanšu nozares digitālās pārveides paketes;</w:t>
            </w:r>
            <w:r>
              <w:t xml:space="preserve"> </w:t>
            </w:r>
            <w:r>
              <w:rPr>
                <w:b/>
                <w:i/>
              </w:rPr>
              <w:t>uzskata, ka digitālajā kontekstā būtu jāpastiprina patērētāju tiesību aizsardzība un ka prioritāte būtu jāpiešķir finansiālai iekļaušanai, it īpaši, uzlabojot digitālo un finanšpratību;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pauž nožēlu par pastāvīgo dzimumu līdzsvara trūkumu finanšu institūcijās, it īpaši to vadībā;</w:t>
            </w:r>
            <w:r>
              <w:t xml:space="preserve"> </w:t>
            </w:r>
            <w:r>
              <w:rPr>
                <w:b/>
                <w:i/>
              </w:rPr>
              <w:t>uzsver, ka daudzveidīga vadība un finansējuma labāka pieejamība sieviešu vadītiem uzņēmumiem</w:t>
            </w:r>
            <w:r>
              <w:rPr>
                <w:b/>
                <w:i/>
                <w:vertAlign w:val="superscript"/>
              </w:rPr>
              <w:t>13</w:t>
            </w:r>
            <w:r>
              <w:rPr>
                <w:b/>
                <w:i/>
              </w:rPr>
              <w:t>uzlabo pārvaldību, inovāciju un ekonomisko sniegumu;</w:t>
            </w:r>
            <w:r>
              <w:t xml:space="preserve"> </w:t>
            </w:r>
            <w:r>
              <w:rPr>
                <w:b/>
                <w:i/>
              </w:rPr>
              <w:t>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pauž nožēlu par pastāvīgo dzimumu līdzsvara trūkumu finanšu institūcijās, it īpaši to vadībā;</w:t>
            </w:r>
            <w:r>
              <w:t xml:space="preserve"> </w:t>
            </w:r>
            <w:r>
              <w:rPr>
                <w:b/>
                <w:i/>
              </w:rPr>
              <w:t>uzsver, ka daudzveidīga vadība un finansējuma labāka pieejamība sieviešu vadītiem uzņēmumiem</w:t>
            </w:r>
            <w:r>
              <w:rPr>
                <w:b/>
                <w:i/>
                <w:vertAlign w:val="superscript"/>
              </w:rPr>
              <w:t>13</w:t>
            </w:r>
            <w:r>
              <w:rPr>
                <w:b/>
                <w:i/>
              </w:rPr>
              <w:t>uzlabo pārvaldību, inovāciju un ekonomisko sniegumu;</w:t>
            </w:r>
            <w:r>
              <w:t xml:space="preserve"> </w:t>
            </w:r>
            <w:r>
              <w:rPr>
                <w:b/>
                <w:i/>
              </w:rPr>
              <w:t>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pauž nožēlu par pastāvīgo dzimumu līdzsvara trūkumu finanšu institūcijās, it īpaši to vadībā;</w:t>
            </w:r>
            <w:r>
              <w:t xml:space="preserve"> </w:t>
            </w:r>
            <w:r>
              <w:rPr>
                <w:b/>
                <w:i/>
              </w:rPr>
              <w:t>uzsver, ka daudzveidīga vadība un finansējuma labāka pieejamība sieviešu vadītiem uzņēmumiem</w:t>
            </w:r>
            <w:r>
              <w:rPr>
                <w:b/>
                <w:i/>
                <w:vertAlign w:val="superscript"/>
              </w:rPr>
              <w:t>13</w:t>
            </w:r>
            <w:r>
              <w:rPr>
                <w:b/>
                <w:i/>
              </w:rPr>
              <w:t>uzlabo pārvaldību, inovāciju un ekonomisko sniegumu;</w:t>
            </w:r>
            <w:r>
              <w:t xml:space="preserve"> </w:t>
            </w:r>
            <w:r>
              <w:rPr>
                <w:b/>
                <w:i/>
              </w:rPr>
              <w:t>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pauž nožēlu par pastāvīgo dzimumu līdzsvara trūkumu finanšu institūcijās, it īpaši to vadībā;</w:t>
            </w:r>
            <w:r>
              <w:t xml:space="preserve"> </w:t>
            </w:r>
            <w:r>
              <w:rPr>
                <w:b/>
                <w:i/>
              </w:rPr>
              <w:t>uzsver, ka daudzveidīga vadība un finansējuma labāka pieejamība sieviešu vadītiem uzņēmumiem</w:t>
            </w:r>
            <w:r>
              <w:rPr>
                <w:b/>
                <w:i/>
                <w:vertAlign w:val="superscript"/>
              </w:rPr>
              <w:t>13</w:t>
            </w:r>
            <w:r>
              <w:rPr>
                <w:b/>
                <w:i/>
              </w:rPr>
              <w:t>uzlabo pārvaldību, inovāciju un ekonomisko sniegumu;</w:t>
            </w:r>
            <w:r>
              <w:t xml:space="preserve"> </w:t>
            </w:r>
            <w:r>
              <w:rPr>
                <w:b/>
                <w:i/>
              </w:rPr>
              <w:t>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pauž nožēlu par pastāvīgo dzimumu līdzsvara trūkumu finanšu institūcijās, it īpaši to vadībā;</w:t>
            </w:r>
            <w:r>
              <w:t xml:space="preserve"> </w:t>
            </w:r>
            <w:r>
              <w:rPr>
                <w:b/>
                <w:i/>
              </w:rPr>
              <w:t>uzsver, ka daudzveidīga vadība un finansējuma labāka pieejamība sieviešu vadītiem uzņēmumiem</w:t>
            </w:r>
            <w:r>
              <w:rPr>
                <w:b/>
                <w:i/>
                <w:vertAlign w:val="superscript"/>
              </w:rPr>
              <w:t>13</w:t>
            </w:r>
            <w:r>
              <w:rPr>
                <w:b/>
                <w:i/>
              </w:rPr>
              <w:t>uzlabo pārvaldību, inovāciju un ekonomisko sniegumu;</w:t>
            </w:r>
            <w:r>
              <w:t xml:space="preserve"> </w:t>
            </w:r>
            <w:r>
              <w:rPr>
                <w:b/>
                <w:i/>
              </w:rPr>
              <w:t>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pauž nožēlu par pastāvīgo dzimumu līdzsvara trūkumu finanšu institūcijās, it īpaši to vadībā;</w:t>
            </w:r>
            <w:r>
              <w:t xml:space="preserve"> uzsver, ka daudzveidīga vadība </w:t>
            </w:r>
            <w:r>
              <w:rPr>
                <w:b/>
                <w:i/>
              </w:rPr>
              <w:t>un finansējuma labāka pieejamība sieviešu vadītiem uzņēmumiem</w:t>
            </w:r>
            <w:r>
              <w:rPr>
                <w:b/>
                <w:i/>
                <w:vertAlign w:val="superscript"/>
              </w:rPr>
              <w:t>13</w:t>
            </w:r>
            <w:r>
              <w:t>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t>5.</w:t>
            </w:r>
            <w:r>
              <w:tab/>
            </w:r>
            <w:r>
              <w:t>uzsver, ka daudzveidīga vadība 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Eiropas Dzimumu līdztiesības institūts, “Gender in entrepreneurship”, 2017. gads, 5.–6.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pauž nožēlu par pastāvīgo</w:t>
            </w:r>
            <w:r>
              <w:t xml:space="preserve"> dzimumu līdzsvara </w:t>
            </w:r>
            <w:r>
              <w:rPr>
                <w:b/>
                <w:i/>
              </w:rPr>
              <w:t>trūkumu</w:t>
            </w:r>
            <w:r>
              <w:t xml:space="preserve"> finanšu institūcijās, it īpaši to vadībā; uzsver, ka daudzveidīga vadība un finansējuma labāka pieejamība sieviešu vadītiem uzņēmumiem</w:t>
            </w:r>
            <w:r>
              <w:rPr>
                <w:vertAlign w:val="superscript"/>
              </w:rPr>
              <w:t>13</w:t>
            </w:r>
            <w:r>
              <w:t>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t>5.</w:t>
            </w:r>
            <w:r>
              <w:tab/>
            </w:r>
            <w:r>
              <w:rPr>
                <w:b/>
                <w:i/>
              </w:rPr>
              <w:t>pieņem zināšanai nelielo progresu, kas sasniegts</w:t>
            </w:r>
            <w:r>
              <w:t xml:space="preserve"> dzimumu līdzsvara </w:t>
            </w:r>
            <w:r>
              <w:rPr>
                <w:b/>
                <w:i/>
              </w:rPr>
              <w:t>jomā</w:t>
            </w:r>
            <w:r>
              <w:t xml:space="preserve"> finanšu institūcijās, it īpaši to vadībā; uzsver, ka daudzveidīga vadība un finansējuma labāka pieejamība sieviešu vadītiem uzņēmumiem</w:t>
            </w:r>
            <w:r>
              <w:rPr>
                <w:vertAlign w:val="superscript"/>
              </w:rPr>
              <w:t>13</w:t>
            </w:r>
            <w:r>
              <w:t xml:space="preserve"> 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pauž nožēlu par pastāvīgo dzimumu līdzsvara trūkumu finanšu institūcijās, it īpaši to vadībā; uzsver, ka daudzveidīga vadība un finansējuma labāka pieejamība sieviešu vadītiem uzņēmumiem</w:t>
            </w:r>
            <w:r>
              <w:rPr>
                <w:vertAlign w:val="superscript"/>
              </w:rPr>
              <w:t>13</w:t>
            </w:r>
            <w:r>
              <w:t xml:space="preserve">uzlabo pārvaldību, inovāciju un ekonomisko sniegumu; aicina finanšu institūcijas, ieinteresētās personas, Komisiju un dalībvalstis pieņemt efektīvas daudzveidības stratēģijas, uzraudzīt dzimumu nevienlīdzības gadījumus un integrēt dzimumu līdztiesību </w:t>
            </w:r>
            <w:r>
              <w:rPr>
                <w:b/>
                <w:i/>
              </w:rPr>
              <w:t>uzraudzības un investēšanas satvaros, lai visā ES nodrošinātu iekļaujošu kapitāla pieejamību</w:t>
            </w:r>
            <w:r>
              <w:t>;</w:t>
            </w:r>
          </w:p>
        </w:tc>
        <w:tc>
          <w:tcPr>
            <w:tcW w:w="4876" w:type="dxa"/>
            <w:tcBorders>
              <w:top w:val="nil"/>
              <w:left w:val="nil"/>
              <w:bottom w:val="nil"/>
              <w:right w:val="nil"/>
            </w:tcBorders>
          </w:tcPr>
          <w:p>
            <w:pPr>
              <w:pStyle w:val="Normal6a"/>
            </w:pPr>
            <w:r>
              <w:t>5.</w:t>
            </w:r>
            <w:r>
              <w:tab/>
            </w:r>
            <w:r>
              <w:t>pauž nožēlu par pastāvīgo dzimumu līdzsvara trūkumu finanšu institūcijās, it īpaši to vadībā; uzsver, ka daudzveidīga vadība un finansējuma labāka pieejamība sieviešu vadītiem uzņēmumiem</w:t>
            </w:r>
            <w:r>
              <w:rPr>
                <w:vertAlign w:val="superscript"/>
              </w:rPr>
              <w:t>13</w:t>
            </w:r>
            <w:r>
              <w:t xml:space="preserve"> uzlabo pārvaldību, inovāciju un ekonomisko sniegumu; aicina finanšu institūcijas, ieinteresētās personas, Komisiju un dalībvalstis pieņemt efektīvas daudzveidības stratēģijas, uzraudzīt dzimumu nevienlīdzības gadījumus un integrēt dzimumu līdztiesību;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pauž nožēlu par pastāvīgo dzimumu līdzsvara trūkumu finanšu institūcijās, it īpaši to vadībā; uzsver, ka daudzveidīga vadība un finansējuma labāka pieejamība sieviešu vadītiem uzņēmumiem</w:t>
            </w:r>
            <w:r>
              <w:rPr>
                <w:vertAlign w:val="superscript"/>
              </w:rPr>
              <w:t>13</w:t>
            </w:r>
            <w:r>
              <w:t>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w:t>
            </w:r>
          </w:p>
        </w:tc>
        <w:tc>
          <w:tcPr>
            <w:tcW w:w="4876" w:type="dxa"/>
            <w:tcBorders>
              <w:top w:val="nil"/>
              <w:left w:val="nil"/>
              <w:bottom w:val="nil"/>
              <w:right w:val="nil"/>
            </w:tcBorders>
          </w:tcPr>
          <w:p>
            <w:pPr>
              <w:pStyle w:val="Normal6a"/>
            </w:pPr>
            <w:r>
              <w:t>5.</w:t>
            </w:r>
            <w:r>
              <w:tab/>
            </w:r>
            <w:r>
              <w:t>pauž nožēlu par pastāvīgo dzimumu līdzsvara trūkumu finanšu institūcijās, it īpaši to vadībā; uzsver, ka daudzveidīga vadība un finansējuma labāka pieejamība sieviešu vadītiem uzņēmumiem</w:t>
            </w:r>
            <w:r>
              <w:rPr>
                <w:vertAlign w:val="superscript"/>
              </w:rPr>
              <w:t>13</w:t>
            </w:r>
            <w:r>
              <w:t xml:space="preserve"> uzlabo pārvaldību, inovāciju un ekonomisko sniegumu; aicina finanšu institūcijas, ieinteresētās personas, Komisiju un dalībvalstis pieņemt efektīvas daudzveidības stratēģijas, uzraudzīt dzimumu nevienlīdzības gadījumus un integrēt dzimumu līdztiesību uzraudzības un investēšanas satvaros, lai visā ES nodrošinātu iekļaujošu kapitāla pieejamību; </w:t>
            </w:r>
            <w:r>
              <w:rPr>
                <w:b/>
                <w:i/>
              </w:rPr>
              <w:t>pauž dziļu nožēlu par dzimumu līdzsvara trūkumu EBI priekšsēdētāja amata kandidātu sarakstā;</w:t>
            </w:r>
            <w:r>
              <w:t xml:space="preserve"> </w:t>
            </w:r>
            <w:r>
              <w:rPr>
                <w:b/>
                <w:i/>
              </w:rPr>
              <w:t>atgādina Parlamenta apņemšanos "neņemt vērā kandidātu sarakstus, ja nav ievērots dzimumu līdzsvara princips";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c>
          <w:tcPr>
            <w:tcW w:w="4876" w:type="dxa"/>
            <w:tcBorders>
              <w:top w:val="nil"/>
              <w:left w:val="nil"/>
              <w:bottom w:val="nil"/>
              <w:right w:val="nil"/>
            </w:tcBorders>
          </w:tcPr>
          <w:p>
            <w:pPr>
              <w:pStyle w:val="Normal6a"/>
            </w:pPr>
            <w:r>
              <w:rPr>
                <w:vertAlign w:val="superscript"/>
              </w:rPr>
              <w:t>13</w:t>
            </w:r>
            <w:r>
              <w:t xml:space="preserve"> </w:t>
            </w:r>
            <w:r>
              <w:t>Eiropas Dzimumu līdztiesības institūts, “Gender in entrepreneurship”, 2017. gads, 5.–6. lpp.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atgādina, ka finanšu institūcijas ir jāpārvalda, pamatojoties uz nopelniem, pieredzi un profesionālo piemērotību, nodrošinot, ka iecelšana amatā un pārvaldības lēmumu pieņemšana balstās uz objektīviem un ar risku saistītiem kritērijiem, un neieviešot papildu kritērijus, kas nav saistīti ar labu korporatīvo pārvaldību un finanšu stabilitāti;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pauž nožēlu par to, ka ES banku spēju finansēt liela apjoma investīcijas ierobežo augstākas izmaksas, mazāks mērogs un zemāka rentabilitāte, kas ir nepietiekami, lai nodrošinātu to konkurētspēju;</w:t>
            </w:r>
            <w:r>
              <w:t xml:space="preserve"> </w:t>
            </w:r>
            <w:r>
              <w:rPr>
                <w:b/>
                <w:i/>
              </w:rPr>
              <w:t>tomēr atzīmē, ka, ņemot vērā ES banku sistēmas specifiku — tai raksturīgo lielo skaitu mazāku banku ―, ir nepieciešami tās īpatnībām pielāgoti īpaši risinājumi;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atzīmē, ka pēc ECB veiktās procentu likmju paaugstināšanas ir ievērojami uzlabojusies ES banku rentabilitāte un noturība</w:t>
            </w:r>
            <w:r>
              <w:rPr>
                <w:b/>
                <w:i/>
                <w:vertAlign w:val="superscript"/>
              </w:rPr>
              <w:t>14</w:t>
            </w:r>
            <w:r>
              <w:rPr>
                <w:b/>
                <w:i/>
              </w:rPr>
              <w:t>;</w:t>
            </w:r>
            <w:r>
              <w:t xml:space="preserve"> </w:t>
            </w:r>
            <w:r>
              <w:rPr>
                <w:b/>
                <w:i/>
              </w:rPr>
              <w:t>uzsver, ka tas var veicināt svarīgu investīciju veikšanu un ka finanšu institūcijām, kas saņem valsts atbalstu, ir jāpiemēro stingri ierobežojumi attiecībā uz dividendēm, atpirkšanu un mainīgu atalgojumu;</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Ratnovski L., “Bank Profits and Bank Taxes in the EU”, SVF, 2024. gada jūlijs.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atzīmē, ka pēc ECB veiktās</w:t>
            </w:r>
            <w:r>
              <w:t xml:space="preserve"> procentu likmju </w:t>
            </w:r>
            <w:r>
              <w:rPr>
                <w:b/>
                <w:i/>
              </w:rPr>
              <w:t>paaugstināšanas ir ievērojami uzlabojusies ES</w:t>
            </w:r>
            <w:r>
              <w:t xml:space="preserve"> banku </w:t>
            </w:r>
            <w:r>
              <w:rPr>
                <w:b/>
                <w:i/>
              </w:rPr>
              <w:t>rentabilitāte un noturība</w:t>
            </w:r>
            <w:r>
              <w:rPr>
                <w:b/>
                <w:i/>
                <w:vertAlign w:val="superscript"/>
              </w:rPr>
              <w:t>14</w:t>
            </w:r>
            <w:r>
              <w:rPr>
                <w:b/>
                <w:i/>
              </w:rPr>
              <w:t>;</w:t>
            </w:r>
            <w:r>
              <w:t xml:space="preserve"> </w:t>
            </w:r>
            <w:r>
              <w:rPr>
                <w:b/>
                <w:i/>
              </w:rPr>
              <w:t>uzsver, ka tas var veicināt svarīgu investīciju veikšanu 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rPr>
                <w:b/>
                <w:i/>
              </w:rPr>
              <w:t>atzīst, ka ilgstošā ierobežojošas monetārās politikas īstenošana ir pazeminājusi neto</w:t>
            </w:r>
            <w:r>
              <w:t xml:space="preserve"> procentu likmju </w:t>
            </w:r>
            <w:r>
              <w:rPr>
                <w:b/>
                <w:i/>
              </w:rPr>
              <w:t>starpību un paaugstinājusi finansēšanas izmaksas, mazinot</w:t>
            </w:r>
            <w:r>
              <w:t xml:space="preserve"> banku </w:t>
            </w:r>
            <w:r>
              <w:rPr>
                <w:b/>
                <w:i/>
              </w:rPr>
              <w:t>spēju atbalstīt aizdevumu ilgtspējīgu palielināšanos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Ratnovski L., “Bank Profits and Bank Taxes in the EU”, SVF, 2024. gada jūlijs.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atzīmē, ka pēc ECB veiktās procentu likmju paaugstināšanas</w:t>
            </w:r>
            <w:r>
              <w:t xml:space="preserve"> ir ievērojami uzlabojusies ES banku rentabilitāte un noturība</w:t>
            </w:r>
            <w:r>
              <w:rPr>
                <w:vertAlign w:val="superscript"/>
              </w:rPr>
              <w:t>14</w:t>
            </w:r>
            <w:r>
              <w:t xml:space="preserve">; </w:t>
            </w:r>
            <w:r>
              <w:rPr>
                <w:b/>
                <w:i/>
              </w:rPr>
              <w:t>uzsver, ka tas var veicināt svarīgu investīciju veikšanu 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rPr>
                <w:b/>
                <w:i/>
              </w:rPr>
              <w:t>atzinīgi vērtē to, ka</w:t>
            </w:r>
            <w:r>
              <w:t xml:space="preserve"> ir ievērojami uzlabojusies ES banku rentabilitāte un noturība</w:t>
            </w:r>
            <w:r>
              <w:rPr>
                <w:vertAlign w:val="superscript"/>
              </w:rPr>
              <w:t>14</w:t>
            </w:r>
            <w:r>
              <w:t xml:space="preserve">; </w:t>
            </w:r>
            <w:r>
              <w:rPr>
                <w:b/>
                <w:i/>
              </w:rPr>
              <w:t>tomēr atzīmē, ka joprojām pastāv rentabilitātes plaisa salīdzinājumā ar citām jurisdikcijām, it īpaši ar ASV;</w:t>
            </w:r>
            <w:r>
              <w:t xml:space="preserve"> </w:t>
            </w:r>
            <w:r>
              <w:rPr>
                <w:b/>
                <w:i/>
              </w:rPr>
              <w:t>uzskata, ka šai rentabilitātes plaisai ir gan strukturāli, gan regulatīvi iemesli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atzīmē, ka </w:t>
            </w:r>
            <w:r>
              <w:rPr>
                <w:b/>
                <w:i/>
              </w:rPr>
              <w:t>pēc ECB veiktās procentu likmju paaugstināšanas ir ievērojami uzlabojusies ES banku</w:t>
            </w:r>
            <w:r>
              <w:t xml:space="preserve"> rentabilitāte un noturība</w:t>
            </w:r>
            <w:r>
              <w:rPr>
                <w:b/>
                <w:i/>
                <w:vertAlign w:val="superscript"/>
              </w:rPr>
              <w:t>14</w:t>
            </w:r>
            <w:r>
              <w:t xml:space="preserve">; uzsver, ka </w:t>
            </w:r>
            <w:r>
              <w:rPr>
                <w:b/>
                <w:i/>
              </w:rPr>
              <w:t>tas var veicināt svarīgu investīciju veikšanu 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t xml:space="preserve">atzīmē, ka rentabilitāte un noturība </w:t>
            </w:r>
            <w:r>
              <w:rPr>
                <w:b/>
                <w:i/>
              </w:rPr>
              <w:t>2025. gadā joprojām bija augstas</w:t>
            </w:r>
            <w:r>
              <w:t xml:space="preserve">; uzsver, ka </w:t>
            </w:r>
            <w:r>
              <w:rPr>
                <w:b/>
                <w:i/>
              </w:rPr>
              <w:t>šādu rentabilitāti var izmantot, lai atbalstītu mājsaimniecību un uzņēmumu, it īpaši MVU un jaunuzņēmumu, kā arī jauno profesionāļu finansēšanu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 M., Ratnovski L., “Bank Profits and Bank Taxes in the EU”, SVF, 2024. gada jūlijs.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un ka </w:t>
            </w:r>
            <w:r>
              <w:rPr>
                <w:b/>
                <w:i/>
              </w:rPr>
              <w:t>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w:t>
            </w:r>
            <w:r>
              <w:rPr>
                <w:b/>
                <w:i/>
              </w:rPr>
              <w:t>;</w:t>
            </w:r>
            <w:r>
              <w:t xml:space="preserve"> </w:t>
            </w:r>
            <w:r>
              <w:rPr>
                <w:b/>
                <w:i/>
              </w:rPr>
              <w:t>atgādina, ka šī rentabilitātes palielināšanās galvenokārt ir cikliska</w:t>
            </w:r>
            <w:r>
              <w:t xml:space="preserve"> un ka </w:t>
            </w:r>
            <w:r>
              <w:rPr>
                <w:b/>
                <w:i/>
              </w:rPr>
              <w:t>banku konkurētspēja joprojām ir atkarīga no banku savienības, UIS un vienotā tirgus ietvaros veikto strukturālo reformu jomā sasniegtā progresa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w:t>
            </w:r>
            <w:r>
              <w:rPr>
                <w:b/>
                <w:i/>
              </w:rPr>
              <w:t>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w:t>
            </w:r>
            <w:r>
              <w:rPr>
                <w:b/>
                <w:i/>
              </w:rPr>
              <w:t>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w:t>
            </w:r>
            <w:r>
              <w:rPr>
                <w:b/>
                <w:i/>
              </w:rPr>
              <w:t>un ka finanšu institūcijām, kas saņem valsts atbalstu, ir jāpiemēro stingri ierobežojumi attiecībā uz dividendēm, atpirkšanu un mainīgu atalgojumu</w:t>
            </w:r>
            <w:r>
              <w:t>;</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 un ka finanšu institūcijām, kas saņem valsts atbalstu, ir jāpiemēro stingri ierobežojumi attiecībā uz dividendēm, atpirkšanu un mainīgu atalgojumu;</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un ka finanšu institūcijām, kas saņem valsts atbalstu, ir jāpiemēro stingri ierobežojumi attiecībā uz dividendēm, atpirkšanu un mainīgu atalgojumu; </w:t>
            </w:r>
            <w:r>
              <w:rPr>
                <w:b/>
                <w:i/>
              </w:rPr>
              <w:t>uzsver, ka ilgtspējīga rentabilitāte veicina kapitāla uzkrāšanu, paaugstina spēju absorbēt satricinājumus un palīdz finansēt reālo ekonomiku;</w:t>
            </w:r>
            <w:r>
              <w:t xml:space="preserve"> </w:t>
            </w:r>
            <w:r>
              <w:rPr>
                <w:b/>
                <w:i/>
              </w:rPr>
              <w:t>atgādina, ka ― kā uzsvērts nesenajos ECB atzinumos par bankām piemēroto valsts nodevu ― uz ienākumiem balstīti bankām uzlikti nodokļi var samazināt nesadalīto peļņu un ierobežot kredītiestāžu spēju veidot vai atjaunot kapitāla rezerves;</w:t>
            </w:r>
            <w:r>
              <w:t xml:space="preserve"> </w:t>
            </w:r>
            <w:r>
              <w:rPr>
                <w:b/>
                <w:i/>
              </w:rPr>
              <w:t>uzsver, ka jebkādi fiskāli pasākumi, kas ietekmē bankas, arī turpmāk būtu jāveic izņēmuma kārtā un tiem vajadzētu būt samērīgiem un īslaicīgiem;</w:t>
            </w:r>
            <w:r>
              <w:t xml:space="preserve"> </w:t>
            </w:r>
            <w:r>
              <w:rPr>
                <w:b/>
                <w:i/>
              </w:rPr>
              <w:t>turklāt tiem nevajadzētu apdraudēt finanšu stabilitāti un banku spēju finansēt reālo ekonomiku;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uzsver, ka tas var veicināt svarīgu investīciju veikšanu un ka finanšu institūcijām, kas saņem valsts atbalstu, ir jāpiemēro stingri ierobežojumi attiecībā uz dividendēm, atpirkšanu un mainīgu atalgojumu;</w:t>
            </w:r>
          </w:p>
        </w:tc>
        <w:tc>
          <w:tcPr>
            <w:tcW w:w="4876" w:type="dxa"/>
            <w:tcBorders>
              <w:top w:val="nil"/>
              <w:left w:val="nil"/>
              <w:bottom w:val="nil"/>
              <w:right w:val="nil"/>
            </w:tcBorders>
          </w:tcPr>
          <w:p>
            <w:pPr>
              <w:pStyle w:val="Normal6a"/>
            </w:pPr>
            <w:r>
              <w:t>6.</w:t>
            </w:r>
            <w:r>
              <w:tab/>
            </w:r>
            <w:r>
              <w:t>atzīmē, ka pēc ECB veiktās procentu likmju paaugstināšanas ir ievērojami uzlabojusies ES banku rentabilitāte un noturība</w:t>
            </w:r>
            <w:r>
              <w:rPr>
                <w:vertAlign w:val="superscript"/>
              </w:rPr>
              <w:t>14</w:t>
            </w:r>
            <w:r>
              <w:t xml:space="preserve">; uzsver, ka tas var veicināt svarīgu investīciju veikšanu un </w:t>
            </w:r>
            <w:r>
              <w:rPr>
                <w:b/>
                <w:i/>
              </w:rPr>
              <w:t>Eiropas ekonomikas finansēšanu un</w:t>
            </w:r>
            <w:r>
              <w:t xml:space="preserve"> ka finanšu institūcijām, kas saņem valsts atbalstu, ir jāpiemēro stingri ierobežojumi attiecībā uz dividendēm, atpirkšanu un mainīgu atalgojumu;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c>
          <w:tcPr>
            <w:tcW w:w="4876" w:type="dxa"/>
            <w:tcBorders>
              <w:top w:val="nil"/>
              <w:left w:val="nil"/>
              <w:bottom w:val="nil"/>
              <w:right w:val="nil"/>
            </w:tcBorders>
          </w:tcPr>
          <w:p>
            <w:pPr>
              <w:pStyle w:val="Normal6a"/>
            </w:pPr>
            <w:r>
              <w:rPr>
                <w:vertAlign w:val="superscript"/>
              </w:rPr>
              <w:t>14</w:t>
            </w:r>
            <w:r>
              <w:t xml:space="preserve"> </w:t>
            </w:r>
            <w:r>
              <w:t>Maneely M., Ratnovski L., “Bank Profits and Bank Taxes in the EU”, SVF, 2024. gada jūlijs.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norāda uz ES banku būtisko pakļautību ilgtermiņa valsts parādam, it īpaši savas valsts parādam;</w:t>
            </w:r>
            <w:r>
              <w:t xml:space="preserve"> </w:t>
            </w:r>
            <w:r>
              <w:rPr>
                <w:b/>
                <w:i/>
              </w:rPr>
              <w:t>atgādina, ka ir svarīgi palielināt šādas pakļautības diversifikāciju, lai Eiropas sektors būtu noturīgāks pret asimetriskiem fiskāliem satricinājumiem;</w:t>
            </w:r>
            <w:r>
              <w:t xml:space="preserve"> </w:t>
            </w:r>
            <w:r>
              <w:rPr>
                <w:b/>
                <w:i/>
              </w:rPr>
              <w:t>uzsver, ka ir svarīgi nodrošināt to ES fiskālo noteikumu īstenošanu, kuru mērķis ir garantēt uzticēšanos dalībvalstu valsts parādam, diversifikāciju un līdz ar to arī sistēmiskā riska mazināšanu eurozonā;</w:t>
            </w:r>
            <w:r>
              <w:t xml:space="preserve"> </w:t>
            </w:r>
            <w:r>
              <w:rPr>
                <w:b/>
                <w:i/>
              </w:rPr>
              <w:t>atgādina, ka kopīga droša aktīva kā standarta trūkums mazina efektivitāti kapitāla tirgos un banku darbības nozarē;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Komisiju izstrādāt pamatnostādnes par banku mērķtiecīgu solidaritātes iemaksu, kas atspoguļotu nesen gūto peļņu, tādējādi nodrošinot taisnīgu ieguldījumu publiskajās finansēs, vienlaikus atbalstot noturību un finanšu stabilitāti;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uzsver, ka pienācīga banku savienības darbība un ticamība ir atkarīgas arī no Savienības patērētāju tiesību aizsardzības tiesību aktu pilnīgas ievērošanas un efektīvas īstenošanas nodrošināšanas banku darbības nozarē;</w:t>
            </w:r>
            <w:r>
              <w:t xml:space="preserve"> </w:t>
            </w:r>
            <w:r>
              <w:rPr>
                <w:b/>
                <w:i/>
              </w:rPr>
              <w:t>vērš uzmanību uz to, ka kredītiestādēm ir jāatturas no negodīgu līguma noteikumu un komercprakses izmantošanas, it īpaši hipotekārā kredīta un privātpersonām izsniegtu aizdevumu jomā;</w:t>
            </w:r>
            <w:r>
              <w:t xml:space="preserve"> </w:t>
            </w:r>
            <w:r>
              <w:rPr>
                <w:b/>
                <w:i/>
              </w:rPr>
              <w:t>uzsver, ka patērētājiem, tostarp aizņēmējiem, ir jābūt nodrošinātai efektīvai aizsardzībai, juridiskajai noteiktībai un efektīvas tiesiskās aizsardzības pieejamībai;</w:t>
            </w:r>
            <w:r>
              <w:t xml:space="preserve"> </w:t>
            </w:r>
            <w:r>
              <w:rPr>
                <w:b/>
                <w:i/>
              </w:rPr>
              <w:t>šajā sakarā aicina dalībvalstis un kompetentās iestādes pārkāpumu gadījumos nodrošināt stingrus uzraudzības un izpildes nodrošināšanas pasākumus;</w:t>
            </w:r>
            <w:r>
              <w:t xml:space="preserve"> </w:t>
            </w:r>
            <w:r>
              <w:rPr>
                <w:b/>
                <w:i/>
              </w:rPr>
              <w:t>turklāt uzsver, ka ir svarīgi nodrošināt atbilstošu galvenās dzīvesvietas, ja tā ir mazāka par 250 m</w:t>
            </w:r>
            <w:r>
              <w:rPr>
                <w:b/>
                <w:i/>
                <w:vertAlign w:val="superscript"/>
              </w:rPr>
              <w:t>2</w:t>
            </w:r>
            <w:r>
              <w:rPr>
                <w:b/>
                <w:i/>
              </w:rPr>
              <w:t>, aizsardzību, it īpaši gadījumos, kad aizņēmējs jau ir atmaksājis ievērojamu aizdevuma daļu, piemēram, 50 % no sākotnējās aizdevuma summas;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uzsver, ka jebkādi valsts līmeņa pasākumi, kas ietekmē banku darbības nozari, tostarp solidaritātes iemaksām, būtu jāveic izņēmuma kārtā un tiem vajadzētu būt samērīgiem un nevajadzētu mazināt banku spēju finansēt reālo ekonomiku, atbalstīt investīcijas un uzturēt finanšu stabilitāti;</w:t>
            </w:r>
            <w:r>
              <w:t xml:space="preserve"> </w:t>
            </w:r>
            <w:r>
              <w:rPr>
                <w:b/>
                <w:i/>
              </w:rPr>
              <w:t>aicina Komisiju uzraudzīt to ietekmi uz konkurētspēju un pārrobežu integrāciju iekšējā tirgū;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atzinīgi vērtē AMLA lomu ES cīņas pret nelikumīgi iegūtu līdzekļu legalizāciju un terorisma finansēšanu pastiprināšanā;</w:t>
            </w:r>
            <w:r>
              <w:t xml:space="preserve"> </w:t>
            </w:r>
            <w:r>
              <w:rPr>
                <w:b/>
                <w:i/>
              </w:rPr>
              <w:t>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atzinīgi vērtē AMLA</w:t>
            </w:r>
            <w:r>
              <w:t xml:space="preserve"> lomu ES cīņas pret nelikumīgi iegūtu līdzekļu legalizāciju un terorisma finansēšanu pastiprināšanā; 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t>8.</w:t>
            </w:r>
            <w:r>
              <w:tab/>
            </w:r>
            <w:r>
              <w:rPr>
                <w:b/>
                <w:i/>
              </w:rPr>
              <w:t>ar nepacietību gaida, kad AMLA sāks pildīt savu</w:t>
            </w:r>
            <w:r>
              <w:t xml:space="preserve"> lomu ES cīņas pret nelikumīgi iegūtu līdzekļu legalizāciju un terorisma finansēšanu pastiprināšanā; pieprasa konsekventu īstenošanu, ciešāku sadarbību, informācijas apmaiņu un koordinētu izpildes nodrošināšanu visā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atzinīgi vērtē AMLA lomu ES cīņas pret nelikumīgi iegūtu līdzekļu legalizāciju un terorisma finansēšanu pastiprināšanā; 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t>8.</w:t>
            </w:r>
            <w:r>
              <w:tab/>
            </w:r>
            <w:r>
              <w:t xml:space="preserve">atzinīgi vērtē AMLA lomu ES cīņas pret nelikumīgi iegūtu līdzekļu legalizāciju un terorisma finansēšanu pastiprināšanā; pieprasa konsekventu īstenošanu, ciešāku sadarbību, informācijas apmaiņu un koordinētu izpildes nodrošināšanu visā ES; </w:t>
            </w:r>
            <w:r>
              <w:rPr>
                <w:b/>
                <w:i/>
              </w:rPr>
              <w:t>vērš uzmanību uz to, ka AMLA savā uzraudzības un regulēšanas darbā ir jāievēro proporcionalitātes princips;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atzinīgi vērtē AMLA lomu ES cīņas pret nelikumīgi iegūtu līdzekļu legalizāciju un terorisma finansēšanu pastiprināšanā; 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t>8.</w:t>
            </w:r>
            <w:r>
              <w:tab/>
            </w:r>
            <w:r>
              <w:t xml:space="preserve">atzinīgi vērtē AMLA lomu ES cīņas pret nelikumīgi iegūtu līdzekļu legalizāciju un terorisma finansēšanu pastiprināšanā; pieprasa konsekventu īstenošanu, ciešāku sadarbību, informācijas apmaiņu un koordinētu izpildes nodrošināšanu visā ES; </w:t>
            </w:r>
            <w:r>
              <w:rPr>
                <w:b/>
                <w:i/>
              </w:rPr>
              <w:t>agādina, ka koordinētai, vienkāršotai un samērīgai pieejai arī turpmāk vajadzētu būt vienam no vadošajiem pamatprincipiem AMLA 2. līmeņa darbā;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atzinīgi vērtē AMLA lomu ES cīņas pret nelikumīgi iegūtu līdzekļu legalizāciju un terorisma finansēšanu pastiprināšanā; 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t>8.</w:t>
            </w:r>
            <w:r>
              <w:tab/>
            </w:r>
            <w:r>
              <w:t>atzinīgi vērtē AMLA lomu ES cīņas pret nelikumīgi iegūtu līdzekļu legalizāciju un terorisma finansēšanu pastiprināšanā; pieprasa konsekventu īstenošanu, ciešāku sadarbību, informācijas apmaiņu un koordinētu izpildes nodrošināšanu visā ES</w:t>
            </w:r>
            <w:r>
              <w:rPr>
                <w:b/>
                <w:i/>
              </w:rPr>
              <w:t>, izvairoties no nevajadzīgas regulējuma pārklāšanās un pārmērīga administratīvā sloga finanšu institūcijām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atzinīgi vērtē AMLA lomu ES cīņas pret nelikumīgi iegūtu līdzekļu legalizāciju un terorisma finansēšanu pastiprināšanā; pieprasa konsekventu īstenošanu, ciešāku sadarbību, informācijas apmaiņu un koordinētu izpildes nodrošināšanu visā ES;</w:t>
            </w:r>
          </w:p>
        </w:tc>
        <w:tc>
          <w:tcPr>
            <w:tcW w:w="4876" w:type="dxa"/>
            <w:tcBorders>
              <w:top w:val="nil"/>
              <w:left w:val="nil"/>
              <w:bottom w:val="nil"/>
              <w:right w:val="nil"/>
            </w:tcBorders>
          </w:tcPr>
          <w:p>
            <w:pPr>
              <w:pStyle w:val="Normal6a"/>
            </w:pPr>
            <w:r>
              <w:t>8.</w:t>
            </w:r>
            <w:r>
              <w:tab/>
            </w:r>
            <w:r>
              <w:t xml:space="preserve">atzinīgi vērtē AMLA lomu ES cīņas pret nelikumīgi iegūtu līdzekļu legalizāciju un terorisma finansēšanu pastiprināšanā; pieprasa konsekventu īstenošanu, ciešāku sadarbību, informācijas apmaiņu un koordinētu izpildes nodrošināšanu visā ES; </w:t>
            </w:r>
            <w:r>
              <w:rPr>
                <w:b/>
                <w:i/>
              </w:rPr>
              <w:t>uzsver nepieciešamību pēc efektīvas sadarbības starp AMLA, no vienas puses, un Eiropas uzraudzības iestādēm un prudenciālajām iestādēm, no otras puses;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uzsver nepieciešamību vienkāršot Eiropas regulatīvo, uzraudzības un ziņošanas satvaru bankām, lai novērstu sarežģītību, kas nevajadzīgi ietekmē Eiropas banku konkurētspēju un to spēju efektīvi sniegt pakalpojumus reālajai ekonomikai;</w:t>
            </w:r>
            <w:r>
              <w:t xml:space="preserve"> </w:t>
            </w:r>
            <w:r>
              <w:rPr>
                <w:b/>
                <w:i/>
              </w:rPr>
              <w:t>uzsver, ka vienkāršošanas centieniem nevajadzētu nelabvēlīgi ietekmēt banku noturību, finanšu stabilitāti un noregulēšanas satvara efektivitāti;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w:t>
            </w:r>
            <w:r>
              <w:rPr>
                <w:b/>
                <w:i/>
              </w:rPr>
              <w:t>stabila, konsekventa un savlaicīga ziņošana ir ļoti svarīga uzraudzībai un stabilitātei;</w:t>
            </w:r>
            <w:r>
              <w:t xml:space="preserve"> </w:t>
            </w:r>
            <w:r>
              <w:rPr>
                <w:b/>
                <w:i/>
              </w:rPr>
              <w:t>uzsver arī to, ka</w:t>
            </w:r>
            <w:r>
              <w:t xml:space="preserve"> vienkāršošana nedrīkst vājināt prudenciālos, patērētāju tiesību aizsardzības un stabilitātes standartus</w:t>
            </w:r>
            <w:r>
              <w:rPr>
                <w:b/>
                <w:i/>
              </w:rPr>
              <w:t>;</w:t>
            </w:r>
            <w:r>
              <w:t xml:space="preserve"> </w:t>
            </w:r>
            <w:r>
              <w:rPr>
                <w:b/>
                <w:i/>
              </w:rPr>
              <w:t>pieprasa līdzsvarotu un ar kopējo datu vārdnīcu un pieprasījumu repozitoriju labāk integrētu pieeju, lai atbrīvotos no liekas sarežģītības, vienlaikus saglabājot banku savienības satvara stabilitāti</w:t>
            </w:r>
            <w:r>
              <w:t>;</w:t>
            </w:r>
          </w:p>
        </w:tc>
        <w:tc>
          <w:tcPr>
            <w:tcW w:w="4876" w:type="dxa"/>
            <w:tcBorders>
              <w:top w:val="nil"/>
              <w:left w:val="nil"/>
              <w:bottom w:val="nil"/>
              <w:right w:val="nil"/>
            </w:tcBorders>
          </w:tcPr>
          <w:p>
            <w:pPr>
              <w:pStyle w:val="Normal6a"/>
            </w:pPr>
            <w:r>
              <w:t>9.</w:t>
            </w:r>
            <w:r>
              <w:tab/>
            </w:r>
            <w:r>
              <w:t xml:space="preserve">uzsver, ka </w:t>
            </w:r>
            <w:r>
              <w:rPr>
                <w:b/>
                <w:i/>
              </w:rPr>
              <w:t>regulatīvā</w:t>
            </w:r>
            <w:r>
              <w:t xml:space="preserve"> vienkāršošana nedrīkst vājināt prudenciālos, patērētāju tiesību aizsardzības un stabilitātes standartus</w:t>
            </w:r>
            <w:r>
              <w:rPr>
                <w:b/>
                <w:i/>
              </w:rPr>
              <w:t>, bet gan tai ir jāpadara šie standarti efektīvāki un atbilstošāki galīgā mērķa sasniegšanai;</w:t>
            </w:r>
            <w:r>
              <w:t xml:space="preserve"> </w:t>
            </w:r>
            <w:r>
              <w:rPr>
                <w:b/>
                <w:i/>
              </w:rPr>
              <w:t>aicina pastiprināt digitalizāciju, it īpaši MI izmantošanu, uzraudzības pienākumu veikšanā;</w:t>
            </w:r>
            <w:r>
              <w:t xml:space="preserve"> </w:t>
            </w:r>
            <w:r>
              <w:rPr>
                <w:b/>
                <w:i/>
              </w:rPr>
              <w:t>mudina uzraudzītājus un regulatorus samazināt atbilstības nodrošināšanas un ziņošanas izmaksas regulētajām vienībām, pastiprinot datu apmaiņu starp dažādām iestādēm un izpētot iespēju MI jomā pāriet no tūlītējas datu nosūtīšanas modeļa ("push" modelis), ar kura palīdzību datus regulē uzraudzītās institūcijas, uz klienta veiktas informācijas pieprasīšanas modeli ("pull" modeli), ar kura palīdzību uzraudzītās insitūcijas piešķir uzraudzītājiem piekļuvi detalizēta līmeņa datiem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w:t>
            </w:r>
            <w:r>
              <w:rPr>
                <w:b/>
                <w:i/>
              </w:rPr>
              <w:t>vienkāršošana nedrīkst vājināt</w:t>
            </w:r>
            <w:r>
              <w:t xml:space="preserve"> prudenciālos, patērētāju tiesību aizsardzības un stabilitātes standartus; pieprasa līdzsvarotu un </w:t>
            </w:r>
            <w:r>
              <w:rPr>
                <w:b/>
                <w:i/>
              </w:rPr>
              <w:t>ar kopējo datu vārdnīcu un pieprasījumu repozitoriju labāk integrētu</w:t>
            </w:r>
            <w:r>
              <w:t xml:space="preserve"> pieeju, </w:t>
            </w:r>
            <w:r>
              <w:rPr>
                <w:b/>
                <w:i/>
              </w:rPr>
              <w:t>lai atbrīvotos no liekas sarežģītības, vienlaikus saglabājot banku savienības satvara stabilitāti</w:t>
            </w:r>
            <w:r>
              <w:t>;</w:t>
            </w:r>
          </w:p>
        </w:tc>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w:t>
            </w:r>
            <w:r>
              <w:rPr>
                <w:b/>
                <w:i/>
              </w:rPr>
              <w:t>banku darbības nozarei ir svarīga juridiskā noteiktība, paredzamība un stabilitāte;</w:t>
            </w:r>
            <w:r>
              <w:t xml:space="preserve"> </w:t>
            </w:r>
            <w:r>
              <w:rPr>
                <w:b/>
                <w:i/>
              </w:rPr>
              <w:t>šajā sakarā vērš uzmanību uz tādu turpmāku pasākumu nepieciešamību, kas veicina digitalizāciju un vienkāršošanu, vienlaikus saglabājot</w:t>
            </w:r>
            <w:r>
              <w:t xml:space="preserve"> prudenciālos, patērētāju tiesību aizsardzības un stabilitātes standartus; pieprasa līdzsvarotu un </w:t>
            </w:r>
            <w:r>
              <w:rPr>
                <w:b/>
                <w:i/>
              </w:rPr>
              <w:t>integrētāku</w:t>
            </w:r>
            <w:r>
              <w:t xml:space="preserve"> pieeju, </w:t>
            </w:r>
            <w:r>
              <w:rPr>
                <w:b/>
                <w:i/>
              </w:rPr>
              <w:t>piemēram, centralizētu datu centru, kas balstītos uz standartizētām definīcijām un ko iestādes kopīgi izmantotu, lai mazinātu dublēšanos, uzlabotu datu kvalitāti un atvieglotu administratīvo slogu bankām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w:t>
            </w:r>
            <w:r>
              <w:rPr>
                <w:b/>
                <w:i/>
              </w:rPr>
              <w:t>uzsver arī to, ka vienkāršošana nedrīkst vājināt prudenciālos, patērētāju tiesību aizsardzības un stabilitātes standartus;</w:t>
            </w:r>
            <w:r>
              <w:t xml:space="preserve"> </w:t>
            </w:r>
            <w:r>
              <w:rPr>
                <w:b/>
                <w:i/>
              </w:rPr>
              <w:t>pieprasa līdzsvarotu un ar kopējo datu vārdnīcu un pieprasījumu repozitoriju labāk integrētu pieeju, lai atbrīvotos no liekas sarežģītības, vienlaikus saglabājot</w:t>
            </w:r>
            <w:r>
              <w:t xml:space="preserve"> banku </w:t>
            </w:r>
            <w:r>
              <w:rPr>
                <w:b/>
                <w:i/>
              </w:rPr>
              <w:t>savienības satvara stabilitāti</w:t>
            </w:r>
            <w:r>
              <w:t>;</w:t>
            </w:r>
          </w:p>
        </w:tc>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w:t>
            </w:r>
            <w:r>
              <w:rPr>
                <w:b/>
                <w:i/>
              </w:rPr>
              <w:t>tomēr atzīmē nepieciešamību pēc vienkāršošanas, it īpaši mazākām vienībām;</w:t>
            </w:r>
            <w:r>
              <w:t xml:space="preserve"> </w:t>
            </w:r>
            <w:r>
              <w:rPr>
                <w:b/>
                <w:i/>
              </w:rPr>
              <w:t>uzskata, ka prasībām šajā jomā vajadzētu būt samērīgām un pielāgotām Eiropas</w:t>
            </w:r>
            <w:r>
              <w:t xml:space="preserve"> banku </w:t>
            </w:r>
            <w:r>
              <w:rPr>
                <w:b/>
                <w:i/>
              </w:rPr>
              <w:t>darbības nozares īpatnībām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w:t>
            </w:r>
            <w:r>
              <w:rPr>
                <w:b/>
                <w:i/>
              </w:rPr>
              <w:t>vienkāršošana nedrīkst vājināt</w:t>
            </w:r>
            <w:r>
              <w:t xml:space="preserve"> prudenciālos, patērētāju tiesību aizsardzības un stabilitātes standartus; </w:t>
            </w:r>
            <w:r>
              <w:rPr>
                <w:b/>
                <w:i/>
              </w:rPr>
              <w:t>pieprasa līdzsvarotu un ar kopējo datu vārdnīcu un pieprasījumu repozitoriju labāk integrētu pieeju, lai atbrīvotos no liekas sarežģītības, vienlaikus saglabājot banku savienības satvara stabilitāti;</w:t>
            </w:r>
          </w:p>
        </w:tc>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w:t>
            </w:r>
            <w:r>
              <w:rPr>
                <w:b/>
                <w:i/>
              </w:rPr>
              <w:t>vienkāršošanā galvenā uzmanība būtu jāpievērš dublēšanās un nevajadzīgas sarežģītības likvidēšanai, tomēr nevājinot</w:t>
            </w:r>
            <w:r>
              <w:t xml:space="preserve"> prudenciālos, patērētāju tiesību aizsardzības un stabilitātes standartus;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w:t>
            </w:r>
            <w:r>
              <w:rPr>
                <w:b/>
                <w:i/>
              </w:rPr>
              <w:t>uzsver arī to, ka vienkāršošana nedrīkst vājināt prudenciālos, patērētāju tiesību aizsardzības un stabilitātes standartus;</w:t>
            </w:r>
            <w:r>
              <w:t xml:space="preserve"> pieprasa līdzsvarotu </w:t>
            </w:r>
            <w:r>
              <w:rPr>
                <w:b/>
                <w:i/>
              </w:rPr>
              <w:t>un ar kopējo</w:t>
            </w:r>
            <w:r>
              <w:t xml:space="preserve"> datu vārdnīcu un pieprasījumu repozitoriju </w:t>
            </w:r>
            <w:r>
              <w:rPr>
                <w:b/>
                <w:i/>
              </w:rPr>
              <w:t>labāk integrētu pieeju</w:t>
            </w:r>
            <w:r>
              <w:t>, lai atbrīvotos no liekas sarežģītības, vienlaikus saglabājot banku savienības satvara stabilitāti;</w:t>
            </w:r>
          </w:p>
        </w:tc>
        <w:tc>
          <w:tcPr>
            <w:tcW w:w="4876" w:type="dxa"/>
            <w:tcBorders>
              <w:top w:val="nil"/>
              <w:left w:val="nil"/>
              <w:bottom w:val="nil"/>
              <w:right w:val="nil"/>
            </w:tcBorders>
          </w:tcPr>
          <w:p>
            <w:pPr>
              <w:pStyle w:val="Normal6a"/>
            </w:pPr>
            <w:r>
              <w:t>9.</w:t>
            </w:r>
            <w:r>
              <w:tab/>
            </w:r>
            <w:r>
              <w:t>uzsver, ka stabila, konsekventa un savlaicīga ziņošana ir ļoti svarīga uzraudzībai un stabilitātei; pieprasa līdzsvarotu</w:t>
            </w:r>
            <w:r>
              <w:rPr>
                <w:b/>
                <w:i/>
              </w:rPr>
              <w:t>, mazāk apgrūtinošu un integrētāku pieeju uzraudzības pārskatu sniegšanai, ar kopēju</w:t>
            </w:r>
            <w:r>
              <w:t xml:space="preserve"> datu vārdnīcu un pieprasījumu repozitoriju, lai atbrīvotos no liekas sarežģītības, vienlaikus saglabājot banku savienības satvara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vienkāršošana nedrīkst vājināt </w:t>
            </w:r>
            <w:r>
              <w:rPr>
                <w:b/>
                <w:i/>
              </w:rPr>
              <w:t>prudenciālos</w:t>
            </w:r>
            <w:r>
              <w:t>, patērētāju tiesību aizsardzības un stabilitātes standartus; pieprasa līdzsvarotu un ar kopējo datu vārdnīcu un pieprasījumu repozitoriju labāk integrētu pieeju, lai atbrīvotos no liekas sarežģītības, vienlaikus saglabājot banku savienības satvara stabilitāti;</w:t>
            </w:r>
          </w:p>
        </w:tc>
        <w:tc>
          <w:tcPr>
            <w:tcW w:w="4876" w:type="dxa"/>
            <w:tcBorders>
              <w:top w:val="nil"/>
              <w:left w:val="nil"/>
              <w:bottom w:val="nil"/>
              <w:right w:val="nil"/>
            </w:tcBorders>
          </w:tcPr>
          <w:p>
            <w:pPr>
              <w:pStyle w:val="Normal6a"/>
            </w:pPr>
            <w:r>
              <w:t>9.</w:t>
            </w:r>
            <w:r>
              <w:tab/>
            </w:r>
            <w:r>
              <w:t xml:space="preserve">uzsver, ka stabila, konsekventa un savlaicīga ziņošana ir ļoti svarīga uzraudzībai un stabilitātei; uzsver arī to, ka vienkāršošana nedrīkst vājināt </w:t>
            </w:r>
            <w:r>
              <w:rPr>
                <w:b/>
                <w:i/>
              </w:rPr>
              <w:t>prudenciālās noturības</w:t>
            </w:r>
            <w:r>
              <w:t>, patērētāju tiesību aizsardzības un stabilitātes standartus; pieprasa līdzsvarotu un ar kopējo datu vārdnīcu un pieprasījumu repozitoriju labāk integrētu pieeju, lai atbrīvotos no liekas sarežģītības, vienlaikus saglabājot banku savienības satvara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atzīmē, ka banku darbības nozare ir saskārusies ar daudziem gadījumiem, kad noteikumi pārklājas, ir sadrumstaloti vai dažkārt pat ir pretrunīgi;</w:t>
            </w:r>
            <w:r>
              <w:t xml:space="preserve"> </w:t>
            </w:r>
            <w:r>
              <w:rPr>
                <w:b/>
                <w:i/>
              </w:rPr>
              <w:t>atzinīgi vērtē gaidāmo visaptverošo ES banku darbības nozares konkurētspējas pārskatīšanu, kuru Komisija paredzējusi veikt 2026. gadā;</w:t>
            </w:r>
            <w:r>
              <w:t xml:space="preserve"> </w:t>
            </w:r>
            <w:r>
              <w:rPr>
                <w:b/>
                <w:i/>
              </w:rPr>
              <w:t>aicina Komisiju mazināt nevajadzīgu regulatīvo slogu banku darbības nozarei, lai neliktu šķēršļus tās konkurētspējai;</w:t>
            </w:r>
            <w:r>
              <w:t xml:space="preserve"> </w:t>
            </w:r>
            <w:r>
              <w:rPr>
                <w:b/>
                <w:i/>
              </w:rPr>
              <w:t>šajā sakarā aicina Komisiju ieviest konkurētspējas pārbaudi attiecībā uz visiem jaunajiem tiesību aktiem, racionalizēt likumdošanas procesu, piemēram, samazināt automātiskās pārskatīšanas klauzulu skaitu un noteikt moratoriju jauniem nebūtiskiem noteikumiem, kā arī sistemātiski atcelt liekus ziņošanas vai informācijas atklāšanas pienākumus;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aicina atvieglot uzraudzītāju darbu, lai izvairītos no nepamatotiem ierobežojumiem tādu inovatīvu digitālo rīku izmantošanā, kuri var palielināt produktivitāti un konkurētspēju kopumā;</w:t>
            </w:r>
            <w:r>
              <w:t xml:space="preserve"> </w:t>
            </w:r>
            <w:r>
              <w:rPr>
                <w:b/>
                <w:i/>
              </w:rPr>
              <w:t>mudina izmantot uz principiem balstītu un samērīgu pieeju, izvairoties no šķēršļu radīšanas inovācijai;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atzinīgi vērtē Eiropas Centrālās bankas augsta līmeņa darba grupu vienkāršošanas jautājumos;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uzsver, ka ir svarīgi nodrošināt samērīgumu ES banku darbības tiesiskajā regulējumā, ņemot vērā dažādo institūciju lielumu un sarežģītību;</w:t>
            </w:r>
            <w:r>
              <w:t xml:space="preserve"> </w:t>
            </w:r>
            <w:r>
              <w:rPr>
                <w:b/>
                <w:i/>
              </w:rPr>
              <w:t>vērš uzmanību uz mazo banku nozīmi MVU un vietējās ekonomikas atbalstīšanā un aicina Komisiju nodrošināt, ka jebkāds regulējums arī turpmāk ir jutīgs pret risku, līdzsvarots un veicina banku darbības nozares daudzveidību un konkurētspēju visā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atzīst </w:t>
            </w:r>
            <w:r>
              <w:rPr>
                <w:b/>
                <w:i/>
              </w:rPr>
              <w:t>institucionālo un regulatīvo progresu, kas ir palielinājis eurozonas banku noturību</w:t>
            </w:r>
            <w:r>
              <w:t xml:space="preserve">; atzīmē, ka </w:t>
            </w:r>
            <w:r>
              <w:rPr>
                <w:b/>
                <w:i/>
              </w:rPr>
              <w:t>joprojām pastāv šķēršļi ES finanšu pakalpojumu vienotā tirgus potenciāla pilnīgai atraisīšanai;</w:t>
            </w:r>
            <w:r>
              <w:t xml:space="preserve"> </w:t>
            </w:r>
            <w:r>
              <w:rPr>
                <w:b/>
                <w:i/>
              </w:rPr>
              <w:t>aicina Komisiju, dalībvalstis un ES struktūras papildināt vērienīgos mērķus ar konkrētiem pasākumiem, lai pabeigtu UIS un vienotā tirgus izveidi, paātrinot vienkāršošanu un uzlabojot konkurētspēju</w:t>
            </w:r>
            <w:r>
              <w:t>;</w:t>
            </w:r>
          </w:p>
        </w:tc>
        <w:tc>
          <w:tcPr>
            <w:tcW w:w="4876" w:type="dxa"/>
            <w:tcBorders>
              <w:top w:val="nil"/>
              <w:left w:val="nil"/>
              <w:bottom w:val="nil"/>
              <w:right w:val="nil"/>
            </w:tcBorders>
          </w:tcPr>
          <w:p>
            <w:pPr>
              <w:pStyle w:val="Normal6a"/>
            </w:pPr>
            <w:r>
              <w:t>10.</w:t>
            </w:r>
            <w:r>
              <w:tab/>
            </w:r>
            <w:r>
              <w:t xml:space="preserve">atzīst </w:t>
            </w:r>
            <w:r>
              <w:rPr>
                <w:b/>
                <w:i/>
              </w:rPr>
              <w:t>institucionālās izmaiņas noturības jomā</w:t>
            </w:r>
            <w:r>
              <w:t xml:space="preserve">; atzīmē, ka </w:t>
            </w:r>
            <w:r>
              <w:rPr>
                <w:b/>
                <w:i/>
              </w:rPr>
              <w:t>pastāvīgā normatīvo aktu skaita palielināšanās turpina apdraudēt Eiropas banku darbības nozares patieso potenciālu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atzīst institucionālo un regulatīvo progresu, kas ir palielinājis </w:t>
            </w:r>
            <w:r>
              <w:rPr>
                <w:b/>
                <w:i/>
              </w:rPr>
              <w:t>eurozonas</w:t>
            </w:r>
            <w:r>
              <w:t xml:space="preserve"> banku noturību; atzīmē, ka joprojām pastāv šķēršļi ES finanšu pakalpojumu vienotā tirgus potenciāla pilnīgai atraisīšanai; aicina Komisiju, dalībvalstis un ES struktūras papildināt vērienīgos mērķus ar konkrētiem pasākumiem, lai pabeigtu UIS un vienotā tirgus izveidi</w:t>
            </w:r>
            <w:r>
              <w:rPr>
                <w:b/>
                <w:i/>
              </w:rPr>
              <w:t>, paātrinot vienkāršošanu un uzlabojot konkurētspēju</w:t>
            </w:r>
            <w:r>
              <w:t>;</w:t>
            </w:r>
          </w:p>
        </w:tc>
        <w:tc>
          <w:tcPr>
            <w:tcW w:w="4876" w:type="dxa"/>
            <w:tcBorders>
              <w:top w:val="nil"/>
              <w:left w:val="nil"/>
              <w:bottom w:val="nil"/>
              <w:right w:val="nil"/>
            </w:tcBorders>
          </w:tcPr>
          <w:p>
            <w:pPr>
              <w:pStyle w:val="Normal6a"/>
            </w:pPr>
            <w:r>
              <w:t>10.</w:t>
            </w:r>
            <w:r>
              <w:tab/>
            </w:r>
            <w:r>
              <w:t xml:space="preserve">atzīst institucionālo un regulatīvo progresu, kas ir palielinājis </w:t>
            </w:r>
            <w:r>
              <w:rPr>
                <w:b/>
                <w:i/>
              </w:rPr>
              <w:t>ES</w:t>
            </w:r>
            <w:r>
              <w:t xml:space="preserve"> banku noturību; atzīmē, ka joprojām pastāv šķēršļi ES finanšu pakalpojumu vienotā tirgus potenciāla pilnīgai atraisīšanai; aicina Komisiju, dalībvalstis un ES struktūras papildināt vērienīgos mērķus ar konkrētiem pasākumiem, lai pabeigtu UIS un vienotā tirgus izveidi </w:t>
            </w:r>
            <w:r>
              <w:rPr>
                <w:b/>
                <w:i/>
              </w:rPr>
              <w:t>nolūkā likvidēt šķēršļus investīcijām, kas nepieciešamas taisnīgas zaļās pārkārtošanās īstenošanai</w:t>
            </w:r>
            <w:r>
              <w:t xml:space="preserve">; </w:t>
            </w:r>
            <w:r>
              <w:rPr>
                <w:b/>
                <w:i/>
              </w:rPr>
              <w:t>uzsver Taksonomijas regulas nozīmi šajos centienos;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atzīst institucionālo un regulatīvo progresu, kas ir palielinājis eurozonas banku noturību; atzīmē, ka joprojām pastāv šķēršļi ES finanšu pakalpojumu vienotā tirgus potenciāla pilnīgai atraisīšanai; aicina Komisiju, dalībvalstis un ES struktūras papildināt vērienīgos mērķus ar konkrētiem pasākumiem, lai pabeigtu UIS un vienotā tirgus izveidi, paātrinot vienkāršošanu un uzlabojot konkurētspēju;</w:t>
            </w:r>
          </w:p>
        </w:tc>
        <w:tc>
          <w:tcPr>
            <w:tcW w:w="4876" w:type="dxa"/>
            <w:tcBorders>
              <w:top w:val="nil"/>
              <w:left w:val="nil"/>
              <w:bottom w:val="nil"/>
              <w:right w:val="nil"/>
            </w:tcBorders>
          </w:tcPr>
          <w:p>
            <w:pPr>
              <w:pStyle w:val="Normal6a"/>
            </w:pPr>
            <w:r>
              <w:t>10.</w:t>
            </w:r>
            <w:r>
              <w:tab/>
            </w:r>
            <w:r>
              <w:t xml:space="preserve">atzīst institucionālo un regulatīvo progresu, kas ir palielinājis eurozonas banku noturību; atzīmē, ka joprojām pastāv </w:t>
            </w:r>
            <w:r>
              <w:rPr>
                <w:b/>
                <w:i/>
              </w:rPr>
              <w:t>būtiski</w:t>
            </w:r>
            <w:r>
              <w:t xml:space="preserve"> šķēršļi ES finanšu pakalpojumu vienotā tirgus potenciāla pilnīgai atraisīšanai; aicina Komisiju, dalībvalstis un ES struktūras papildināt vērienīgos mērķus ar konkrētiem pasākumiem, lai pabeigtu UIS un vienotā tirgus izveidi, paātrinot vienkāršošanu un uzlabojot konkurētspēju; </w:t>
            </w:r>
            <w:r>
              <w:rPr>
                <w:b/>
                <w:i/>
              </w:rPr>
              <w:t>aicina Komisiju savā 2026. gada ziņojumā par ES banku darbības nozares konkurētspēju izvirzīt vērienīgus un apņēmīgus mērķus, neaprobežojoties tikai ar vienkāršošanu vien un nākot klajā ar konkrētiem un īstenojamiem priekšlikumiem, lai stiprinātu tirgus integrāciju, vienlīdzīgus konkurences apstākļus starptautiskā līmenī un Eiropas banku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ka, ņemot vērā pašreizējo ģeopolitisko nenoteiktību, akciju tirgu iespējamo pārvērtēšanu un nesenos satricinājumus ASV, ko izraisīja nepārredzama aizdošana nebanku (privāto kredītu) sektorā, uzraudzības institūcijām būtu jāsaglabā uz nākotni vērsta perspektīva un pietiekamā mērā jāuzrauga riski un ka bankām būtu jāuztur pienācīgas kapitāla rezerves un jābūt operacionāli noturīgām;</w:t>
            </w:r>
            <w:r>
              <w:t xml:space="preserve"> </w:t>
            </w:r>
            <w:r>
              <w:rPr>
                <w:b/>
                <w:i/>
              </w:rPr>
              <w:t>šajā sakarā uzsver nepieciešamību uzlabot nebanku finanšu starpnieku uzraudzību un noturību;</w:t>
            </w:r>
            <w:r>
              <w:t xml:space="preserve"> </w:t>
            </w:r>
            <w:r>
              <w:rPr>
                <w:b/>
                <w:i/>
              </w:rPr>
              <w:t>uzsver, ka piesardzīga uzraudzība šodien var aizsargāt nodokļu maksātājus, noguldītājus un reālo ekonomiku no zaudējumiem rītdien;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mudina banku darbības nozari arvien vairāk izmantot mākslīgo intelektu, atzīstot tā potenciālu efektivitātes, inovācijas un patērētājiem sniegto pakalpojumu uzlabošanā un krāpšanas novēršanas pastiprināšanā;</w:t>
            </w:r>
            <w:r>
              <w:t xml:space="preserve"> </w:t>
            </w:r>
            <w:r>
              <w:rPr>
                <w:b/>
                <w:i/>
              </w:rPr>
              <w:t>uzsver, ka ES līmeņa regulējums nedrīkst kļūt par šķērsli tehnoloģiskajai inovācijai un tās pieņemšanai banku darbības nozarē, radot nenoteiktību un neskaidrību tirgus dalībniekiem par noteikumiem atbilstošu MI izmantošanu;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atzinīgi vērtē ECB 2025. gada decembra ziņojumu par Eiropas prudenciālās regulatīvās, uzraudzības un ziņošanas sistēmas vienkāršošanu un EBI ziņojumu par regulatīvā un uzraudzības satvara efektivitāti;</w:t>
            </w:r>
            <w:r>
              <w:t xml:space="preserve"> </w:t>
            </w:r>
            <w:r>
              <w:rPr>
                <w:b/>
                <w:i/>
              </w:rPr>
              <w:t>aicina Komisiju gaidāmās banku savienības konkurētspējas pārskatīšanas ietvaros veikt atbilstošus pēcpasākumus, ņemot vērā minētos ziņojumus, un pilnveidot šajos ziņojumos iekļautos priekšlikumus;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aicina ECB veikt atbilstošus pasākumus, lai likvidētu jebkādus šķēršļus, kas kavē īstermiņa nenodrošinātu starpbanku tirgu ― kas kopš lielās finanšu krīzes ir būtiski samazināti ― atgūšanos;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uzskata, ka nav tikusi veltīta pienācīga uzmanība ļoti svarīgajai problēmai "pārāk liels, lai bankrotētu" un ka joprojām ir pamats strukturālas reformas veikšanai;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atzinīgi vērtē Komisijas apņēmīgo ieceri 2026. gadā izvērtēt Eiropas banku darbības nozares konkurētspēju;</w:t>
            </w:r>
            <w:r>
              <w:t xml:space="preserve"> </w:t>
            </w:r>
            <w:r>
              <w:rPr>
                <w:b/>
                <w:i/>
              </w:rPr>
              <w:t>aicina Komisiju nākt klajā ar vērienīgu ziņojumu, kam būtu pievienoti tiesību aktu priekšlikumi, lai būtiski uzlabotu Eiropas banku darbības nozares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mudina ECB likvidēt visus atlikušos šķēršļus, kas kavē pārrobežu banku apvienošanos, vienlaikus nodrošinot finanšu stabilitāti un veicinot Eiropas banku pakalpojumu tirgu integrāciju;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uzsver, ka Eiropas banku darbības noteikumi ir labāk jāpielāgo institūciju lielumam, uzņēmējdarbības modelim, sarežģītībai un riska profilam;</w:t>
            </w:r>
            <w:r>
              <w:t xml:space="preserve"> </w:t>
            </w:r>
            <w:r>
              <w:rPr>
                <w:b/>
                <w:i/>
              </w:rPr>
              <w:t>vērš uzmanību uz to, ka citas lielākās jurisdikcijas ir izvēlējušās mazām bankām piemērot īpaši izstrādātu un samērīgāku režīmu;</w:t>
            </w:r>
            <w:r>
              <w:t xml:space="preserve"> </w:t>
            </w:r>
            <w:r>
              <w:rPr>
                <w:b/>
                <w:i/>
              </w:rPr>
              <w:t>aicina Komisiju izmantot gaidāmo banku konkurētspējas pārskatīšanu kā iespēju izstrādāt patiesu mazām bankām paredzētu režīmu, ko piemērotu mazām bankām, kuras nav aktīvas starptautiskā līmenī; šim režīmam vajadzētu būt ievērojami vienkāršākam nekā ļoti sarežģītās prudenciālās un uzraudzības prasības, ko pašlaik piemēro visām Eiropas bankām un kas galvenokārt tika izstrādātas lielām, starptautiski aktīvām un sistēmiski nozīmīgām banku grupām;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atzīmē, ka regulējums, kas skar banku darbības nozari, varētu būt samērīgāks, un pauž nožēlu par pārmērīgo slogu mazajām bankām, jo tas kavē šo banku izaugsmi un konkurētspēju; mudina izstrādāt patiesu mazām bankām paredzētu noteikumu kopumu, ko tās varētu izvēlēties piemērot;</w:t>
            </w:r>
            <w:r>
              <w:t xml:space="preserve"> </w:t>
            </w:r>
            <w:r>
              <w:rPr>
                <w:b/>
                <w:i/>
              </w:rPr>
              <w:t>uzskata, ka ierosinātais mazo banku režīms atbildīs šo banku vajadzībām, jo tas nodrošinās samērīgāku regulējumu, kādu jau ir ieviesušas citas jurisdikcijas un globāli finanšu centri;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ar bažām atzīmē, ka joprojām ļoti augsta ir banku pakļautība iekšzemes valsts parādam;</w:t>
            </w:r>
            <w:r>
              <w:t xml:space="preserve"> </w:t>
            </w:r>
            <w:r>
              <w:rPr>
                <w:b/>
                <w:i/>
              </w:rPr>
              <w:t>atgādina, ka viens no izaicinājumiem banku savienībai joprojām ir saiknes starp banku risku un valsts maksātnespējas risku pārraušana;</w:t>
            </w:r>
            <w:r>
              <w:t xml:space="preserve"> </w:t>
            </w:r>
            <w:r>
              <w:rPr>
                <w:b/>
                <w:i/>
              </w:rPr>
              <w:t>uzsver, ka ar banku bilanci saistīto risku ir iespējams samazināt vēl vairāk, finanšu institūciju turētiem valsts parāda vērtspapīriem piemērojot atbilstošāku regulatīvo režīmu;</w:t>
            </w:r>
            <w:r>
              <w:t xml:space="preserve"> </w:t>
            </w:r>
            <w:r>
              <w:rPr>
                <w:b/>
                <w:i/>
              </w:rPr>
              <w:t>aicina Komisiju iesniegt tiesību akta priekšlikumu, ar ko ievieš atbilstošu riska svērumu finanšu institūciju turētiem valsts parāda vērtspapīriem;</w:t>
            </w:r>
            <w:r>
              <w:t xml:space="preserve"> </w:t>
            </w:r>
            <w:r>
              <w:rPr>
                <w:b/>
                <w:i/>
              </w:rPr>
              <w:t>vērš uzmanību uz to, ka augošais valsts parāds padara steidzamāku nepieciešamību ieviest finanšu institūciju turētiem valsts parāda vērtspapīriem piemērojamu atbilstošu režīmu;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mudina turpināt ES finanšu noteikumu kopuma visaptverošu racionalizēšanu, atceļot liekos ziņošanas vai informācijas atklāšanas pienākumus;</w:t>
            </w:r>
            <w:r>
              <w:t xml:space="preserve"> </w:t>
            </w:r>
            <w:r>
              <w:rPr>
                <w:b/>
                <w:i/>
              </w:rPr>
              <w:t>aicina vienkāršot kapitāla piramīdu, samazinot pārklājošos rezervju un papildu uzraudzības prasību skaitu, lai izveidotu skaidrāku un pārredzamāku kapitāla prasību hierarhiju;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norāda uz bankām paredzētā Eiropas tirgus sadrumstalotību, kas mazina efektivitāti un rada noteikumu pārklāšanos un prasību dublēšanos, arī patērētāju tiesību aizsardzības jomā;</w:t>
            </w:r>
            <w:r>
              <w:t xml:space="preserve"> </w:t>
            </w:r>
            <w:r>
              <w:rPr>
                <w:b/>
                <w:i/>
              </w:rPr>
              <w:t>uzsver nepieciešamību pabeigt bankām paredzētā vienotā tirgus izveidi un mazināt pašreizējo strukturālo norobežošanu, kas liek meitasuzņēmumiem turēt kapitālu un likviditāti vietējā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aicina Komisiju apsvērt iespēju vēl vairāk palielināt Eiropas Banku iestādes lomu un paplašināt tās uzdevumus, lai labāk ņemtu vērā regulatīvo un uzraudzības standartu ietekmi uz inovāciju un ES banku darbības nozares starptautisko konkurētspēju, neskarot tās galvenās prudenciālās pilnvaras;</w:t>
            </w:r>
            <w:r>
              <w:t xml:space="preserve"> </w:t>
            </w:r>
            <w:r>
              <w:rPr>
                <w:b/>
                <w:i/>
              </w:rPr>
              <w:t>uzsver, ka inovācijai labvēlīgas un samērīgas uzraudzības prakses veicināšana ir svarīga, lai nodrošinātu, ka banku savienība saglabā savu noturību, konkurētspēju un spēju atbalstīt reālās ekonomikas izaugsmi;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atzīmē, ka VUM apkopotais banku pirmā līmeņa pamata kapitāla (CET1) rādītājs 2025. gada </w:t>
            </w:r>
            <w:r>
              <w:rPr>
                <w:b/>
                <w:i/>
              </w:rPr>
              <w:t>2</w:t>
            </w:r>
            <w:r>
              <w:t xml:space="preserve">. ceturksnī bija </w:t>
            </w:r>
            <w:r>
              <w:rPr>
                <w:b/>
                <w:i/>
              </w:rPr>
              <w:t>16,12</w:t>
            </w:r>
            <w:r>
              <w:t xml:space="preserve"> % un pašu kapitāla atdeve (ROE) – </w:t>
            </w:r>
            <w:r>
              <w:rPr>
                <w:b/>
                <w:i/>
              </w:rPr>
              <w:t>10,11</w:t>
            </w:r>
            <w:r>
              <w:t> %, savukārt ienākumus nenesošie aizdevumi (INA) bija samazinājušies līdz 2,22 % un otrā posma aizdevumi bija 9,59 %</w:t>
            </w:r>
            <w:r>
              <w:rPr>
                <w:vertAlign w:val="superscript"/>
              </w:rPr>
              <w:t>15</w:t>
            </w:r>
            <w:r>
              <w:t>; uzsver nepieciešamību uzraudzīt kredītrisku, vienlaikus saglabājot banku darbības nozares noturībai pietiekamu kapitālu un likviditāti;</w:t>
            </w:r>
          </w:p>
        </w:tc>
        <w:tc>
          <w:tcPr>
            <w:tcW w:w="4876" w:type="dxa"/>
            <w:tcBorders>
              <w:top w:val="nil"/>
              <w:left w:val="nil"/>
              <w:bottom w:val="nil"/>
              <w:right w:val="nil"/>
            </w:tcBorders>
          </w:tcPr>
          <w:p>
            <w:pPr>
              <w:pStyle w:val="Normal6a"/>
            </w:pPr>
            <w:r>
              <w:t>11.</w:t>
            </w:r>
            <w:r>
              <w:tab/>
            </w:r>
            <w:r>
              <w:t xml:space="preserve">atzīmē, ka VUM apkopotais banku pirmā līmeņa pamata kapitāla (CET1) rādītājs 2025. gada </w:t>
            </w:r>
            <w:r>
              <w:rPr>
                <w:b/>
                <w:i/>
              </w:rPr>
              <w:t>3</w:t>
            </w:r>
            <w:r>
              <w:t xml:space="preserve">. ceturksnī bija </w:t>
            </w:r>
            <w:r>
              <w:rPr>
                <w:b/>
                <w:i/>
              </w:rPr>
              <w:t>16,10</w:t>
            </w:r>
            <w:r>
              <w:t xml:space="preserve"> % un pašu kapitāla atdeve (ROE) – </w:t>
            </w:r>
            <w:r>
              <w:rPr>
                <w:b/>
                <w:i/>
              </w:rPr>
              <w:t>9,88</w:t>
            </w:r>
            <w:r>
              <w:t xml:space="preserve"> %, savukārt ienākumus nenesošie aizdevumi (INA) bija samazinājušies līdz 2,22 % un otrā posma aizdevumi bija 9,59 %</w:t>
            </w:r>
            <w:r>
              <w:rPr>
                <w:vertAlign w:val="superscript"/>
              </w:rPr>
              <w:t>15</w:t>
            </w:r>
            <w:r>
              <w:t>; uzsver nepieciešamību uzraudzīt kredītrisku, vienlaikus saglabājot banku darbības nozares noturībai pietiekamu kapitālu un likviditāti;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 xml:space="preserve">ECB, </w:t>
            </w:r>
            <w:r>
              <w:rPr>
                <w:b/>
                <w:i/>
              </w:rPr>
              <w:t>Statistika par</w:t>
            </w:r>
            <w:r>
              <w:t xml:space="preserve"> banku darbības nozares </w:t>
            </w:r>
            <w:r>
              <w:rPr>
                <w:b/>
                <w:i/>
              </w:rPr>
              <w:t>uzraudzību, 2025. gada 2. ceturksnis</w:t>
            </w:r>
            <w:r>
              <w:t>.</w:t>
            </w:r>
          </w:p>
        </w:tc>
        <w:tc>
          <w:tcPr>
            <w:tcW w:w="4876" w:type="dxa"/>
            <w:tcBorders>
              <w:top w:val="nil"/>
              <w:left w:val="nil"/>
              <w:bottom w:val="nil"/>
              <w:right w:val="nil"/>
            </w:tcBorders>
          </w:tcPr>
          <w:p>
            <w:pPr>
              <w:pStyle w:val="Normal6a"/>
            </w:pPr>
            <w:r>
              <w:rPr>
                <w:vertAlign w:val="superscript"/>
              </w:rPr>
              <w:t>15</w:t>
            </w:r>
            <w:r>
              <w:t xml:space="preserve"> </w:t>
            </w:r>
            <w:r>
              <w:t xml:space="preserve">ECB, Banku darbības nozares </w:t>
            </w:r>
            <w:r>
              <w:rPr>
                <w:b/>
                <w:i/>
              </w:rPr>
              <w:t>uzraudzības statistika (2025. gada 3. cet</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atzīmē, ka VUM apkopotais banku pirmā līmeņa pamata kapitāla (CET1) rādītājs 2025. gada 2. ceturksnī bija 16,12 % un pašu kapitāla atdeve (ROE) – 10,11 %, savukārt ienākumus nenesošie aizdevumi (INA) bija samazinājušies līdz 2,22 % un otrā posma aizdevumi bija 9,59 %</w:t>
            </w:r>
            <w:r>
              <w:rPr>
                <w:b/>
                <w:i/>
                <w:vertAlign w:val="superscript"/>
              </w:rPr>
              <w:t>15</w:t>
            </w:r>
            <w:r>
              <w:t>; uzsver nepieciešamību uzraudzīt kredītrisku, vienlaikus saglabājot banku darbības nozares noturībai pietiekamu kapitālu un likviditāti;</w:t>
            </w:r>
          </w:p>
        </w:tc>
        <w:tc>
          <w:tcPr>
            <w:tcW w:w="4876" w:type="dxa"/>
            <w:tcBorders>
              <w:top w:val="nil"/>
              <w:left w:val="nil"/>
              <w:bottom w:val="nil"/>
              <w:right w:val="nil"/>
            </w:tcBorders>
          </w:tcPr>
          <w:p>
            <w:pPr>
              <w:pStyle w:val="Normal6a"/>
            </w:pPr>
            <w:r>
              <w:t>11.</w:t>
            </w:r>
            <w:r>
              <w:tab/>
            </w:r>
            <w:r>
              <w:t xml:space="preserve">atzīmē, ka VUM apkopotais banku pirmā līmeņa pamata kapitāla (CET1) rādītājs 2025. gada 2. ceturksnī bija 16,12 % un pašu kapitāla atdeve (ROE) – 10,11 %, savukārt ienākumus nenesošie aizdevumi (INA) bija samazinājušies līdz 2,22 % un otrā posma aizdevumi bija 9,59 %; uzsver nepieciešamību uzraudzīt kredītrisku, vienlaikus saglabājot banku darbības nozares noturībai pietiekamu kapitālu un likviditāti; </w:t>
            </w:r>
            <w:r>
              <w:rPr>
                <w:b/>
                <w:i/>
              </w:rPr>
              <w:t>vērš uzmanību uz to, ka, neraugoties uz minēto progresu riska mazināšanā, atbilstošs progress riska dalīšanā nav panākts;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Statistika par banku darbības nozares uzraudzību, 2025. gada 2. ceturksnis.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vērš uzmanību uz nelabvēlīgajiem makroekonomiskajiem apstākļiem un ģeopolitiskajiem faktoriem, kas varētu izraisīt aktīvu kvalitātes pazemināšanos;</w:t>
            </w:r>
            <w:r>
              <w:t xml:space="preserve"> </w:t>
            </w:r>
            <w:r>
              <w:rPr>
                <w:b/>
                <w:i/>
              </w:rPr>
              <w:t>tādēļ uzsver, ka liela nozīme ir piesardzīgai riska pārvaldībai un atbilstošai uzkrājumu veidošanai;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uzsver, ka eurozonas banku pakļautība valsts parādam joprojām ir augsta, un vērš uzmanību uz risku, kas saistīts ar šādu pakļautību;</w:t>
            </w:r>
            <w:r>
              <w:t xml:space="preserve"> </w:t>
            </w:r>
            <w:r>
              <w:rPr>
                <w:b/>
                <w:i/>
              </w:rPr>
              <w:t>atgādina, ka viens no banku savienības galvenajiem mērķiem ir pārraut apburto loku starp valsts finanšu stāvokli un tās bankām;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uzsver, ka Finanšu stabilitātes padome, Eiropas Sistēmisko risku kolēģija (ESRK) un citas starptautiskās un Eiropas institūcijas ir atkārtoti norādījušas uz risku, ko rada nebanku finanšu nozare, it īpaši tāpēc, ka ir palielinājusies tās savstarpējā saikne ar tradicionālo banku darbības nozari;</w:t>
            </w:r>
            <w:r>
              <w:t xml:space="preserve"> </w:t>
            </w:r>
            <w:r>
              <w:rPr>
                <w:b/>
                <w:i/>
              </w:rPr>
              <w:t>atbalsta Eurosistēmas ieteikumu ieviest sistēmas mēroga spriedzes testus, lai identificētu riskus, kas apdraud svarīgāko tirgu noturību, un noteiktu šo risku skaitu;</w:t>
            </w:r>
            <w:r>
              <w:t xml:space="preserve"> </w:t>
            </w:r>
            <w:r>
              <w:rPr>
                <w:b/>
                <w:i/>
              </w:rPr>
              <w:t>mudina Komisiju izpētīt, vai uzraudzības instrumentu kopumā ir trūkumi, tostarp tādi, kas saistīti ar iespējamu likviditātes krīzi un ietekmi uz sistēmisko risku;</w:t>
            </w:r>
            <w:r>
              <w:t xml:space="preserve"> </w:t>
            </w:r>
            <w:r>
              <w:rPr>
                <w:b/>
                <w:i/>
              </w:rPr>
              <w:t>aicina Komisiju nākt klajā ar atbilstošiem tiesību aktu priekšlikumiem, lai aizsargātu finanšu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w:t>
            </w:r>
            <w:r>
              <w:rPr>
                <w:b/>
                <w:i/>
              </w:rPr>
              <w:t>standartu savlaicīgas, pilnīgas un pareizas īstenošanas nozīmi, lai palielinātu noturību un uzlabotu konkurētspēju;</w:t>
            </w:r>
            <w:r>
              <w:t xml:space="preserve"> </w:t>
            </w:r>
            <w:r>
              <w:rPr>
                <w:b/>
                <w:i/>
              </w:rPr>
              <w:t>pauž nožēlu par novirzēm un aicina Komisiju 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uzsver</w:t>
            </w:r>
            <w:r>
              <w:rPr>
                <w:b/>
                <w:i/>
              </w:rPr>
              <w:t>, ka</w:t>
            </w:r>
            <w:r>
              <w:t xml:space="preserve"> "Bāzele III" </w:t>
            </w:r>
            <w:r>
              <w:rPr>
                <w:b/>
                <w:i/>
              </w:rPr>
              <w:t>noteikumi būtu jāpielāgo Eiropas banku darbības nozares īpatnībām, ņemot vērā proporcionalitātes kritēriju un mazākām bankām paredzētu vienkāršojumu ieviešanu saskaņā ar Eiropas Centrālās bankas augsta līmeņa darba grupas vienkāršošanas jautājumos ieteikumiem, kurus atbalstījusi ECB Padome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w:t>
            </w:r>
            <w:r>
              <w:rPr>
                <w:b/>
                <w:i/>
              </w:rPr>
              <w:t>standartu savlaicīgas, pilnīgas un pareizas īstenošanas nozīmi, lai palielinātu noturību un uzlabotu</w:t>
            </w:r>
            <w:r>
              <w:t xml:space="preserve"> konkurētspēju</w:t>
            </w:r>
            <w:r>
              <w:rPr>
                <w:b/>
                <w:i/>
              </w:rPr>
              <w:t>;</w:t>
            </w:r>
            <w:r>
              <w:t xml:space="preserve"> </w:t>
            </w:r>
            <w:r>
              <w:rPr>
                <w:b/>
                <w:i/>
              </w:rPr>
              <w:t>pauž nožēlu par novirzēm un aicina Komisiju 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 xml:space="preserve">uzsver </w:t>
            </w:r>
            <w:r>
              <w:rPr>
                <w:b/>
                <w:i/>
              </w:rPr>
              <w:t>nepieciešamību piemērot</w:t>
            </w:r>
            <w:r>
              <w:t xml:space="preserve"> "Bāzele III" </w:t>
            </w:r>
            <w:r>
              <w:rPr>
                <w:b/>
                <w:i/>
              </w:rPr>
              <w:t>standartus tādā veidā, ka tiek ņemtas vērā globālās norises un nepieciešamība aizsargāt Eiropas banku</w:t>
            </w:r>
            <w:r>
              <w:t xml:space="preserve"> konkurētspēju </w:t>
            </w:r>
            <w:r>
              <w:rPr>
                <w:b/>
                <w:i/>
              </w:rPr>
              <w:t>starptautiskā līmenī;</w:t>
            </w:r>
            <w:r>
              <w:t xml:space="preserve"> </w:t>
            </w:r>
            <w:r>
              <w:rPr>
                <w:b/>
                <w:i/>
              </w:rPr>
              <w:t>ar bažām atzīmē, ka citas jurisdikcijas ir izvēlējušās mazāk vērienīgu īstenošanas programmu</w:t>
            </w:r>
            <w:r>
              <w:t xml:space="preserve">; </w:t>
            </w:r>
            <w:r>
              <w:rPr>
                <w:b/>
                <w:i/>
              </w:rPr>
              <w:t>uzsver, ka Komisijai būtu rūpīgi jāizvērtē, vai īstenošanas novilcināšana ir nepieciešama, lai saglabātu ES banku konkurētspēju starptautiskā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w:t>
            </w:r>
            <w:r>
              <w:rPr>
                <w:b/>
                <w:i/>
              </w:rPr>
              <w:t>savlaicīgas, pilnīgas un pareizas īstenošanas nozīmi, lai palielinātu</w:t>
            </w:r>
            <w:r>
              <w:t xml:space="preserve"> noturību un uzlabotu konkurētspēju; </w:t>
            </w:r>
            <w:r>
              <w:rPr>
                <w:b/>
                <w:i/>
              </w:rPr>
              <w:t>pauž nožēlu par novirzēm un aicina Komisiju 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 xml:space="preserve">uzsver </w:t>
            </w:r>
            <w:r>
              <w:rPr>
                <w:b/>
                <w:i/>
              </w:rPr>
              <w:t>nepieciešamību nodrošināt</w:t>
            </w:r>
            <w:r>
              <w:t xml:space="preserve"> “Bāzele III” standartu </w:t>
            </w:r>
            <w:r>
              <w:rPr>
                <w:b/>
                <w:i/>
              </w:rPr>
              <w:t>piemērošanu, lai pastiprinātu</w:t>
            </w:r>
            <w:r>
              <w:t xml:space="preserve"> noturību un uzlabotu </w:t>
            </w:r>
            <w:r>
              <w:rPr>
                <w:b/>
                <w:i/>
              </w:rPr>
              <w:t>globālo</w:t>
            </w:r>
            <w:r>
              <w:t xml:space="preserve"> konkurētspēju; </w:t>
            </w:r>
            <w:r>
              <w:rPr>
                <w:b/>
                <w:i/>
              </w:rPr>
              <w:t>atzīmē, ka joprojām trūkst skaidrības par īstenošanu dažās lielākajās trešo valstu jurisdikcijās, un uzsver, ka finanšu stabilitātes, Bāzeles satvara integritātes un vienlīdzīgu konkurences apstākļu saglabāšana ir būtiska, lai nodrošinātu ilgtermiņa konkurētspēju starptautiskā kontekstā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w:t>
            </w:r>
            <w:r>
              <w:rPr>
                <w:b/>
                <w:i/>
              </w:rPr>
              <w:t>standartu savlaicīgas, pilnīgas un pareizas īstenošanas nozīmi, lai palielinātu</w:t>
            </w:r>
            <w:r>
              <w:t xml:space="preserve"> noturību un </w:t>
            </w:r>
            <w:r>
              <w:rPr>
                <w:b/>
                <w:i/>
              </w:rPr>
              <w:t>uzlabotu</w:t>
            </w:r>
            <w:r>
              <w:t xml:space="preserve"> konkurētspēju; </w:t>
            </w:r>
            <w:r>
              <w:rPr>
                <w:b/>
                <w:i/>
              </w:rPr>
              <w:t>pauž nožēlu par novirzēm un</w:t>
            </w:r>
            <w:r>
              <w:t xml:space="preserve"> aicina Komisiju </w:t>
            </w:r>
            <w:r>
              <w:rPr>
                <w:b/>
                <w:i/>
              </w:rPr>
              <w:t>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uzsver</w:t>
            </w:r>
            <w:r>
              <w:rPr>
                <w:b/>
                <w:i/>
              </w:rPr>
              <w:t>, ka</w:t>
            </w:r>
            <w:r>
              <w:t> “Bāzele III” </w:t>
            </w:r>
            <w:r>
              <w:rPr>
                <w:b/>
                <w:i/>
              </w:rPr>
              <w:t>standartus ir svarīgi savlaicīgi, pilnībā un precīzi piemērot tikai tiktāl, ciktāl tie pastiprina</w:t>
            </w:r>
            <w:r>
              <w:t xml:space="preserve"> noturību un </w:t>
            </w:r>
            <w:r>
              <w:rPr>
                <w:b/>
                <w:i/>
              </w:rPr>
              <w:t>uzlabo</w:t>
            </w:r>
            <w:r>
              <w:t xml:space="preserve"> konkurētspēju; </w:t>
            </w:r>
            <w:r>
              <w:rPr>
                <w:b/>
                <w:i/>
              </w:rPr>
              <w:t>ar bažām atzīmē, ka citas jurisdikcijas ir izvēlējušās mazāk vērienīgu īstenošanas programmu un ka tas var apdraudēt vienlīdzīgus konkurences apstākļus starptautiskā līmenī;</w:t>
            </w:r>
            <w:r>
              <w:t xml:space="preserve"> aicina Komisiju </w:t>
            </w:r>
            <w:r>
              <w:rPr>
                <w:b/>
                <w:i/>
              </w:rPr>
              <w:t>izvērtēt un nodrošināt ES banku konkurētspēju starptautiskā līmenī, nevājinot to noturību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w:t>
            </w:r>
            <w:r>
              <w:rPr>
                <w:b/>
                <w:i/>
              </w:rPr>
              <w:t>standartu savlaicīgas, pilnīgas un pareizas īstenošanas nozīmi, lai palielinātu</w:t>
            </w:r>
            <w:r>
              <w:t xml:space="preserve"> noturību un uzlabotu konkurētspēju; pauž nožēlu par novirzēm </w:t>
            </w:r>
            <w:r>
              <w:rPr>
                <w:b/>
                <w:i/>
              </w:rPr>
              <w:t>un aicina Komisiju 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uzsver</w:t>
            </w:r>
            <w:r>
              <w:rPr>
                <w:b/>
                <w:i/>
              </w:rPr>
              <w:t>, ka</w:t>
            </w:r>
            <w:r>
              <w:t xml:space="preserve"> “Bāzele III” </w:t>
            </w:r>
            <w:r>
              <w:rPr>
                <w:b/>
                <w:i/>
              </w:rPr>
              <w:t>standartus ir svarīgi savlaicīgi, pilnībā un precīzi piemērot tikai starptautiski aktīvām bankām ― kurām šie standarti tika izstrādāti ―, lai pastiprinātu</w:t>
            </w:r>
            <w:r>
              <w:t xml:space="preserve"> noturību un uzlabotu konkurētspēju; pauž nožēlu par novirzēm;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uzsver “Bāzele III” standartu savlaicīgas</w:t>
            </w:r>
            <w:r>
              <w:rPr>
                <w:b/>
                <w:i/>
              </w:rPr>
              <w:t>, pilnīgas un pareizas īstenošanas</w:t>
            </w:r>
            <w:r>
              <w:t xml:space="preserve"> nozīmi, lai </w:t>
            </w:r>
            <w:r>
              <w:rPr>
                <w:b/>
                <w:i/>
              </w:rPr>
              <w:t>palielinātu</w:t>
            </w:r>
            <w:r>
              <w:t xml:space="preserve"> noturību un uzlabotu konkurētspēju; </w:t>
            </w:r>
            <w:r>
              <w:rPr>
                <w:b/>
                <w:i/>
              </w:rPr>
              <w:t>pauž nožēlu par novirzēm un</w:t>
            </w:r>
            <w:r>
              <w:t xml:space="preserve"> aicina Komisiju </w:t>
            </w:r>
            <w:r>
              <w:rPr>
                <w:b/>
                <w:i/>
              </w:rPr>
              <w:t>pārskatīt lēmumus</w:t>
            </w:r>
            <w:r>
              <w:t xml:space="preserve"> par līdzvērtību ar jurisdikcijām, </w:t>
            </w:r>
            <w:r>
              <w:rPr>
                <w:b/>
                <w:i/>
              </w:rPr>
              <w:t>kas šos</w:t>
            </w:r>
            <w:r>
              <w:t xml:space="preserve"> standartus </w:t>
            </w:r>
            <w:r>
              <w:rPr>
                <w:b/>
                <w:i/>
              </w:rPr>
              <w:t>nepiemēro</w:t>
            </w:r>
            <w:r>
              <w:t>;</w:t>
            </w:r>
          </w:p>
        </w:tc>
        <w:tc>
          <w:tcPr>
            <w:tcW w:w="4876" w:type="dxa"/>
            <w:tcBorders>
              <w:top w:val="nil"/>
              <w:left w:val="nil"/>
              <w:bottom w:val="nil"/>
              <w:right w:val="nil"/>
            </w:tcBorders>
          </w:tcPr>
          <w:p>
            <w:pPr>
              <w:pStyle w:val="Normal6a"/>
            </w:pPr>
            <w:r>
              <w:t>12.</w:t>
            </w:r>
            <w:r>
              <w:tab/>
            </w:r>
            <w:r>
              <w:t xml:space="preserve">uzsver “Bāzele III” standartu savlaicīgas </w:t>
            </w:r>
            <w:r>
              <w:rPr>
                <w:b/>
                <w:i/>
              </w:rPr>
              <w:t>un precīzas piemērošanas</w:t>
            </w:r>
            <w:r>
              <w:t xml:space="preserve"> nozīmi, lai </w:t>
            </w:r>
            <w:r>
              <w:rPr>
                <w:b/>
                <w:i/>
              </w:rPr>
              <w:t>pastiprinātu</w:t>
            </w:r>
            <w:r>
              <w:t xml:space="preserve"> noturību un uzlabotu konkurētspēju; </w:t>
            </w:r>
            <w:r>
              <w:rPr>
                <w:b/>
                <w:i/>
              </w:rPr>
              <w:t>atzīmē pašreizējo skaidrības trūkumu attiecībā uz “Bāzele III” standartu piemērošanu dažās citās jurisdikcijās un iespējamo apdraudējumu vienlīdzīgiem konkurences apstākļiem starptautiskā līmenī;</w:t>
            </w:r>
            <w:r>
              <w:t xml:space="preserve"> </w:t>
            </w:r>
            <w:r>
              <w:rPr>
                <w:b/>
                <w:i/>
              </w:rPr>
              <w:t>uzsver, ka Komisijai būtu jāizvērtē, vai mērķtiecīgas izmaiņas varētu palīdzēt saglabāt ES banku starptautisko konkurētspēju, nevājinot to noturību;</w:t>
            </w:r>
            <w:r>
              <w:t xml:space="preserve"> aicina Komisiju </w:t>
            </w:r>
            <w:r>
              <w:rPr>
                <w:b/>
                <w:i/>
              </w:rPr>
              <w:t>izvērtēt, vai nolūkā saglabāt ES finanšu nozares finanšu stabilitāti, nebūtu jāpārskata lēmumi</w:t>
            </w:r>
            <w:r>
              <w:t xml:space="preserve"> par līdzvērtību</w:t>
            </w:r>
            <w:r>
              <w:rPr>
                <w:b/>
                <w:i/>
              </w:rPr>
              <w:t>, kas pieņemti</w:t>
            </w:r>
            <w:r>
              <w:t xml:space="preserve"> ar jurisdikcijām, </w:t>
            </w:r>
            <w:r>
              <w:rPr>
                <w:b/>
                <w:i/>
              </w:rPr>
              <w:t>kuras nepiemēro “Bāzele III”</w:t>
            </w:r>
            <w:r>
              <w:t xml:space="preserve">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w:t>
            </w:r>
            <w:r>
              <w:rPr>
                <w:b/>
                <w:i/>
              </w:rPr>
              <w:t>savlaicīgas, pilnīgas un pareizas īstenošanas nozīmi, lai palielinātu</w:t>
            </w:r>
            <w:r>
              <w:t xml:space="preserve"> noturību un </w:t>
            </w:r>
            <w:r>
              <w:rPr>
                <w:b/>
                <w:i/>
              </w:rPr>
              <w:t>uzlabotu</w:t>
            </w:r>
            <w:r>
              <w:t xml:space="preserve"> konkurētspēju; pauž nožēlu par novirzēm un aicina Komisiju </w:t>
            </w:r>
            <w:r>
              <w:rPr>
                <w:b/>
                <w:i/>
              </w:rPr>
              <w:t>pārskatīt</w:t>
            </w:r>
            <w:r>
              <w:t xml:space="preserve"> lēmumus par līdzvērtību ar jurisdikcijām, kas šos standartus nepiemēro;</w:t>
            </w:r>
          </w:p>
        </w:tc>
        <w:tc>
          <w:tcPr>
            <w:tcW w:w="4876" w:type="dxa"/>
            <w:tcBorders>
              <w:top w:val="nil"/>
              <w:left w:val="nil"/>
              <w:bottom w:val="nil"/>
              <w:right w:val="nil"/>
            </w:tcBorders>
          </w:tcPr>
          <w:p>
            <w:pPr>
              <w:pStyle w:val="Normal6a"/>
            </w:pPr>
            <w:r>
              <w:t>12.</w:t>
            </w:r>
            <w:r>
              <w:tab/>
            </w:r>
            <w:r>
              <w:t>uzsver</w:t>
            </w:r>
            <w:r>
              <w:rPr>
                <w:b/>
                <w:i/>
              </w:rPr>
              <w:t>, ka</w:t>
            </w:r>
            <w:r>
              <w:t xml:space="preserve"> “Bāzele III” standartu </w:t>
            </w:r>
            <w:r>
              <w:rPr>
                <w:b/>
                <w:i/>
              </w:rPr>
              <w:t>savlaicīga, pilnīga un precīza piemērošana pastiprinās</w:t>
            </w:r>
            <w:r>
              <w:t xml:space="preserve"> noturību un </w:t>
            </w:r>
            <w:r>
              <w:rPr>
                <w:b/>
                <w:i/>
              </w:rPr>
              <w:t>uzlabos</w:t>
            </w:r>
            <w:r>
              <w:t xml:space="preserve"> konkurētspēju; pauž nožēlu par novirzēm un aicina Komisiju </w:t>
            </w:r>
            <w:r>
              <w:rPr>
                <w:b/>
                <w:i/>
              </w:rPr>
              <w:t>no jauna izskatīt</w:t>
            </w:r>
            <w:r>
              <w:t xml:space="preserve"> lēmumus par līdzvērtību ar jurisdikcijām, kas šos standartus nepiemēro; </w:t>
            </w:r>
            <w:r>
              <w:rPr>
                <w:b/>
                <w:i/>
              </w:rPr>
              <w:t>vienlaikus uzsver, ka, piemērojot “Bāzele III” standartus, būtu jāsaglabā vienlīdzīgi konkurences apstākļi starptautiskā līmenī, vienlaikus izvairoties no valstu iestāžu veiktas pārmērīgas reglamentēšanas ES 3. līmeņa noteikumu īstenošanā un novēršot nevēlamu ietekmi uz ES banku spēju finansēt reālo ekonomiku;</w:t>
            </w:r>
            <w:r>
              <w:t xml:space="preserve"> </w:t>
            </w:r>
            <w:r>
              <w:rPr>
                <w:b/>
                <w:i/>
              </w:rPr>
              <w:t>šajā kontekstā atzinīgi vērtē Komisijas iniciatīvu publicēt ziņojumu par ES banku darbības nozares konkurētspēju un integrāciju un aicina nākt klajā ar konkrētiem priekšlikumiem, lai atbalstītu banku spēju piešķirt kredītu, it īpaši mājsaimniecībām, MVU un produktīvām privātām un publiskām investīcijām, tostarp, attiecīgā gadījumā ierosinot pasākumus, lai atbalstītu zema riska un īstermiņa finansēšanas instrumentu, tādu kā faktorings un tirdzniecības finansēšana, efektīvu izmantošanu;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w:t>
            </w:r>
            <w:r>
              <w:rPr>
                <w:b/>
                <w:i/>
              </w:rPr>
              <w:t>savlaicīgas, pilnīgas un pareizas īstenošanas nozīmi, lai palielinātu noturību un uzlabotu</w:t>
            </w:r>
            <w:r>
              <w:t xml:space="preserve"> konkurētspēju</w:t>
            </w:r>
            <w:r>
              <w:rPr>
                <w:b/>
                <w:i/>
              </w:rPr>
              <w:t>;</w:t>
            </w:r>
            <w:r>
              <w:t xml:space="preserve"> </w:t>
            </w:r>
            <w:r>
              <w:rPr>
                <w:b/>
                <w:i/>
              </w:rPr>
              <w:t>pauž nožēlu par novirzēm un aicina Komisiju pārskatīt lēmumus par līdzvērtību ar jurisdikcijām, kas šos standartus nepiemēro</w:t>
            </w:r>
            <w:r>
              <w:t>;</w:t>
            </w:r>
          </w:p>
        </w:tc>
        <w:tc>
          <w:tcPr>
            <w:tcW w:w="4876" w:type="dxa"/>
            <w:tcBorders>
              <w:top w:val="nil"/>
              <w:left w:val="nil"/>
              <w:bottom w:val="nil"/>
              <w:right w:val="nil"/>
            </w:tcBorders>
          </w:tcPr>
          <w:p>
            <w:pPr>
              <w:pStyle w:val="Normal6a"/>
            </w:pPr>
            <w:r>
              <w:t>12.</w:t>
            </w:r>
            <w:r>
              <w:tab/>
            </w:r>
            <w:r>
              <w:t>uzsver</w:t>
            </w:r>
            <w:r>
              <w:rPr>
                <w:b/>
                <w:i/>
              </w:rPr>
              <w:t>, ka finanšu stabilitāte ir efektīvas monetārās politikas un noturīgas finanšu sistēmas priekšnoteikums;</w:t>
            </w:r>
            <w:r>
              <w:t xml:space="preserve"> </w:t>
            </w:r>
            <w:r>
              <w:rPr>
                <w:b/>
                <w:i/>
              </w:rPr>
              <w:t>atzinīgi vērtē “Bāzele III” satvara izstrādes pabeigšanu un tā īstenošanu, kas pastiprinās noturību un uzlabos konkurētspēju ES;</w:t>
            </w:r>
            <w:r>
              <w:t xml:space="preserve"> </w:t>
            </w:r>
            <w:r>
              <w:rPr>
                <w:b/>
                <w:i/>
              </w:rPr>
              <w:t>vērš uzmanību uz to, ka joprojām trūkst skaidrības par</w:t>
            </w:r>
            <w:r>
              <w:t xml:space="preserve"> “Bāzele III” standartu </w:t>
            </w:r>
            <w:r>
              <w:rPr>
                <w:b/>
                <w:i/>
              </w:rPr>
              <w:t>piemērošanu dažās citās jurisdikcijās un ka tas varētu radīt problēmas vienlīdzīgu konkurences apstākļu nodrošināšanā;</w:t>
            </w:r>
            <w:r>
              <w:t xml:space="preserve"> </w:t>
            </w:r>
            <w:r>
              <w:rPr>
                <w:b/>
                <w:i/>
              </w:rPr>
              <w:t>uzsver, ka ir svarīgi nodrošināt pareizo līdzsvaru starp finanšu stabilitāti, starptautisku satvaru ievērošanu un vienlīdzīgiem konkurences apstākļiem starptautiskā līmenī, lai nodrošinātu to, ka Eiropas bankas spēj konkurēt ar citu jurisdikciju bankām vienlīdzīgos apstākļos;</w:t>
            </w:r>
            <w:r>
              <w:t xml:space="preserve"> </w:t>
            </w:r>
            <w:r>
              <w:rPr>
                <w:b/>
                <w:i/>
              </w:rPr>
              <w:t>uzsver ― lai nodrošinātu Eiropas banku darbības nozares</w:t>
            </w:r>
            <w:r>
              <w:t xml:space="preserve"> konkurētspēju</w:t>
            </w:r>
            <w:r>
              <w:rPr>
                <w:b/>
                <w:i/>
              </w:rPr>
              <w:t>, ir svarīgi ņemt vērā tās īpatnības;</w:t>
            </w:r>
            <w:r>
              <w:t xml:space="preserve"> </w:t>
            </w:r>
            <w:r>
              <w:rPr>
                <w:b/>
                <w:i/>
              </w:rPr>
              <w:t>uzsver, ka ir svarīgi konsekventi un starptautiski saskaņotā veidā īstenot Tirdzniecības portfeļa visaptverošo pārskatu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pareizas īstenošanas</w:t>
            </w:r>
            <w:r>
              <w:t xml:space="preserve"> nozīmi, lai </w:t>
            </w:r>
            <w:r>
              <w:rPr>
                <w:b/>
                <w:i/>
              </w:rPr>
              <w:t>palielinātu</w:t>
            </w:r>
            <w:r>
              <w:t xml:space="preserve"> noturību un uzlabotu konkurētspēju; </w:t>
            </w:r>
            <w:r>
              <w:rPr>
                <w:b/>
                <w:i/>
              </w:rPr>
              <w:t>pauž nožēlu par novirzēm un</w:t>
            </w:r>
            <w:r>
              <w:t xml:space="preserve"> aicina Komisiju </w:t>
            </w:r>
            <w:r>
              <w:rPr>
                <w:b/>
                <w:i/>
              </w:rPr>
              <w:t>pārskatīt</w:t>
            </w:r>
            <w:r>
              <w:t xml:space="preserve"> lēmumus par līdzvērtību ar jurisdikcijām, kas šos standartus nepiemēro;</w:t>
            </w:r>
          </w:p>
        </w:tc>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precīzas piemērošanas</w:t>
            </w:r>
            <w:r>
              <w:t xml:space="preserve"> nozīmi, lai </w:t>
            </w:r>
            <w:r>
              <w:rPr>
                <w:b/>
                <w:i/>
              </w:rPr>
              <w:t>pastiprinātu</w:t>
            </w:r>
            <w:r>
              <w:t xml:space="preserve"> noturību un uzlabotu konkurētspēju; aicina Komisiju </w:t>
            </w:r>
            <w:r>
              <w:rPr>
                <w:b/>
                <w:i/>
              </w:rPr>
              <w:t>konsekventi un izmantojot uz risku balstītu pieeju, izvērtēt</w:t>
            </w:r>
            <w:r>
              <w:t xml:space="preserve"> lēmumus par līdzvērtību ar jurisdikcijām, kas šos standartus nepiemēro</w:t>
            </w:r>
            <w:r>
              <w:rPr>
                <w:b/>
                <w:i/>
              </w:rPr>
              <w:t>, lai tādējādi garantētu vienlīdzīgus konkurences apstākļus starptautiskā līmenī</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pareizas īstenošanas</w:t>
            </w:r>
            <w:r>
              <w:t xml:space="preserve"> nozīmi, lai </w:t>
            </w:r>
            <w:r>
              <w:rPr>
                <w:b/>
                <w:i/>
              </w:rPr>
              <w:t>palielinātu</w:t>
            </w:r>
            <w:r>
              <w:t xml:space="preserve"> noturību un uzlabotu konkurētspēju; pauž nožēlu par novirzēm un aicina Komisiju pārskatīt lēmumus par līdzvērtību ar jurisdikcijām, kas šos standartus nepiemēro;</w:t>
            </w:r>
          </w:p>
        </w:tc>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precīzas piemērošanas</w:t>
            </w:r>
            <w:r>
              <w:t xml:space="preserve"> nozīmi, lai </w:t>
            </w:r>
            <w:r>
              <w:rPr>
                <w:b/>
                <w:i/>
              </w:rPr>
              <w:t>pastiprinātu</w:t>
            </w:r>
            <w:r>
              <w:t xml:space="preserve"> noturību un uzlabotu </w:t>
            </w:r>
            <w:r>
              <w:rPr>
                <w:b/>
                <w:i/>
              </w:rPr>
              <w:t>konkurētspēju, tostarp Tirdzniecības portfeļa visaptverošā pārskata nozīmi;</w:t>
            </w:r>
            <w:r>
              <w:t xml:space="preserve"> </w:t>
            </w:r>
            <w:r>
              <w:rPr>
                <w:b/>
                <w:i/>
              </w:rPr>
              <w:t>atgādina VUM vairākkārt atkārtoto apgalvojumu, ka Tirdzniecības portfeļa visaptverošā pārskata īstenošana pastiprinās ES banku noturību un ka tā neapdraud ES banku</w:t>
            </w:r>
            <w:r>
              <w:t xml:space="preserve"> konkurētspēju; pauž nožēlu par novirzēm un aicina Komisiju pārskatīt lēmumus par līdzvērtību ar jurisdikcijām, kas šos standartus nepiemēro; </w:t>
            </w:r>
            <w:r>
              <w:rPr>
                <w:b/>
                <w:i/>
              </w:rPr>
              <w:t>uzsver, ka līdz šim ES ir nodrošinājusi atbilstību “Bāzele III” mazākā mērā nekā daži tās starptautiskie partneri;</w:t>
            </w:r>
            <w:r>
              <w:t xml:space="preserve"> </w:t>
            </w:r>
            <w:r>
              <w:rPr>
                <w:b/>
                <w:i/>
              </w:rPr>
              <w:t>uzskata, ka “Bāzele III” īstenošanas trūkums citās starptautiskās jurisdikcijās palielina riskus, ar kuriem saskaras ES bankas, un ka tas būtu atbilstoši jāņem vērā uzraudzības satvarā;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pareizas īstenošanas</w:t>
            </w:r>
            <w:r>
              <w:t xml:space="preserve"> nozīmi, lai </w:t>
            </w:r>
            <w:r>
              <w:rPr>
                <w:b/>
                <w:i/>
              </w:rPr>
              <w:t>palielinātu</w:t>
            </w:r>
            <w:r>
              <w:t xml:space="preserve"> noturību un uzlabotu konkurētspēju; pauž nožēlu par novirzēm un aicina Komisiju pārskatīt lēmumus par līdzvērtību ar jurisdikcijām, kas šos standartus nepiemēro;</w:t>
            </w:r>
          </w:p>
        </w:tc>
        <w:tc>
          <w:tcPr>
            <w:tcW w:w="4876" w:type="dxa"/>
            <w:tcBorders>
              <w:top w:val="nil"/>
              <w:left w:val="nil"/>
              <w:bottom w:val="nil"/>
              <w:right w:val="nil"/>
            </w:tcBorders>
          </w:tcPr>
          <w:p>
            <w:pPr>
              <w:pStyle w:val="Normal6a"/>
            </w:pPr>
            <w:r>
              <w:t>12.</w:t>
            </w:r>
            <w:r>
              <w:tab/>
            </w:r>
            <w:r>
              <w:t xml:space="preserve">uzsver “Bāzele III” standartu savlaicīgas, pilnīgas un </w:t>
            </w:r>
            <w:r>
              <w:rPr>
                <w:b/>
                <w:i/>
              </w:rPr>
              <w:t>precīzas piemērošanas</w:t>
            </w:r>
            <w:r>
              <w:t xml:space="preserve"> nozīmi, lai </w:t>
            </w:r>
            <w:r>
              <w:rPr>
                <w:b/>
                <w:i/>
              </w:rPr>
              <w:t>pastiprinātu</w:t>
            </w:r>
            <w:r>
              <w:t xml:space="preserve"> noturību un uzlabotu konkurētspēju; pauž nožēlu par novirzēm un aicina Komisiju pārskatīt lēmumus par līdzvērtību ar jurisdikcijām, kas šos standartus nepiemēro; </w:t>
            </w:r>
            <w:r>
              <w:rPr>
                <w:b/>
                <w:i/>
              </w:rPr>
              <w:t>uzsver, ka ES novirzes no pilnīgas “Bāzele III” īstenošanas, tostarp pakāpeniskā pielāgošanās un atliktie tirgus riska noteikumi, kaitē gan konkurētspējai, gan finanšu stabilitātei, jo rada labvēlīgu vidi regulējuma arbitrāžai un nekonsekventai riska svēršanai;</w:t>
            </w:r>
            <w:r>
              <w:t xml:space="preserve"> </w:t>
            </w:r>
            <w:r>
              <w:rPr>
                <w:b/>
                <w:i/>
              </w:rPr>
              <w:t>šīs novirzes būtu steidzami jānovērš, lai saskaņotu ES banku darbības vidi ar to, kurā darbojas bankas citur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atzīmē, ka bankas arvien vairāk ir pakļautas nebanku finanšu starpnieku darbībai, kas rada plašu klāstu risku, sākot no tiem, kuri saistīti ar likviditāti, līdz darījumu partnera riskiem;</w:t>
            </w:r>
            <w:r>
              <w:t xml:space="preserve"> </w:t>
            </w:r>
            <w:r>
              <w:rPr>
                <w:b/>
                <w:i/>
              </w:rPr>
              <w:t>uzsver nepieciešamību pēc nebanku finanšu starpniecības visaptverošas Eiropas līmeņa uzraudzības;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pieņem zināšanai ECB konstatējumus, ka augstas kapitāla prasības nemazina banku konkurētspēju, bet gan drīzāk nodrošina to noturību un spēju finansēt ekonomiku visā ciklā;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pauž nožēlu par to, ka palielinās slēgto banku filiāļu skaitu, jo tas ietekmē neaizsargātas un perifēras kopienas;</w:t>
            </w:r>
            <w:r>
              <w:t xml:space="preserve"> </w:t>
            </w:r>
            <w:r>
              <w:rPr>
                <w:b/>
                <w:i/>
              </w:rPr>
              <w:t>uzsver mazāku banku lomu pakalpojumu pieejamības nodrošināšanā mājsaimniecībām;</w:t>
            </w:r>
            <w:r>
              <w:t xml:space="preserve"> </w:t>
            </w:r>
            <w:r>
              <w:rPr>
                <w:b/>
                <w:i/>
              </w:rPr>
              <w:t>ar bažām atzīmē MI izraisīto darbvietu zudumu;</w:t>
            </w:r>
            <w:r>
              <w:t xml:space="preserve"> </w:t>
            </w:r>
            <w:r>
              <w:rPr>
                <w:b/>
                <w:i/>
              </w:rPr>
              <w:t>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pauž nožēlu par to, ka palielinās</w:t>
            </w:r>
            <w:r>
              <w:t xml:space="preserve"> slēgto banku filiāļu skaitu</w:t>
            </w:r>
            <w:r>
              <w:rPr>
                <w:b/>
                <w:i/>
              </w:rPr>
              <w:t>, jo tas ietekmē neaizsargātas un perifēras kopienas</w:t>
            </w:r>
            <w:r>
              <w:t>; uzsver mazāku banku lomu pakalpojumu pieejamības nodrošināšanā mājsaimniecībām</w:t>
            </w:r>
            <w:r>
              <w:rPr>
                <w:b/>
                <w:i/>
              </w:rPr>
              <w:t>;</w:t>
            </w:r>
            <w:r>
              <w:t xml:space="preserve"> </w:t>
            </w:r>
            <w:r>
              <w:rPr>
                <w:b/>
                <w:i/>
              </w:rPr>
              <w:t>ar bažām atzīmē MI izraisīto darbvietu zudumu</w:t>
            </w:r>
            <w:r>
              <w:t xml:space="preserve">; uzsver </w:t>
            </w:r>
            <w:r>
              <w:rPr>
                <w:b/>
                <w:i/>
              </w:rPr>
              <w:t>nepieciešamību aizsargāt darbvietu kvalitāti, taisnīgus nosacījumus un vienlīdzīgu piekļuvi</w:t>
            </w:r>
            <w:r>
              <w:t xml:space="preserve"> banku </w:t>
            </w:r>
            <w:r>
              <w:rPr>
                <w:b/>
                <w:i/>
              </w:rPr>
              <w:t>pakalpojumiem</w:t>
            </w:r>
            <w:r>
              <w:t>;</w:t>
            </w:r>
          </w:p>
        </w:tc>
        <w:tc>
          <w:tcPr>
            <w:tcW w:w="4876" w:type="dxa"/>
            <w:tcBorders>
              <w:top w:val="nil"/>
              <w:left w:val="nil"/>
              <w:bottom w:val="nil"/>
              <w:right w:val="nil"/>
            </w:tcBorders>
          </w:tcPr>
          <w:p>
            <w:pPr>
              <w:pStyle w:val="Normal6a"/>
            </w:pPr>
            <w:r>
              <w:t>13.</w:t>
            </w:r>
            <w:r>
              <w:tab/>
            </w:r>
            <w:r>
              <w:rPr>
                <w:b/>
                <w:i/>
              </w:rPr>
              <w:t>atzīmē pieaugošo</w:t>
            </w:r>
            <w:r>
              <w:t xml:space="preserve"> slēgto banku filiāļu skaitu; uzsver mazāku banku lomu pakalpojumu pieejamības nodrošināšanā mājsaimniecībām </w:t>
            </w:r>
            <w:r>
              <w:rPr>
                <w:b/>
                <w:i/>
              </w:rPr>
              <w:t>un vietējiem uzņēmumiem</w:t>
            </w:r>
            <w:r>
              <w:t>; uzsver</w:t>
            </w:r>
            <w:r>
              <w:rPr>
                <w:b/>
                <w:i/>
              </w:rPr>
              <w:t>, ka uzraudzības un prudenciālais regulējums ir jāpielāgo mazāku</w:t>
            </w:r>
            <w:r>
              <w:t xml:space="preserve"> banku </w:t>
            </w:r>
            <w:r>
              <w:rPr>
                <w:b/>
                <w:i/>
              </w:rPr>
              <w:t>lielumam, sarežģītībai un riska profilam saskaņā ar proporcionalitātes principu, lai likvidētu nevajadzīgu regulatīvo slogu, kas mazina to spēju augt, konkurēt un turpināt atbalstīt reālo ekonomiku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pauž nožēlu par to, ka palielinās</w:t>
            </w:r>
            <w:r>
              <w:t xml:space="preserve"> slēgto banku filiāļu skaitu</w:t>
            </w:r>
            <w:r>
              <w:rPr>
                <w:b/>
                <w:i/>
              </w:rPr>
              <w:t>, jo tas ietekmē</w:t>
            </w:r>
            <w:r>
              <w:t xml:space="preserve">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rPr>
                <w:b/>
                <w:i/>
              </w:rPr>
              <w:t>atzīmē pieaugošo</w:t>
            </w:r>
            <w:r>
              <w:t xml:space="preserve"> slēgto banku filiāļu skaitu </w:t>
            </w:r>
            <w:r>
              <w:rPr>
                <w:b/>
                <w:i/>
              </w:rPr>
              <w:t>un to, ka šī slēgšana dažādās dalībvalstīs notiek atšķirīgā apmērā;</w:t>
            </w:r>
            <w:r>
              <w:t xml:space="preserve"> </w:t>
            </w:r>
            <w:r>
              <w:rPr>
                <w:b/>
                <w:i/>
              </w:rPr>
              <w:t>atzīst, ka šāda slēgšana var būtiski ietekmēt</w:t>
            </w:r>
            <w:r>
              <w:t xml:space="preserve"> neaizsargātas un perifēras kopienas</w:t>
            </w:r>
            <w:r>
              <w:rPr>
                <w:b/>
                <w:i/>
              </w:rPr>
              <w:t>, un vienlaikus uzsver arī inovācijas piemērus, kad, pateicoties tehnoloģiju attīstībai, lietotāji var attālināti saņemt uzlabotus pakalpojumus;</w:t>
            </w:r>
            <w:r>
              <w:t xml:space="preserve"> </w:t>
            </w:r>
            <w:r>
              <w:rPr>
                <w:b/>
                <w:i/>
              </w:rPr>
              <w:t>atgādina piemērus, kad dažādas bankas sadarbojas, lai, neraugoties uz dažu banku filiāļu slēgšanu, sniegtu klientiem fiziskus banku pakalpojumus gan lauku, gan pilsētu teritorijās</w:t>
            </w:r>
            <w:r>
              <w:t xml:space="preserve">; uzsver mazāku banku lomu pakalpojumu pieejamības nodrošināšanā mājsaimniecībām; </w:t>
            </w:r>
            <w:r>
              <w:rPr>
                <w:b/>
                <w:i/>
              </w:rPr>
              <w:t>uzsver lielāko banku ieguldījumu konkurētspējas veicināšanā un Eiropas ekonomikas finansēšanā;</w:t>
            </w:r>
            <w:r>
              <w:t xml:space="preserve"> ar bažām atzīmē MI izraisīto darbvietu zudumu </w:t>
            </w:r>
            <w:r>
              <w:rPr>
                <w:b/>
                <w:i/>
              </w:rPr>
              <w:t>un iespējamo ar MI saistīto apdraudējumu, kas izraisa riska koncentrāciju banku bilancē</w:t>
            </w:r>
            <w:r>
              <w:t xml:space="preserve">; uzsver nepieciešamību aizsargāt </w:t>
            </w:r>
            <w:r>
              <w:rPr>
                <w:b/>
                <w:i/>
              </w:rPr>
              <w:t>augstas kvalitātes riska pārvaldību,</w:t>
            </w:r>
            <w:r>
              <w:t xml:space="preserve"> darbvietu kvalitāti, taisnīgus nosacījumus un vienlīdzīgu piekļuvi banku pakalpojumiem;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w:t>
            </w:r>
            <w:r>
              <w:rPr>
                <w:b/>
                <w:i/>
              </w:rPr>
              <w:t>to, ka palielinās</w:t>
            </w:r>
            <w:r>
              <w:t xml:space="preserve"> slēgto banku filiāļu skaitu, jo tas ietekmē neaizsargātas un perifēras kopienas; uzsver mazāku banku lomu pakalpojumu pieejamības nodrošināšanā mājsaimniecībām</w:t>
            </w:r>
            <w:r>
              <w:rPr>
                <w:b/>
                <w:i/>
              </w:rPr>
              <w:t>;</w:t>
            </w:r>
            <w:r>
              <w:t xml:space="preserve"> </w:t>
            </w:r>
            <w:r>
              <w:rPr>
                <w:b/>
                <w:i/>
              </w:rPr>
              <w:t>ar bažām atzīmē MI izraisīto darbvietu zudumu;</w:t>
            </w:r>
            <w:r>
              <w:t xml:space="preserve"> uzsver nepieciešamību </w:t>
            </w:r>
            <w:r>
              <w:rPr>
                <w:b/>
                <w:i/>
              </w:rPr>
              <w:t>aizsargāt darbvietu kvalitāti, taisnīgus nosacījumus un vienlīdzīgu piekļuvi banku pakalpojumiem</w:t>
            </w:r>
            <w:r>
              <w:t>;</w:t>
            </w:r>
          </w:p>
        </w:tc>
        <w:tc>
          <w:tcPr>
            <w:tcW w:w="4876" w:type="dxa"/>
            <w:tcBorders>
              <w:top w:val="nil"/>
              <w:left w:val="nil"/>
              <w:bottom w:val="nil"/>
              <w:right w:val="nil"/>
            </w:tcBorders>
          </w:tcPr>
          <w:p>
            <w:pPr>
              <w:pStyle w:val="Normal6a"/>
            </w:pPr>
            <w:r>
              <w:t>13.</w:t>
            </w:r>
            <w:r>
              <w:tab/>
            </w:r>
            <w:r>
              <w:t xml:space="preserve">pauž nožēlu par </w:t>
            </w:r>
            <w:r>
              <w:rPr>
                <w:b/>
                <w:i/>
              </w:rPr>
              <w:t>pieaugošo</w:t>
            </w:r>
            <w:r>
              <w:t xml:space="preserve"> slēgto banku filiāļu skaitu, jo tas ietekmē neaizsargātas un perifēras kopienas; </w:t>
            </w:r>
            <w:r>
              <w:rPr>
                <w:b/>
                <w:i/>
              </w:rPr>
              <w:t>vērš uzmanību uz to, ka šo tendenci vismaz daļēji izraisa pārmērīgs regulatīvais slogs;</w:t>
            </w:r>
            <w:r>
              <w:t xml:space="preserve"> uzsver mazāku banku lomu pakalpojumu pieejamības nodrošināšanā mājsaimniecībām </w:t>
            </w:r>
            <w:r>
              <w:rPr>
                <w:b/>
                <w:i/>
              </w:rPr>
              <w:t>un</w:t>
            </w:r>
            <w:r>
              <w:t xml:space="preserve"> uzsver nepieciešamību </w:t>
            </w:r>
            <w:r>
              <w:rPr>
                <w:b/>
                <w:i/>
              </w:rPr>
              <w:t>turpināt mazām bankām piemērojamā režīma attīstīšanu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w:t>
            </w:r>
            <w:r>
              <w:rPr>
                <w:b/>
                <w:i/>
              </w:rPr>
              <w:t>to, ka palielinās</w:t>
            </w:r>
            <w:r>
              <w:t xml:space="preserve"> slēgto banku filiāļu skaitu, jo tas ietekmē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t xml:space="preserve">pauž nožēlu par </w:t>
            </w:r>
            <w:r>
              <w:rPr>
                <w:b/>
                <w:i/>
              </w:rPr>
              <w:t>pieaugošo</w:t>
            </w:r>
            <w:r>
              <w:t xml:space="preserve"> slēgto banku filiāļu skaitu, jo tas ietekmē neaizsargātas un perifēras kopienas; </w:t>
            </w:r>
            <w:r>
              <w:rPr>
                <w:b/>
                <w:i/>
              </w:rPr>
              <w:t>atgādina par iedzīvotāju tiesībām uz piekļuvi finanšu paklapojumiem;</w:t>
            </w:r>
            <w:r>
              <w:t xml:space="preserve"> uzsver mazāku banku lomu pakalpojumu pieejamības nodrošināšanā mājsaimniecībām; </w:t>
            </w:r>
            <w:r>
              <w:rPr>
                <w:b/>
                <w:i/>
              </w:rPr>
              <w:t>vērš uzmanību uz to, ka uzņēmējdarbības modeļu daudzveidība banku darbības nozarē pastiprina finanšu sistēmas noturību;</w:t>
            </w:r>
            <w:r>
              <w:t xml:space="preserve"> ar bažām atzīmē MI izraisīto darbvietu zudumu</w:t>
            </w:r>
            <w:r>
              <w:rPr>
                <w:b/>
                <w:i/>
              </w:rPr>
              <w:t>;</w:t>
            </w:r>
            <w:r>
              <w:t xml:space="preserve"> </w:t>
            </w:r>
            <w:r>
              <w:rPr>
                <w:b/>
                <w:i/>
              </w:rPr>
              <w:t>aicina kredītiestādes īstenot pārkvalifikācijas politiku un nodrošināt cilvēka virsvadību automatizētā lēmumu pieņemšanā</w:t>
            </w:r>
            <w:r>
              <w:t>; uzsver nepieciešamību aizsargāt darbvietu kvalitāti, taisnīgus nosacījumus un vienlīdzīgu piekļuvi banku pakalpojumiem;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w:t>
            </w:r>
            <w:r>
              <w:rPr>
                <w:b/>
                <w:i/>
              </w:rPr>
              <w:t>to, ka palielinās</w:t>
            </w:r>
            <w:r>
              <w:t xml:space="preserve"> slēgto banku filiāļu skaitu, jo tas ietekmē neaizsargātas </w:t>
            </w:r>
            <w:r>
              <w:rPr>
                <w:b/>
                <w:i/>
              </w:rPr>
              <w:t>un perifēras</w:t>
            </w:r>
            <w:r>
              <w:t xml:space="preserve"> kopienas; uzsver mazāku banku lomu pakalpojumu pieejamības nodrošināšanā mājsaimniecībām; </w:t>
            </w:r>
            <w:r>
              <w:rPr>
                <w:b/>
                <w:i/>
              </w:rPr>
              <w:t>ar bažām atzīmē MI izraisīto darbvietu zudumu;</w:t>
            </w:r>
            <w:r>
              <w:t xml:space="preserve"> </w:t>
            </w:r>
            <w:r>
              <w:rPr>
                <w:b/>
                <w:i/>
              </w:rPr>
              <w:t>uzsver nepieciešamību aizsargāt</w:t>
            </w:r>
            <w:r>
              <w:t xml:space="preserve">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t xml:space="preserve">pauž nožēlu par </w:t>
            </w:r>
            <w:r>
              <w:rPr>
                <w:b/>
                <w:i/>
              </w:rPr>
              <w:t>pieaugošo</w:t>
            </w:r>
            <w:r>
              <w:t xml:space="preserve"> slēgto banku filiāļu skaitu </w:t>
            </w:r>
            <w:r>
              <w:rPr>
                <w:b/>
                <w:i/>
              </w:rPr>
              <w:t>lauku apgabalos</w:t>
            </w:r>
            <w:r>
              <w:t xml:space="preserve">, jo tas ietekmē neaizsargātas kopienas; uzsver mazāku banku lomu pakalpojumu pieejamības nodrošināšanā mājsaimniecībām; </w:t>
            </w:r>
            <w:r>
              <w:rPr>
                <w:b/>
                <w:i/>
              </w:rPr>
              <w:t>vērš uzmanību uz digitalizācijas un mākslīgā intelekta nozīmi banku darbības nozares efektivitātes palielināšanā, piemēram, racionalizējot operācijas, samazinot izmaksas un klientu apkalpošanas ātrumu un uzlabojot tās kvalitāti, vienlaikus nodrošinot</w:t>
            </w:r>
            <w:r>
              <w:t xml:space="preserve"> darbvietu kvalitāti, taisnīgus nosacījumus un vienlīdzīgu piekļuvi banku pakalpojumiem;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to, ka palielinās slēgto banku filiāļu </w:t>
            </w:r>
            <w:r>
              <w:rPr>
                <w:b/>
                <w:i/>
              </w:rPr>
              <w:t>skaitu</w:t>
            </w:r>
            <w:r>
              <w:t>, jo tas ietekmē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t>pauž nožēlu par to, ka</w:t>
            </w:r>
            <w:r>
              <w:rPr>
                <w:b/>
                <w:i/>
              </w:rPr>
              <w:t> ― cita starpā pieaugošā regulatīvā sloga dēļ ―</w:t>
            </w:r>
            <w:r>
              <w:t xml:space="preserve"> palielinās slēgto banku filiāļu </w:t>
            </w:r>
            <w:r>
              <w:rPr>
                <w:b/>
                <w:i/>
              </w:rPr>
              <w:t>skaits</w:t>
            </w:r>
            <w:r>
              <w:t xml:space="preserve">, jo tas ietekmē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 </w:t>
            </w:r>
            <w:r>
              <w:rPr>
                <w:b/>
                <w:i/>
              </w:rPr>
              <w:t>atzinīgi vērtē pieeju, kas paredz ieviest mazām bankām piemērojamu režīmu;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to, ka palielinās slēgto banku filiāļu </w:t>
            </w:r>
            <w:r>
              <w:rPr>
                <w:b/>
                <w:i/>
              </w:rPr>
              <w:t>skaitu</w:t>
            </w:r>
            <w:r>
              <w:t>, jo tas ietekmē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t>pauž nožēlu par to, ka</w:t>
            </w:r>
            <w:r>
              <w:rPr>
                <w:b/>
                <w:i/>
              </w:rPr>
              <w:t> ― daļēji pieaugošā regulatīvā sloga dēļ ―</w:t>
            </w:r>
            <w:r>
              <w:t> palielinās slēgto banku filiāļu </w:t>
            </w:r>
            <w:r>
              <w:rPr>
                <w:b/>
                <w:i/>
              </w:rPr>
              <w:t>skaits</w:t>
            </w:r>
            <w:r>
              <w:t xml:space="preserve">, jo tas ietekmē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 </w:t>
            </w:r>
            <w:r>
              <w:rPr>
                <w:b/>
                <w:i/>
              </w:rPr>
              <w:t>atzinīgi vērtē pieeju, kas paredz ieviest mazām bankām piemērojamu režīmu;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pauž nožēlu par to, ka palielinās slēgto banku filiāļu </w:t>
            </w:r>
            <w:r>
              <w:rPr>
                <w:b/>
                <w:i/>
              </w:rPr>
              <w:t>skaitu, jo tas ietekmē</w:t>
            </w:r>
            <w:r>
              <w:t xml:space="preserve">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c>
          <w:tcPr>
            <w:tcW w:w="4876" w:type="dxa"/>
            <w:tcBorders>
              <w:top w:val="nil"/>
              <w:left w:val="nil"/>
              <w:bottom w:val="nil"/>
              <w:right w:val="nil"/>
            </w:tcBorders>
          </w:tcPr>
          <w:p>
            <w:pPr>
              <w:pStyle w:val="Normal6a"/>
            </w:pPr>
            <w:r>
              <w:t>13.</w:t>
            </w:r>
            <w:r>
              <w:tab/>
            </w:r>
            <w:r>
              <w:t>pauž nožēlu par to, ka</w:t>
            </w:r>
            <w:r>
              <w:rPr>
                <w:b/>
                <w:i/>
              </w:rPr>
              <w:t> ― daļēji pieaugošā regulatīvā sloga dēļ ―</w:t>
            </w:r>
            <w:r>
              <w:t> palielinās slēgto banku filiāļu </w:t>
            </w:r>
            <w:r>
              <w:rPr>
                <w:b/>
                <w:i/>
              </w:rPr>
              <w:t>skaits;</w:t>
            </w:r>
            <w:r>
              <w:t xml:space="preserve"> </w:t>
            </w:r>
            <w:r>
              <w:rPr>
                <w:b/>
                <w:i/>
              </w:rPr>
              <w:t>šajā kontekstā atzinīgi vērtē pieeju, kas paredz ieviest mazām bankām piemērojamu režīmu;</w:t>
            </w:r>
            <w:r>
              <w:t xml:space="preserve"> </w:t>
            </w:r>
            <w:r>
              <w:rPr>
                <w:b/>
                <w:i/>
              </w:rPr>
              <w:t>atzīmē arī to, ka banku filiāļu slēgšana nesamērīgi skar</w:t>
            </w:r>
            <w:r>
              <w:t xml:space="preserve"> neaizsargātas un perifēras kopienas; uzsver mazāku banku lomu pakalpojumu pieejamības nodrošināšanā mājsaimniecībām; ar bažām atzīmē MI izraisīto darbvietu zudumu; uzsver nepieciešamību aizsargāt darbvietu kvalitāti, taisnīgus nosacījumus un vienlīdzīgu piekļuvi banku pakalpojumiem;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uzsver banku filiāļu slēgšanas ― parādības, kas vēršas plašumā, ― nopietnību un no tās izrietošo banku filiāļu straujas izzušanas risku, kas it īpaši skar vismazāk aizsargātos iedzīvotājus un digitālās plaisas visvairāk skartās ES teritorijas;</w:t>
            </w:r>
            <w:r>
              <w:t xml:space="preserve"> </w:t>
            </w:r>
            <w:r>
              <w:rPr>
                <w:b/>
                <w:i/>
              </w:rPr>
              <w:t>uzsver vidējo un mazo banku būtisko lomu banku pamatpakalpojumu nodrošināšanā, it īpaši ES lauku, kalnu, iekšzemes, salu un tālākajos reģionos, sniedzot atbalstu ģimenēm, MVU un vietējai ekonomikai;</w:t>
            </w:r>
            <w:r>
              <w:t xml:space="preserve"> </w:t>
            </w:r>
            <w:r>
              <w:rPr>
                <w:b/>
                <w:i/>
              </w:rPr>
              <w:t>vērš uzmanību uz nepieciešamību mazināt regulatīvo slogu ― banku uzraudzībā piemērojot proporcionalitātes principu ― šīm vienībām, kas veic nozīmīgu sociālekonomisku funkciju;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atzīst strukturālās izmaiņas banku darbības nozares uzņēmējdarbības modeļos, tostarp tās, kas izriet no digitalizācijas, un uzsver, ka ir svarīgi arī turpmāk garantēt ģimenēm un MVU efektīvu piekļuvi svarīgākajiem finanšu pakalpojumiem;</w:t>
            </w:r>
            <w:r>
              <w:t xml:space="preserve"> </w:t>
            </w:r>
            <w:r>
              <w:rPr>
                <w:b/>
                <w:i/>
              </w:rPr>
              <w:t>uzsver lomu, kāda šajā kontekstā var būt mazākām vienībām un jaunajiem digitālajiem kanāliem;</w:t>
            </w:r>
            <w:r>
              <w:t xml:space="preserve"> </w:t>
            </w:r>
            <w:r>
              <w:rPr>
                <w:b/>
                <w:i/>
              </w:rPr>
              <w:t>atzīmē, ka jauno tehnoloģiju, tostarp mākslīgā intelekta, izmantošana būtu jāpārvalda atbildīgi, veicinot prasmju pielāgošanu un produktivitāti, taču neapdraudot inovāciju un Eiropas finanšu nozares konkurētspēju;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aicina Komisiju izskatīt iespēju ierosināt iniciatīvas, kuru mērķis ir visā dalībvalstu teritorijā vienotā veidā garantēt minimālu fizisko piekļuvi finanšu pakalpojumiem, izvērtējot iespēju daļu no rentabilitātes pieauguma atvēlēt tam, lai, reaģējot uz banku filiāļu strauju izzušanu, sniegtu atbalstu banku filiāļu tīklam;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atzīst ar </w:t>
            </w:r>
            <w:r>
              <w:rPr>
                <w:b/>
                <w:i/>
              </w:rPr>
              <w:t>kriptoaktīviem</w:t>
            </w:r>
            <w:r>
              <w:t xml:space="preserve"> saistīto risku un iespējas; </w:t>
            </w:r>
            <w:r>
              <w:rPr>
                <w:b/>
                <w:i/>
              </w:rPr>
              <w:t>pieprasa konsekventu uzraudzību, lai nodrošinātu, ka inovācija kalpo sabiedrībai</w:t>
            </w:r>
            <w:r>
              <w:t>; prasa ES un valstu iestādēm uzraudzīt riska darījumus, novērst spekulatīvus riskus, apkarot finanšu noziegumus un aizsargāt patērētājus;</w:t>
            </w:r>
          </w:p>
        </w:tc>
        <w:tc>
          <w:tcPr>
            <w:tcW w:w="4876" w:type="dxa"/>
            <w:tcBorders>
              <w:top w:val="nil"/>
              <w:left w:val="nil"/>
              <w:bottom w:val="nil"/>
              <w:right w:val="nil"/>
            </w:tcBorders>
          </w:tcPr>
          <w:p>
            <w:pPr>
              <w:pStyle w:val="Normal6a"/>
            </w:pPr>
            <w:r>
              <w:t>14.</w:t>
            </w:r>
            <w:r>
              <w:tab/>
            </w:r>
            <w:r>
              <w:t xml:space="preserve">atzīst ar </w:t>
            </w:r>
            <w:r>
              <w:rPr>
                <w:b/>
                <w:i/>
              </w:rPr>
              <w:t>finanšu aktīvu žetonizāciju</w:t>
            </w:r>
            <w:r>
              <w:t xml:space="preserve"> saistīto risku un iespējas; </w:t>
            </w:r>
            <w:r>
              <w:rPr>
                <w:b/>
                <w:i/>
              </w:rPr>
              <w:t>prasa regulēšanai un uzraudzībai piemērot uz principiem balstītu samērīgu pieeju, kas nekavē inovāciju</w:t>
            </w:r>
            <w:r>
              <w:t>; prasa ES un valstu iestādēm uzraudzīt riska darījumus, novērst spekulatīvus riskus, apkarot finanšu noziegumus un aizsargāt patērētājus;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atzīst</w:t>
            </w:r>
            <w:r>
              <w:t xml:space="preserve"> ar kriptoaktīviem </w:t>
            </w:r>
            <w:r>
              <w:rPr>
                <w:b/>
                <w:i/>
              </w:rPr>
              <w:t>saistīto risku un iespējas</w:t>
            </w:r>
            <w:r>
              <w:t xml:space="preserve">; pieprasa konsekventu uzraudzību, lai nodrošinātu, ka inovācija kalpo sabiedrībai; prasa ES un valstu iestādēm uzraudzīt riska darījumus, </w:t>
            </w:r>
            <w:r>
              <w:rPr>
                <w:b/>
                <w:i/>
              </w:rPr>
              <w:t>novērst spekulatīvus riskus</w:t>
            </w:r>
            <w:r>
              <w:t>, apkarot finanšu noziegumus un aizsargāt patērētājus;</w:t>
            </w:r>
          </w:p>
        </w:tc>
        <w:tc>
          <w:tcPr>
            <w:tcW w:w="4876" w:type="dxa"/>
            <w:tcBorders>
              <w:top w:val="nil"/>
              <w:left w:val="nil"/>
              <w:bottom w:val="nil"/>
              <w:right w:val="nil"/>
            </w:tcBorders>
          </w:tcPr>
          <w:p>
            <w:pPr>
              <w:pStyle w:val="Normal6a"/>
            </w:pPr>
            <w:r>
              <w:t>14.</w:t>
            </w:r>
            <w:r>
              <w:tab/>
            </w:r>
            <w:r>
              <w:rPr>
                <w:b/>
                <w:i/>
              </w:rPr>
              <w:t>uzsver</w:t>
            </w:r>
            <w:r>
              <w:t xml:space="preserve"> ar kriptoaktīviem </w:t>
            </w:r>
            <w:r>
              <w:rPr>
                <w:b/>
                <w:i/>
              </w:rPr>
              <w:t>saistītos riskus</w:t>
            </w:r>
            <w:r>
              <w:t xml:space="preserve">; pieprasa konsekventu uzraudzību, lai nodrošinātu, ka inovācija kalpo sabiedrībai; prasa ES un valstu iestādēm uzraudzīt riska darījumus, </w:t>
            </w:r>
            <w:r>
              <w:rPr>
                <w:b/>
                <w:i/>
              </w:rPr>
              <w:t>pievērst uzmanību riskiem, vērsties pret spekulatīvām darbībām</w:t>
            </w:r>
            <w:r>
              <w:t>, apkarot finanšu noziegumus un aizsargāt patērētājus;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atzīst ar kriptoaktīviem saistīto risku un iespējas</w:t>
            </w:r>
            <w:r>
              <w:t>; pieprasa konsekventu uzraudzību, lai nodrošinātu, ka inovācija kalpo sabiedrībai; prasa ES un valstu iestādēm uzraudzīt riska darījumus, novērst spekulatīvus riskus, apkarot finanšu noziegumus un aizsargāt patērētājus;</w:t>
            </w:r>
          </w:p>
        </w:tc>
        <w:tc>
          <w:tcPr>
            <w:tcW w:w="4876" w:type="dxa"/>
            <w:tcBorders>
              <w:top w:val="nil"/>
              <w:left w:val="nil"/>
              <w:bottom w:val="nil"/>
              <w:right w:val="nil"/>
            </w:tcBorders>
          </w:tcPr>
          <w:p>
            <w:pPr>
              <w:pStyle w:val="Normal6a"/>
            </w:pPr>
            <w:r>
              <w:t>14.</w:t>
            </w:r>
            <w:r>
              <w:tab/>
            </w:r>
            <w:r>
              <w:rPr>
                <w:b/>
                <w:i/>
              </w:rPr>
              <w:t>uzsver kriptoaktīvu radītos īpašos riskus;</w:t>
            </w:r>
            <w:r>
              <w:t xml:space="preserve"> </w:t>
            </w:r>
            <w:r>
              <w:rPr>
                <w:b/>
                <w:i/>
              </w:rPr>
              <w:t>atgādina, ka kriptoaktīvi ir ļoti svārstīgi un neproduktīvi aktīvi, ko lielākoties izmanto spekulatīvā nolūkā</w:t>
            </w:r>
            <w:r>
              <w:t>; pieprasa konsekventu uzraudzību, lai nodrošinātu, ka inovācija kalpo sabiedrībai; prasa ES un valstu iestādēm uzraudzīt riska darījumus, novērst spekulatīvus riskus, apkarot finanšu noziegumus un aizsargāt patērētājus;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atzīst ar kriptoaktīviem saistīto risku un iespējas; pieprasa konsekventu uzraudzību</w:t>
            </w:r>
            <w:r>
              <w:rPr>
                <w:b/>
                <w:i/>
              </w:rPr>
              <w:t>, lai nodrošinātu, ka inovācija kalpo sabiedrībai</w:t>
            </w:r>
            <w:r>
              <w:t>; prasa ES un valstu iestādēm uzraudzīt riska darījumus, novērst spekulatīvus riskus, apkarot finanšu noziegumus un aizsargāt patērētājus;</w:t>
            </w:r>
          </w:p>
        </w:tc>
        <w:tc>
          <w:tcPr>
            <w:tcW w:w="4876" w:type="dxa"/>
            <w:tcBorders>
              <w:top w:val="nil"/>
              <w:left w:val="nil"/>
              <w:bottom w:val="nil"/>
              <w:right w:val="nil"/>
            </w:tcBorders>
          </w:tcPr>
          <w:p>
            <w:pPr>
              <w:pStyle w:val="Normal6a"/>
            </w:pPr>
            <w:r>
              <w:t>14.</w:t>
            </w:r>
            <w:r>
              <w:tab/>
            </w:r>
            <w:r>
              <w:t xml:space="preserve">atzīst ar kriptoaktīviem saistīto risku un iespējas; pieprasa konsekventu </w:t>
            </w:r>
            <w:r>
              <w:rPr>
                <w:b/>
                <w:i/>
              </w:rPr>
              <w:t>un inovācijai labvēlīgu</w:t>
            </w:r>
            <w:r>
              <w:t xml:space="preserve"> uzraudzību; prasa ES un valstu iestādēm uzraudzīt riska darījumus, novērst spekulatīvus riskus, apkarot finanšu noziegumus un aizsargāt patērētājus;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atzīst ar kriptoaktīviem saistīto risku un iespējas; pieprasa </w:t>
            </w:r>
            <w:r>
              <w:rPr>
                <w:b/>
                <w:i/>
              </w:rPr>
              <w:t>konsekventu</w:t>
            </w:r>
            <w:r>
              <w:t xml:space="preserve"> uzraudzību, lai nodrošinātu, ka inovācija kalpo sabiedrībai; prasa ES un valstu iestādēm uzraudzīt riska darījumus, novērst spekulatīvus riskus, apkarot finanšu noziegumus un aizsargāt patērētājus;</w:t>
            </w:r>
          </w:p>
        </w:tc>
        <w:tc>
          <w:tcPr>
            <w:tcW w:w="4876" w:type="dxa"/>
            <w:tcBorders>
              <w:top w:val="nil"/>
              <w:left w:val="nil"/>
              <w:bottom w:val="nil"/>
              <w:right w:val="nil"/>
            </w:tcBorders>
          </w:tcPr>
          <w:p>
            <w:pPr>
              <w:pStyle w:val="Normal6a"/>
            </w:pPr>
            <w:r>
              <w:t>14.</w:t>
            </w:r>
            <w:r>
              <w:tab/>
            </w:r>
            <w:r>
              <w:t xml:space="preserve">atzīst ar kriptoaktīviem saistīto risku un iespējas; pieprasa </w:t>
            </w:r>
            <w:r>
              <w:rPr>
                <w:b/>
                <w:i/>
              </w:rPr>
              <w:t>stingru</w:t>
            </w:r>
            <w:r>
              <w:t xml:space="preserve"> uzraudzību, lai nodrošinātu, ka inovācija kalpo sabiedrībai; prasa ES un valstu iestādēm uzraudzīt riska darījumus, novērst spekulatīvus riskus, apkarot finanšu noziegumus un aizsargāt patērētājus;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atzīst ar kriptoaktīviem saistīto risku un iespējas; pieprasa konsekventu uzraudzību, lai nodrošinātu, ka inovācija kalpo sabiedrībai; prasa ES un valstu iestādēm uzraudzīt riska darījumus, novērst spekulatīvus riskus, apkarot finanšu noziegumus un aizsargāt patērētājus;</w:t>
            </w:r>
          </w:p>
        </w:tc>
        <w:tc>
          <w:tcPr>
            <w:tcW w:w="4876" w:type="dxa"/>
            <w:tcBorders>
              <w:top w:val="nil"/>
              <w:left w:val="nil"/>
              <w:bottom w:val="nil"/>
              <w:right w:val="nil"/>
            </w:tcBorders>
          </w:tcPr>
          <w:p>
            <w:pPr>
              <w:pStyle w:val="Normal6a"/>
            </w:pPr>
            <w:r>
              <w:t>14.</w:t>
            </w:r>
            <w:r>
              <w:tab/>
            </w:r>
            <w:r>
              <w:t xml:space="preserve">atzīst ar kriptoaktīviem saistīto risku un iespējas; pieprasa konsekventu uzraudzību, lai nodrošinātu, ka inovācija kalpo sabiedrībai; prasa ES un valstu iestādēm uzraudzīt riska darījumus, novērst spekulatīvus riskus, apkarot finanšu noziegumus un aizsargāt patērētājus; </w:t>
            </w:r>
            <w:r>
              <w:rPr>
                <w:b/>
                <w:i/>
              </w:rPr>
              <w:t>uzsver globālo standartu nozīmi šajā jomā un nepieciešamību izpētīt veidus, kā veicināt euro denominētu stabilo kriptomonētu attīstību, lai saglabātu ES monetāro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aicina Komisiju, EBI un valstu kompetentās iestādes banku savienības ietvaros nodrošināt Regulas (ES) 2023/1114 (KAT regula) kā nepieciešama uz bankām balstītā ES finanšu stabilitātes satvara papildinājuma stingru, konsekventu un precīzu īstenošanu un šīs īstenošanas uzraudzību;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atzīst riskus, ko ES bankām rada trešo valstu vairāku emitentu kopīgi emitētas stabilās kriptomonētas, un to, ka regulējuma arbitrāža starp jurisdikcijām var izraisīt līdzekļu masveida izņemšanu no ES bankām un atstāt netiešu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aicina Komisiju, EBI un valstu kompetentās iestādes pienācīgi ņemt vērā ECB un ESRK atzinumus, norādījumus un ieteikumus;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uzsver, ka jebkāda iecietība uzraudzības jomā, sadrumstalotība un izņēmumi KAT regulas piemērošanā palielinātu stabilo kriptomonētu masveida aizplūšanas risku, kā arī risku, ka finansiālās problēmas izplatīsies uz citām bankām, valsts parāda tirgiem un maksājumu sistēmām banku savienības ietvaros;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atzinīgi vērtē</w:t>
            </w:r>
            <w:r>
              <w:t xml:space="preserve"> krīzes pārvaldības un noguldījumu apdrošināšanas satvara reformu</w:t>
            </w:r>
            <w:r>
              <w:rPr>
                <w:b/>
                <w:i/>
              </w:rPr>
              <w:t>, lai nodrošinātu saskaņotu</w:t>
            </w:r>
            <w:r>
              <w:t xml:space="preserve"> krīzes </w:t>
            </w:r>
            <w:r>
              <w:rPr>
                <w:b/>
                <w:i/>
              </w:rPr>
              <w:t>pārvaldību</w:t>
            </w:r>
            <w:r>
              <w:t xml:space="preserve"> un noguldījumu </w:t>
            </w:r>
            <w:r>
              <w:rPr>
                <w:b/>
                <w:i/>
              </w:rPr>
              <w:t>apdrošināšanu, palielinātu stabilitāti un aizsargātu uzkrājumus un nodokļu maksātājus;</w:t>
            </w:r>
            <w:r>
              <w:t xml:space="preserve"> </w:t>
            </w:r>
            <w:r>
              <w:rPr>
                <w:b/>
                <w:i/>
              </w:rPr>
              <w:t>uzsver, ka mazākām bankām ir nepieciešama zināma elastība un iestādēm – efektīvi instrumenti, lai nodrošinātu to, ka banku savienība ir noturīga un sociāli atbildīga</w:t>
            </w:r>
            <w:r>
              <w:t>;</w:t>
            </w:r>
          </w:p>
        </w:tc>
        <w:tc>
          <w:tcPr>
            <w:tcW w:w="4876" w:type="dxa"/>
            <w:tcBorders>
              <w:top w:val="nil"/>
              <w:left w:val="nil"/>
              <w:bottom w:val="nil"/>
              <w:right w:val="nil"/>
            </w:tcBorders>
          </w:tcPr>
          <w:p>
            <w:pPr>
              <w:pStyle w:val="Normal6a"/>
            </w:pPr>
            <w:r>
              <w:t>15.</w:t>
            </w:r>
            <w:r>
              <w:tab/>
            </w:r>
            <w:r>
              <w:rPr>
                <w:b/>
                <w:i/>
              </w:rPr>
              <w:t>pauž bažas par</w:t>
            </w:r>
            <w:r>
              <w:t xml:space="preserve"> krīzes pārvaldības un noguldījumu apdrošināšanas satvara reformu </w:t>
            </w:r>
            <w:r>
              <w:rPr>
                <w:b/>
                <w:i/>
              </w:rPr>
              <w:t>tās pašreizējā izpausmē;</w:t>
            </w:r>
            <w:r>
              <w:t xml:space="preserve"> </w:t>
            </w:r>
            <w:r>
              <w:rPr>
                <w:b/>
                <w:i/>
              </w:rPr>
              <w:t>noraida jebkādu projekts, kas slēpj pamatā esošo maksātnespējas risku, izmantojot sarežģītus atbalsta mehānismus un riska dalīšanu, un kritizē pašu ieceri zaudējumus sadalīt starp dalībvalstīm, jo tas būtībā nozīmētu banku risku sabiedriskošanu un tirgus disciplīnas pazemināšanu;</w:t>
            </w:r>
            <w:r>
              <w:t xml:space="preserve"> </w:t>
            </w:r>
            <w:r>
              <w:rPr>
                <w:b/>
                <w:i/>
              </w:rPr>
              <w:t>pašreizējo</w:t>
            </w:r>
            <w:r>
              <w:t xml:space="preserve"> krīzes </w:t>
            </w:r>
            <w:r>
              <w:rPr>
                <w:b/>
                <w:i/>
              </w:rPr>
              <w:t>pārvaldības</w:t>
            </w:r>
            <w:r>
              <w:t xml:space="preserve"> un noguldījumu </w:t>
            </w:r>
            <w:r>
              <w:rPr>
                <w:b/>
                <w:i/>
              </w:rPr>
              <w:t>apdrošināšanas satvaru nevajadzētu izmantot kā attaisnojumu pārrobežu riska dalīšanas priekšlaicīgai paplašināšanai, kamēr nav skaidru izstāšanās un pārskatatbildības mehānismu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atzinīgi vērtē</w:t>
            </w:r>
            <w:r>
              <w:t xml:space="preserve"> krīzes pārvaldības un noguldījumu apdrošināšanas satvara reformu, </w:t>
            </w:r>
            <w:r>
              <w:rPr>
                <w:b/>
                <w:i/>
              </w:rPr>
              <w:t>lai nodrošinātu saskaņotu</w:t>
            </w:r>
            <w:r>
              <w:t xml:space="preserve"> krīzes pārvaldību un noguldījumu apdrošināšanu, </w:t>
            </w:r>
            <w:r>
              <w:rPr>
                <w:b/>
                <w:i/>
              </w:rPr>
              <w:t>palielinātu</w:t>
            </w:r>
            <w:r>
              <w:t xml:space="preserve"> stabilitāti un </w:t>
            </w:r>
            <w:r>
              <w:rPr>
                <w:b/>
                <w:i/>
              </w:rPr>
              <w:t>aizsargātu</w:t>
            </w:r>
            <w:r>
              <w:t xml:space="preserve"> uzkrājumus un nodokļu maksātājus; uzsver, ka </w:t>
            </w:r>
            <w:r>
              <w:rPr>
                <w:b/>
                <w:i/>
              </w:rPr>
              <w:t>mazākām</w:t>
            </w:r>
            <w:r>
              <w:t xml:space="preserve"> bankām ir nepieciešama zināma elastība un iestādēm – efektīvi instrumenti, lai nodrošinātu </w:t>
            </w:r>
            <w:r>
              <w:rPr>
                <w:b/>
                <w:i/>
              </w:rPr>
              <w:t>to, ka</w:t>
            </w:r>
            <w:r>
              <w:t xml:space="preserve"> banku </w:t>
            </w:r>
            <w:r>
              <w:rPr>
                <w:b/>
                <w:i/>
              </w:rPr>
              <w:t>savienība ir noturīga un sociāli atbildīga</w:t>
            </w:r>
            <w:r>
              <w:t>;</w:t>
            </w:r>
          </w:p>
        </w:tc>
        <w:tc>
          <w:tcPr>
            <w:tcW w:w="4876" w:type="dxa"/>
            <w:tcBorders>
              <w:top w:val="nil"/>
              <w:left w:val="nil"/>
              <w:bottom w:val="nil"/>
              <w:right w:val="nil"/>
            </w:tcBorders>
          </w:tcPr>
          <w:p>
            <w:pPr>
              <w:pStyle w:val="Normal6a"/>
            </w:pPr>
            <w:r>
              <w:t>15.</w:t>
            </w:r>
            <w:r>
              <w:tab/>
            </w:r>
            <w:r>
              <w:rPr>
                <w:b/>
                <w:i/>
              </w:rPr>
              <w:t>pieņem zināšanai</w:t>
            </w:r>
            <w:r>
              <w:t xml:space="preserve"> krīzes pārvaldības un noguldījumu apdrošināšanas satvara reformu, </w:t>
            </w:r>
            <w:r>
              <w:rPr>
                <w:b/>
                <w:i/>
              </w:rPr>
              <w:t>kuras mērķis ir uzlabot</w:t>
            </w:r>
            <w:r>
              <w:t xml:space="preserve"> krīzes pārvaldību un noguldījumu apdrošināšanu, </w:t>
            </w:r>
            <w:r>
              <w:rPr>
                <w:b/>
                <w:i/>
              </w:rPr>
              <w:t>pastiprināt</w:t>
            </w:r>
            <w:r>
              <w:t xml:space="preserve"> stabilitāti un </w:t>
            </w:r>
            <w:r>
              <w:rPr>
                <w:b/>
                <w:i/>
              </w:rPr>
              <w:t>aizsargāt</w:t>
            </w:r>
            <w:r>
              <w:t xml:space="preserve"> uzkrājumus un nodokļu maksātājus; uzsver, ka </w:t>
            </w:r>
            <w:r>
              <w:rPr>
                <w:b/>
                <w:i/>
              </w:rPr>
              <w:t>mazām un vidējām</w:t>
            </w:r>
            <w:r>
              <w:t xml:space="preserve"> bankām ir nepieciešama zināma elastība un iestādēm – efektīvi instrumenti, lai nodrošinātu </w:t>
            </w:r>
            <w:r>
              <w:rPr>
                <w:b/>
                <w:i/>
              </w:rPr>
              <w:t>noturīgu</w:t>
            </w:r>
            <w:r>
              <w:t xml:space="preserve"> banku </w:t>
            </w:r>
            <w:r>
              <w:rPr>
                <w:b/>
                <w:i/>
              </w:rPr>
              <w:t>savienību;</w:t>
            </w:r>
            <w:r>
              <w:t xml:space="preserve"> </w:t>
            </w:r>
            <w:r>
              <w:rPr>
                <w:b/>
                <w:i/>
              </w:rPr>
              <w:t>vērš uzmanību uz to, ka noregulēšanai vajadzētu būt standarta risinājumam tikai attiecībā uz tām bankām, kuru bankrots nelabvēlīgi ietekmētu finanšu stabilitāti, un ka tāpēc mazu un vidēju banku gadījumā standarta risinājums joprojām ir maksātnespēja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w:t>
            </w:r>
            <w:r>
              <w:rPr>
                <w:b/>
                <w:i/>
              </w:rPr>
              <w:t>nodrošinātu to</w:t>
            </w:r>
            <w:r>
              <w:t xml:space="preserve">, ka banku </w:t>
            </w:r>
            <w:r>
              <w:rPr>
                <w:b/>
                <w:i/>
              </w:rPr>
              <w:t>savienība ir noturīga un sociāli atbildīga</w:t>
            </w:r>
            <w:r>
              <w:t>;</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w:t>
            </w:r>
            <w:r>
              <w:rPr>
                <w:b/>
                <w:i/>
              </w:rPr>
              <w:t>reaģētu uz banku nonākšanu finansiālās grūtībās un aizsargātu finanšu stabilitāti, tostarp sistēmiska scenārija gadījumā;</w:t>
            </w:r>
            <w:r>
              <w:t xml:space="preserve"> </w:t>
            </w:r>
            <w:r>
              <w:rPr>
                <w:b/>
                <w:i/>
              </w:rPr>
              <w:t>atkārtoti norāda</w:t>
            </w:r>
            <w:r>
              <w:t xml:space="preserve">, ka banku </w:t>
            </w:r>
            <w:r>
              <w:rPr>
                <w:b/>
                <w:i/>
              </w:rPr>
              <w:t>noregulēšanas mērķis ir aizsargāt finanšu stabilitāti un nodrošināt banku kritiski svarīgās funkcijas, nevis glābt kreditorus un akcionārus</w:t>
            </w:r>
            <w:r>
              <w:t xml:space="preserve">; </w:t>
            </w:r>
            <w:r>
              <w:rPr>
                <w:b/>
                <w:i/>
              </w:rPr>
              <w:t>uzsver, ka finansiālās grūtībās nonākušas bankas noregulēšanai, izmantojot parasto maksātnespējas procedūru, arī turpmāk vajadzētu būt standarta risinājumam attiecībā uz bankām, kuras nav sistēmiski nozīmīgas, un ja tas visefektīvāk aizsargā bankas kritiski svarīgās funkcijas;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w:t>
            </w:r>
            <w:r>
              <w:rPr>
                <w:b/>
                <w:i/>
              </w:rPr>
              <w:t>mazākām bankām ir nepieciešama zināma elastība un iestādēm – efektīvi instrumenti</w:t>
            </w:r>
            <w:r>
              <w:t>, lai nodrošinātu to, ka banku savienība ir noturīga un sociāli atbildīga;</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w:t>
            </w:r>
            <w:r>
              <w:rPr>
                <w:b/>
                <w:i/>
              </w:rPr>
              <w:t>iestāžu rīcībā vajadzētu būt efektīviem un samērīgiem instrumentiem</w:t>
            </w:r>
            <w:r>
              <w:t>, lai nodrošinātu to, ka banku savienība ir noturīga un sociāli atbildīga;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w:t>
            </w:r>
            <w:r>
              <w:rPr>
                <w:b/>
                <w:i/>
              </w:rPr>
              <w:t>lai nodrošinātu to, ka</w:t>
            </w:r>
            <w:r>
              <w:t xml:space="preserve"> banku </w:t>
            </w:r>
            <w:r>
              <w:rPr>
                <w:b/>
                <w:i/>
              </w:rPr>
              <w:t>savienība ir noturīga un sociāli atbildīga</w:t>
            </w:r>
            <w:r>
              <w:t>;</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w:t>
            </w:r>
            <w:r>
              <w:rPr>
                <w:b/>
                <w:i/>
              </w:rPr>
              <w:t>kas papildināti ar tādu regulatīvo satvaru, kurš veicina</w:t>
            </w:r>
            <w:r>
              <w:t xml:space="preserve"> banku </w:t>
            </w:r>
            <w:r>
              <w:rPr>
                <w:b/>
                <w:i/>
              </w:rPr>
              <w:t>attīstību un banku savienības noturību un finansiālo stabilitāti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nodrošinātu </w:t>
            </w:r>
            <w:r>
              <w:rPr>
                <w:b/>
                <w:i/>
              </w:rPr>
              <w:t>to, ka</w:t>
            </w:r>
            <w:r>
              <w:t xml:space="preserve"> banku </w:t>
            </w:r>
            <w:r>
              <w:rPr>
                <w:b/>
                <w:i/>
              </w:rPr>
              <w:t>savienība ir noturīga un sociāli atbildīga</w:t>
            </w:r>
            <w:r>
              <w:t>;</w:t>
            </w:r>
          </w:p>
        </w:tc>
        <w:tc>
          <w:tcPr>
            <w:tcW w:w="4876" w:type="dxa"/>
            <w:tcBorders>
              <w:top w:val="nil"/>
              <w:left w:val="nil"/>
              <w:bottom w:val="nil"/>
              <w:right w:val="nil"/>
            </w:tcBorders>
          </w:tcPr>
          <w:p>
            <w:pPr>
              <w:pStyle w:val="Normal6a"/>
            </w:pPr>
            <w:r>
              <w:t>15.</w:t>
            </w:r>
            <w:r>
              <w:tab/>
            </w:r>
            <w:r>
              <w:t>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nodrošinātu </w:t>
            </w:r>
            <w:r>
              <w:rPr>
                <w:b/>
                <w:i/>
              </w:rPr>
              <w:t>noturīgu</w:t>
            </w:r>
            <w:r>
              <w:t xml:space="preserve"> banku </w:t>
            </w:r>
            <w:r>
              <w:rPr>
                <w:b/>
                <w:i/>
              </w:rPr>
              <w:t>savienību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w:t>
            </w:r>
            <w:r>
              <w:rPr>
                <w:b/>
                <w:i/>
              </w:rPr>
              <w:t>palielinātu</w:t>
            </w:r>
            <w:r>
              <w:t xml:space="preserve"> stabilitāti </w:t>
            </w:r>
            <w:r>
              <w:rPr>
                <w:b/>
                <w:i/>
              </w:rPr>
              <w:t>un</w:t>
            </w:r>
            <w:r>
              <w:t xml:space="preserve"> aizsargātu uzkrājumus un nodokļu maksātājus; uzsver, ka </w:t>
            </w:r>
            <w:r>
              <w:rPr>
                <w:b/>
                <w:i/>
              </w:rPr>
              <w:t>mazākām bankām ir nepieciešama zināma elastība un iestādēm –</w:t>
            </w:r>
            <w:r>
              <w:t xml:space="preserve"> efektīvi instrumenti, lai nodrošinātu to, ka banku savienība ir noturīga un sociāli atbildīga;</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w:t>
            </w:r>
            <w:r>
              <w:rPr>
                <w:b/>
                <w:i/>
              </w:rPr>
              <w:t>pastiprinātu</w:t>
            </w:r>
            <w:r>
              <w:t xml:space="preserve"> stabilitāti</w:t>
            </w:r>
            <w:r>
              <w:rPr>
                <w:b/>
                <w:i/>
              </w:rPr>
              <w:t>,</w:t>
            </w:r>
            <w:r>
              <w:t xml:space="preserve"> aizsargātu uzkrājumus un nodokļu maksātājus </w:t>
            </w:r>
            <w:r>
              <w:rPr>
                <w:b/>
                <w:i/>
              </w:rPr>
              <w:t>un nodrošinātu publisko līdzekļu labāku izmantošanu noregulēšanai, ja tā ir sabiedrības interesēs</w:t>
            </w:r>
            <w:r>
              <w:t xml:space="preserve">; uzsver, ka </w:t>
            </w:r>
            <w:r>
              <w:rPr>
                <w:b/>
                <w:i/>
              </w:rPr>
              <w:t>liela nozīme ir skaidram regulatīvajam satvaram un tam, ka iestāžu rīcībā ir</w:t>
            </w:r>
            <w:r>
              <w:t xml:space="preserve"> efektīvi instrumenti</w:t>
            </w:r>
            <w:r>
              <w:rPr>
                <w:b/>
                <w:i/>
              </w:rPr>
              <w:t>, dati un lēmumu pieņemšanas mehānismi</w:t>
            </w:r>
            <w:r>
              <w:t>, lai nodrošinātu to, ka banku savienība ir noturīga un sociāli atbildīga;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w:t>
            </w:r>
            <w:r>
              <w:rPr>
                <w:b/>
                <w:i/>
              </w:rPr>
              <w:t>–</w:t>
            </w:r>
            <w:r>
              <w:t xml:space="preserve"> efektīvi instrumenti, lai nodrošinātu to, ka banku savienība ir noturīga un sociāli atbildīga;</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w:t>
            </w:r>
            <w:r>
              <w:rPr>
                <w:b/>
                <w:i/>
              </w:rPr>
              <w:t>un vidējām</w:t>
            </w:r>
            <w:r>
              <w:t xml:space="preserve"> bankām ir nepieciešama zināma elastība </w:t>
            </w:r>
            <w:r>
              <w:rPr>
                <w:b/>
                <w:i/>
              </w:rPr>
              <w:t>― jo to gadījumā noregulējuma satvars bieži vien nebūs vispiemērotākais instruments un tāpēc priekšroka ir dodama likvidācijai, izmantojot parasto maksātnespējas procedūru, ―</w:t>
            </w:r>
            <w:r>
              <w:t xml:space="preserve"> un iestādēm </w:t>
            </w:r>
            <w:r>
              <w:rPr>
                <w:b/>
                <w:i/>
              </w:rPr>
              <w:t>ir nepieciešami</w:t>
            </w:r>
            <w:r>
              <w:t xml:space="preserve"> efektīvi instrumenti, lai nodrošinātu to, ka banku savienība ir noturīga un sociāli atbildīga;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w:t>
            </w:r>
            <w:r>
              <w:rPr>
                <w:b/>
                <w:i/>
              </w:rPr>
              <w:t>–</w:t>
            </w:r>
            <w:r>
              <w:t xml:space="preserve"> efektīvi instrumenti, lai nodrošinātu to, ka banku savienība ir noturīga un sociāli atbildīga;</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w:t>
            </w:r>
            <w:r>
              <w:rPr>
                <w:b/>
                <w:i/>
              </w:rPr>
              <w:t>un vidējām</w:t>
            </w:r>
            <w:r>
              <w:t xml:space="preserve"> bankām ir nepieciešama zināma elastība </w:t>
            </w:r>
            <w:r>
              <w:rPr>
                <w:b/>
                <w:i/>
              </w:rPr>
              <w:t>― jo to gadījumā noregulējuma satvars bieži vien nebūs vispiemērotākais instruments un tāpēc priekšroka ir dodama likvidācijai, izmantojot parasto maksātnespējas procedūru, ―</w:t>
            </w:r>
            <w:r>
              <w:t xml:space="preserve"> un iestādēm </w:t>
            </w:r>
            <w:r>
              <w:rPr>
                <w:b/>
                <w:i/>
              </w:rPr>
              <w:t>ir nepieciešami</w:t>
            </w:r>
            <w:r>
              <w:t xml:space="preserve"> efektīvi instrumenti, lai nodrošinātu to, ka banku savienība ir noturīga un sociāli atbildīga;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nodrošinātu to, ka banku savienība ir noturīga un sociāli atbildīga;</w:t>
            </w:r>
          </w:p>
        </w:tc>
        <w:tc>
          <w:tcPr>
            <w:tcW w:w="4876" w:type="dxa"/>
            <w:tcBorders>
              <w:top w:val="nil"/>
              <w:left w:val="nil"/>
              <w:bottom w:val="nil"/>
              <w:right w:val="nil"/>
            </w:tcBorders>
          </w:tcPr>
          <w:p>
            <w:pPr>
              <w:pStyle w:val="Normal6a"/>
            </w:pPr>
            <w:r>
              <w:t>15.</w:t>
            </w:r>
            <w:r>
              <w:tab/>
            </w:r>
            <w:r>
              <w:t xml:space="preserve">atzinīgi vērtē krīzes pārvaldības un noguldījumu apdrošināšanas satvara reformu, lai nodrošinātu saskaņotu krīzes pārvaldību un noguldījumu apdrošināšanu, palielinātu stabilitāti un aizsargātu uzkrājumus un nodokļu maksātājus; uzsver, ka mazākām bankām ir nepieciešama zināma elastība un iestādēm – efektīvi instrumenti, lai nodrošinātu to, ka banku savienība ir noturīga un sociāli atbildīga; </w:t>
            </w:r>
            <w:r>
              <w:rPr>
                <w:b/>
                <w:i/>
              </w:rPr>
              <w:t>uzsver nepieciešamību atvieglot noguldījumu apdrošināšanas fondu izmantošanu noregulēšanai;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atzinīgi vērtē priekšlikumu Eiropas Parlamenta un Padomes direktīvai, ar ko saskaņo konkrētus maksātnespējas tiesību aspektus, jo maksātnespējas tiesību aktu un pārstrukturēšanas procedūru turpmāka saskaņošana varētu veicināt banku savienības izveides pabeigšanu;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uzsver, ka </w:t>
            </w:r>
            <w:r>
              <w:rPr>
                <w:b/>
                <w:i/>
              </w:rPr>
              <w:t>bankas bankrota gadījumā atbildība vispirms būtu jāuzņemas akcionāriem, kreditoriem vai nozares finansētiem mehānismiem un ka publiskie līdzekļi būtu jāizmanto tikai kā galējais līdzeklis atbilstoši fiskālajai atbildībai, sociālajam taisnīgumam un</w:t>
            </w:r>
            <w:r>
              <w:t xml:space="preserve"> tirgus </w:t>
            </w:r>
            <w:r>
              <w:rPr>
                <w:b/>
                <w:i/>
              </w:rPr>
              <w:t>disciplīnai</w:t>
            </w:r>
            <w:r>
              <w:t>;</w:t>
            </w:r>
          </w:p>
        </w:tc>
        <w:tc>
          <w:tcPr>
            <w:tcW w:w="4876" w:type="dxa"/>
            <w:tcBorders>
              <w:top w:val="nil"/>
              <w:left w:val="nil"/>
              <w:bottom w:val="nil"/>
              <w:right w:val="nil"/>
            </w:tcBorders>
          </w:tcPr>
          <w:p>
            <w:pPr>
              <w:pStyle w:val="Normal6a"/>
            </w:pPr>
            <w:r>
              <w:t>16.</w:t>
            </w:r>
            <w:r>
              <w:tab/>
            </w:r>
            <w:r>
              <w:rPr>
                <w:b/>
                <w:i/>
              </w:rPr>
              <w:t>uzsver nepieciešamību pastāvīgi un efektīvi uzraudzīt atbilstību prudenciālajiem un noregulēšanas noteikumiem, kas nodrošina iekšējās rekapitalizācijas instrumentu ticamību un efektīvu izmantošanu gadījumos, kad bankas saskaras ar finansiālām grūtībām;</w:t>
            </w:r>
            <w:r>
              <w:t xml:space="preserve"> uzsver, ka </w:t>
            </w:r>
            <w:r>
              <w:rPr>
                <w:b/>
                <w:i/>
              </w:rPr>
              <w:t>grūtības nonākušu finanšu institūciju glābšanai, izmantojot publiskos līdzekļus, arī turpmāk jābūt galējam līdzeklim, lai saglabātu fiskālo atbildību, aizsargātu nodokļu maksātājus un uzturētu</w:t>
            </w:r>
            <w:r>
              <w:t xml:space="preserve"> tirgus </w:t>
            </w:r>
            <w:r>
              <w:rPr>
                <w:b/>
                <w:i/>
              </w:rPr>
              <w:t>disciplīnu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uzsver, ka bankas bankrota gadījumā </w:t>
            </w:r>
            <w:r>
              <w:rPr>
                <w:b/>
                <w:i/>
              </w:rPr>
              <w:t>atbildība</w:t>
            </w:r>
            <w:r>
              <w:t xml:space="preserve"> vispirms būtu jāuzņemas akcionāriem, kreditoriem </w:t>
            </w:r>
            <w:r>
              <w:rPr>
                <w:b/>
                <w:i/>
              </w:rPr>
              <w:t>vai</w:t>
            </w:r>
            <w:r>
              <w:t xml:space="preserve"> nozares finansētiem mehānismiem </w:t>
            </w:r>
            <w:r>
              <w:rPr>
                <w:b/>
                <w:i/>
              </w:rPr>
              <w:t>un ka publiskie līdzekļi būtu jāizmanto</w:t>
            </w:r>
            <w:r>
              <w:t xml:space="preserve"> tikai kā galējais līdzeklis </w:t>
            </w:r>
            <w:r>
              <w:rPr>
                <w:b/>
                <w:i/>
              </w:rPr>
              <w:t>atbilstoši fiskālajai atbildībai, sociālajam taisnīgumam un tirgus disciplīnai</w:t>
            </w:r>
            <w:r>
              <w:t>;</w:t>
            </w:r>
          </w:p>
        </w:tc>
        <w:tc>
          <w:tcPr>
            <w:tcW w:w="4876" w:type="dxa"/>
            <w:tcBorders>
              <w:top w:val="nil"/>
              <w:left w:val="nil"/>
              <w:bottom w:val="nil"/>
              <w:right w:val="nil"/>
            </w:tcBorders>
          </w:tcPr>
          <w:p>
            <w:pPr>
              <w:pStyle w:val="Normal6a"/>
            </w:pPr>
            <w:r>
              <w:t>16.</w:t>
            </w:r>
            <w:r>
              <w:tab/>
            </w:r>
            <w:r>
              <w:t>uzsver, ka</w:t>
            </w:r>
            <w:r>
              <w:rPr>
                <w:b/>
                <w:i/>
              </w:rPr>
              <w:t> saskaņā ar atbildības un tirgus disciplīnas principu</w:t>
            </w:r>
            <w:r>
              <w:t xml:space="preserve"> bankas bankrota gadījumā </w:t>
            </w:r>
            <w:r>
              <w:rPr>
                <w:b/>
                <w:i/>
              </w:rPr>
              <w:t>zaudējumi</w:t>
            </w:r>
            <w:r>
              <w:t xml:space="preserve"> vispirms būtu jāuzņemas akcionāriem, kreditoriem </w:t>
            </w:r>
            <w:r>
              <w:rPr>
                <w:b/>
                <w:i/>
              </w:rPr>
              <w:t>un</w:t>
            </w:r>
            <w:r>
              <w:t xml:space="preserve"> nozares finansētiem mehānismiem</w:t>
            </w:r>
            <w:r>
              <w:rPr>
                <w:b/>
                <w:i/>
              </w:rPr>
              <w:t>;</w:t>
            </w:r>
            <w:r>
              <w:t xml:space="preserve"> </w:t>
            </w:r>
            <w:r>
              <w:rPr>
                <w:b/>
                <w:i/>
              </w:rPr>
              <w:t>uzsver, ka publisko līdzekļu izmantošana būtu jāapsver</w:t>
            </w:r>
            <w:r>
              <w:t xml:space="preserve"> tikai kā galējais līdzeklis </w:t>
            </w:r>
            <w:r>
              <w:rPr>
                <w:b/>
                <w:i/>
              </w:rPr>
              <w:t>un ārkārtējos apstākļos, lai aizsargātu nodokļu maksātājus un saglabātu finanšu stabilitāti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uzsver, ka bankas </w:t>
            </w:r>
            <w:r>
              <w:rPr>
                <w:b/>
                <w:i/>
              </w:rPr>
              <w:t>bankrota</w:t>
            </w:r>
            <w:r>
              <w:t xml:space="preserve"> gadījumā atbildība vispirms būtu jāuzņemas </w:t>
            </w:r>
            <w:r>
              <w:rPr>
                <w:b/>
                <w:i/>
              </w:rPr>
              <w:t>akcionāriem, kreditoriem vai</w:t>
            </w:r>
            <w:r>
              <w:t xml:space="preserve"> nozares </w:t>
            </w:r>
            <w:r>
              <w:rPr>
                <w:b/>
                <w:i/>
              </w:rPr>
              <w:t>finansētiem mehānismiem un ka</w:t>
            </w:r>
            <w:r>
              <w:t xml:space="preserve"> publiskie līdzekļi būtu jāizmanto tikai kā galējais līdzeklis atbilstoši fiskālajai atbildībai, sociālajam taisnīgumam un tirgus disciplīnai;</w:t>
            </w:r>
          </w:p>
        </w:tc>
        <w:tc>
          <w:tcPr>
            <w:tcW w:w="4876" w:type="dxa"/>
            <w:tcBorders>
              <w:top w:val="nil"/>
              <w:left w:val="nil"/>
              <w:bottom w:val="nil"/>
              <w:right w:val="nil"/>
            </w:tcBorders>
          </w:tcPr>
          <w:p>
            <w:pPr>
              <w:pStyle w:val="Normal6a"/>
            </w:pPr>
            <w:r>
              <w:t>16.</w:t>
            </w:r>
            <w:r>
              <w:tab/>
            </w:r>
            <w:r>
              <w:t>uzsver, ka </w:t>
            </w:r>
            <w:r>
              <w:rPr>
                <w:b/>
                <w:i/>
              </w:rPr>
              <w:t>finansiālās grūtībās nonākušas</w:t>
            </w:r>
            <w:r>
              <w:t xml:space="preserve"> bankas gadījumā atbildība vispirms būtu jāuzņemas </w:t>
            </w:r>
            <w:r>
              <w:rPr>
                <w:b/>
                <w:i/>
              </w:rPr>
              <w:t>akcionāru un kreditoru iekšējai rekapitalizācijai, jo tā ir galvenais noregulējuma finansēšanas avots pirms jebkādas</w:t>
            </w:r>
            <w:r>
              <w:t xml:space="preserve"> nozares </w:t>
            </w:r>
            <w:r>
              <w:rPr>
                <w:b/>
                <w:i/>
              </w:rPr>
              <w:t>finansētu mehānismu izmantošanas, kas ir otrā aizsardzības līnija, savukārt</w:t>
            </w:r>
            <w:r>
              <w:t xml:space="preserve"> publiskie līdzekļi būtu jāizmanto tikai kā galējais līdzeklis atbilstoši fiskālajai atbildībai, sociālajam taisnīgumam un tirgus disciplīnai;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uzsver, ka bankas bankrota gadījumā atbildība vispirms būtu jāuzņemas akcionāriem, kreditoriem vai nozares finansētiem mehānismiem un ka publiskie līdzekļi būtu jāizmanto tikai kā galējais līdzeklis atbilstoši fiskālajai atbildībai</w:t>
            </w:r>
            <w:r>
              <w:rPr>
                <w:b/>
                <w:i/>
              </w:rPr>
              <w:t>, sociālajam taisnīgumam</w:t>
            </w:r>
            <w:r>
              <w:t xml:space="preserve"> un tirgus disciplīnai;</w:t>
            </w:r>
          </w:p>
        </w:tc>
        <w:tc>
          <w:tcPr>
            <w:tcW w:w="4876" w:type="dxa"/>
            <w:tcBorders>
              <w:top w:val="nil"/>
              <w:left w:val="nil"/>
              <w:bottom w:val="nil"/>
              <w:right w:val="nil"/>
            </w:tcBorders>
          </w:tcPr>
          <w:p>
            <w:pPr>
              <w:pStyle w:val="Normal6a"/>
            </w:pPr>
            <w:r>
              <w:t>16.</w:t>
            </w:r>
            <w:r>
              <w:tab/>
            </w:r>
            <w:r>
              <w:t>uzsver, ka bankas bankrota gadījumā atbildība vispirms būtu jāuzņemas akcionāriem, kreditoriem vai nozares finansētiem mehānismiem un ka publiskie līdzekļi būtu jāizmanto tikai kā galējais līdzeklis </w:t>
            </w:r>
            <w:r>
              <w:rPr>
                <w:b/>
                <w:i/>
              </w:rPr>
              <w:t>― jo banku noregulēšanā ir jāizvairās no paļaušanās uz nodokļu maksātāju naudu ―</w:t>
            </w:r>
            <w:r>
              <w:t xml:space="preserve"> atbilstoši fiskālajai atbildībai un tirgus disciplīnai;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uzsver, ka bankas bankrota gadījumā atbildība vispirms būtu jāuzņemas akcionāriem, kreditoriem vai nozares finansētiem mehānismiem un ka publiskie līdzekļi būtu jāizmanto tikai kā galējais līdzeklis atbilstoši fiskālajai atbildībai</w:t>
            </w:r>
            <w:r>
              <w:rPr>
                <w:b/>
                <w:i/>
              </w:rPr>
              <w:t>, sociālajam taisnīgumam</w:t>
            </w:r>
            <w:r>
              <w:t xml:space="preserve"> un tirgus disciplīnai;</w:t>
            </w:r>
          </w:p>
        </w:tc>
        <w:tc>
          <w:tcPr>
            <w:tcW w:w="4876" w:type="dxa"/>
            <w:tcBorders>
              <w:top w:val="nil"/>
              <w:left w:val="nil"/>
              <w:bottom w:val="nil"/>
              <w:right w:val="nil"/>
            </w:tcBorders>
          </w:tcPr>
          <w:p>
            <w:pPr>
              <w:pStyle w:val="Normal6a"/>
            </w:pPr>
            <w:r>
              <w:t>16.</w:t>
            </w:r>
            <w:r>
              <w:tab/>
            </w:r>
            <w:r>
              <w:t>uzsver, ka bankas bankrota gadījumā atbildība vispirms būtu jāuzņemas akcionāriem, kreditoriem vai nozares finansētiem mehānismiem un ka publiskie līdzekļi būtu jāizmanto tikai kā galējais līdzeklis atbilstoši fiskālajai atbildībai un tirgus disciplīnai;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uzsver, ka bankas bankrota gadījumā atbildība vispirms </w:t>
            </w:r>
            <w:r>
              <w:rPr>
                <w:b/>
                <w:i/>
              </w:rPr>
              <w:t>būtu</w:t>
            </w:r>
            <w:r>
              <w:t xml:space="preserve"> jāuzņemas akcionāriem, kreditoriem vai nozares finansētiem mehānismiem un ka publiskie līdzekļi būtu jāizmanto tikai kā galējais līdzeklis atbilstoši fiskālajai atbildībai, sociālajam taisnīgumam un tirgus disciplīnai;</w:t>
            </w:r>
          </w:p>
        </w:tc>
        <w:tc>
          <w:tcPr>
            <w:tcW w:w="4876" w:type="dxa"/>
            <w:tcBorders>
              <w:top w:val="nil"/>
              <w:left w:val="nil"/>
              <w:bottom w:val="nil"/>
              <w:right w:val="nil"/>
            </w:tcBorders>
          </w:tcPr>
          <w:p>
            <w:pPr>
              <w:pStyle w:val="Normal6a"/>
            </w:pPr>
            <w:r>
              <w:t>16.</w:t>
            </w:r>
            <w:r>
              <w:tab/>
            </w:r>
            <w:r>
              <w:t xml:space="preserve">uzsver, ka bankas bankrota gadījumā atbildība vispirms </w:t>
            </w:r>
            <w:r>
              <w:rPr>
                <w:b/>
                <w:i/>
              </w:rPr>
              <w:t>ir</w:t>
            </w:r>
            <w:r>
              <w:t xml:space="preserve"> jāuzņemas akcionāriem, kreditoriem vai nozares finansētiem mehānismiem un ka publiskie līdzekļi būtu jāizmanto tikai kā galējais līdzeklis atbilstoši fiskālajai atbildībai, sociālajam taisnīgumam un tirgus disciplīnai;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atgādina, ka pietiekama minimuma prasība </w:t>
            </w:r>
            <w:r>
              <w:rPr>
                <w:b/>
                <w:i/>
              </w:rPr>
              <w:t>attiecībā uz pašu kapitālu</w:t>
            </w:r>
            <w:r>
              <w:t xml:space="preserve"> un atbilstīgajām saistībām (MREL) ir svarīga, lai izveidotu drošu noregulējuma satvaru un iestādēm nodrošinātu elastību, proti, iespējas piemērot atbilstošu noregulējuma stratēģiju krīzes </w:t>
            </w:r>
            <w:r>
              <w:rPr>
                <w:b/>
                <w:i/>
              </w:rPr>
              <w:t>gadījumā</w:t>
            </w:r>
            <w:r>
              <w:t>;</w:t>
            </w:r>
          </w:p>
        </w:tc>
        <w:tc>
          <w:tcPr>
            <w:tcW w:w="4876" w:type="dxa"/>
            <w:tcBorders>
              <w:top w:val="nil"/>
              <w:left w:val="nil"/>
              <w:bottom w:val="nil"/>
              <w:right w:val="nil"/>
            </w:tcBorders>
          </w:tcPr>
          <w:p>
            <w:pPr>
              <w:pStyle w:val="Normal6a"/>
            </w:pPr>
            <w:r>
              <w:t>17.</w:t>
            </w:r>
            <w:r>
              <w:tab/>
            </w:r>
            <w:r>
              <w:t xml:space="preserve">atgādina, ka pietiekama minimuma prasība </w:t>
            </w:r>
            <w:r>
              <w:rPr>
                <w:b/>
                <w:i/>
              </w:rPr>
              <w:t>pašu kapitālam</w:t>
            </w:r>
            <w:r>
              <w:t xml:space="preserve"> un atbilstīgajām saistībām (MREL) ir svarīga, lai izveidotu drošu noregulējuma satvaru un iestādēm nodrošinātu elastību, proti, iespējas </w:t>
            </w:r>
            <w:r>
              <w:rPr>
                <w:b/>
                <w:i/>
              </w:rPr>
              <w:t>efektīvi</w:t>
            </w:r>
            <w:r>
              <w:t xml:space="preserve"> piemērot atbilstošu noregulējuma stratēģiju krīzes </w:t>
            </w:r>
            <w:r>
              <w:rPr>
                <w:b/>
                <w:i/>
              </w:rPr>
              <w:t>situācijā, nodrošinot tirgus disciplīnu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atgādina, ka pietiekama minimuma prasība </w:t>
            </w:r>
            <w:r>
              <w:rPr>
                <w:b/>
                <w:i/>
              </w:rPr>
              <w:t>attiecībā uz pašu kapitālu</w:t>
            </w:r>
            <w:r>
              <w:t xml:space="preserve"> un atbilstīgajām saistībām (MREL) ir svarīga, lai izveidotu drošu noregulējuma satvaru un iestādēm nodrošinātu elastību, proti, iespējas piemērot atbilstošu noregulējuma stratēģiju krīzes gadījumā;</w:t>
            </w:r>
          </w:p>
        </w:tc>
        <w:tc>
          <w:tcPr>
            <w:tcW w:w="4876" w:type="dxa"/>
            <w:tcBorders>
              <w:top w:val="nil"/>
              <w:left w:val="nil"/>
              <w:bottom w:val="nil"/>
              <w:right w:val="nil"/>
            </w:tcBorders>
          </w:tcPr>
          <w:p>
            <w:pPr>
              <w:pStyle w:val="Normal6a"/>
            </w:pPr>
            <w:r>
              <w:t>17.</w:t>
            </w:r>
            <w:r>
              <w:tab/>
            </w:r>
            <w:r>
              <w:t xml:space="preserve">atgādina, ka pietiekama minimuma prasība </w:t>
            </w:r>
            <w:r>
              <w:rPr>
                <w:b/>
                <w:i/>
              </w:rPr>
              <w:t>pašu kapitālam</w:t>
            </w:r>
            <w:r>
              <w:t xml:space="preserve"> un atbilstīgajām saistībām (MREL) ir svarīga, lai izveidotu drošu noregulējuma satvaru un iestādēm nodrošinātu elastību, proti, iespējas piemērot atbilstošu noregulējuma stratēģiju krīzes gadījumā; </w:t>
            </w:r>
            <w:r>
              <w:rPr>
                <w:b/>
                <w:i/>
              </w:rPr>
              <w:t>uzsver, ka MREL prasības būtu jāpielāgo ikvienas bankas faktiskajai noregulējuma stratēģijai ― it īpaši gadījumos, kad līdztekus iekšējās rekapitalizācijas mehānismiem izmanto nodošanas instrumentus ―, lai nodrošinātu juridisko skaidrību un samērīgumu;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atgādina, ka pietiekama minimuma prasība </w:t>
            </w:r>
            <w:r>
              <w:rPr>
                <w:b/>
                <w:i/>
              </w:rPr>
              <w:t>attiecībā uz pašu kapitālu</w:t>
            </w:r>
            <w:r>
              <w:t xml:space="preserve"> un atbilstīgajām saistībām (MREL) ir svarīga, lai izveidotu drošu noregulējuma satvaru un iestādēm nodrošinātu elastību, proti, iespējas piemērot atbilstošu noregulējuma stratēģiju krīzes gadījumā;</w:t>
            </w:r>
          </w:p>
        </w:tc>
        <w:tc>
          <w:tcPr>
            <w:tcW w:w="4876" w:type="dxa"/>
            <w:tcBorders>
              <w:top w:val="nil"/>
              <w:left w:val="nil"/>
              <w:bottom w:val="nil"/>
              <w:right w:val="nil"/>
            </w:tcBorders>
          </w:tcPr>
          <w:p>
            <w:pPr>
              <w:pStyle w:val="Normal6a"/>
            </w:pPr>
            <w:r>
              <w:t>17.</w:t>
            </w:r>
            <w:r>
              <w:tab/>
            </w:r>
            <w:r>
              <w:t xml:space="preserve">atgādina, ka pietiekama minimuma prasība </w:t>
            </w:r>
            <w:r>
              <w:rPr>
                <w:b/>
                <w:i/>
              </w:rPr>
              <w:t>pašu kapitālam</w:t>
            </w:r>
            <w:r>
              <w:t xml:space="preserve"> un atbilstīgajām saistībām (MREL) ir svarīga, lai izveidotu drošu noregulējuma satvaru un iestādēm nodrošinātu elastību, proti, iespējas piemērot atbilstošu noregulējuma stratēģiju krīzes gadījumā; </w:t>
            </w:r>
            <w:r>
              <w:rPr>
                <w:b/>
                <w:i/>
              </w:rPr>
              <w:t>uzsver, ka pietiekamas MREL un nodrošinājuma pieejamība noregulēšanā ir priekšnoteikums banku noregulējamībai un ka MREL būtu jānosaka ļoti piesardzīgi;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atgādina, ka pietiekama minimuma prasība </w:t>
            </w:r>
            <w:r>
              <w:rPr>
                <w:b/>
                <w:i/>
              </w:rPr>
              <w:t>attiecībā uz pašu kapitālu</w:t>
            </w:r>
            <w:r>
              <w:t xml:space="preserve"> un atbilstīgajām saistībām (MREL) ir svarīga, lai izveidotu drošu noregulējuma satvaru un iestādēm nodrošinātu elastību, proti, iespējas piemērot atbilstošu noregulējuma stratēģiju krīzes gadījumā;</w:t>
            </w:r>
          </w:p>
        </w:tc>
        <w:tc>
          <w:tcPr>
            <w:tcW w:w="4876" w:type="dxa"/>
            <w:tcBorders>
              <w:top w:val="nil"/>
              <w:left w:val="nil"/>
              <w:bottom w:val="nil"/>
              <w:right w:val="nil"/>
            </w:tcBorders>
          </w:tcPr>
          <w:p>
            <w:pPr>
              <w:pStyle w:val="Normal6a"/>
            </w:pPr>
            <w:r>
              <w:t>17.</w:t>
            </w:r>
            <w:r>
              <w:tab/>
            </w:r>
            <w:r>
              <w:t xml:space="preserve">atgādina, ka pietiekama minimuma prasība </w:t>
            </w:r>
            <w:r>
              <w:rPr>
                <w:b/>
                <w:i/>
              </w:rPr>
              <w:t>pašu kapitālam</w:t>
            </w:r>
            <w:r>
              <w:t xml:space="preserve"> un atbilstīgajām saistībām (MREL) ir svarīga, lai izveidotu drošu noregulējuma satvaru un iestādēm nodrošinātu elastību, proti, iespējas piemērot atbilstošu noregulējuma stratēģiju krīzes gadījumā; </w:t>
            </w:r>
            <w:r>
              <w:rPr>
                <w:b/>
                <w:i/>
              </w:rPr>
              <w:t>uzsver, ka šai minimuma prasībai vajadzētu būt pietiekamai, lai efektīvi īstenotu jebkuru no bankas noregulēšanas plānā iekļautajām noregulējuma stratēģijām;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uzsver ― ja bankas atbilstīgās saistības tiek nodotas trešo valstu investoriem, vajadzētu būt pilnīgai noteiktībai par to, ka šo saistību norakstīšana vai konvertācija ir izpildāma, lai garantētu noregulējuma instrumentu efektīvu piemērošanu;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atgādina, ka bankām pēc noregulējuma ir jāturpina sniegt svarīgākos pakalpojumus; uzsver nepieciešamību pēc skaidra un paredzama satvara, kas aizsargātu noguldītājus un atbalstītu </w:t>
            </w:r>
            <w:r>
              <w:rPr>
                <w:b/>
                <w:i/>
              </w:rPr>
              <w:t>mazākos</w:t>
            </w:r>
            <w:r>
              <w:t xml:space="preserve"> klientus un MVU;</w:t>
            </w:r>
          </w:p>
        </w:tc>
        <w:tc>
          <w:tcPr>
            <w:tcW w:w="4876" w:type="dxa"/>
            <w:tcBorders>
              <w:top w:val="nil"/>
              <w:left w:val="nil"/>
              <w:bottom w:val="nil"/>
              <w:right w:val="nil"/>
            </w:tcBorders>
          </w:tcPr>
          <w:p>
            <w:pPr>
              <w:pStyle w:val="Normal6a"/>
            </w:pPr>
            <w:r>
              <w:t>18.</w:t>
            </w:r>
            <w:r>
              <w:tab/>
            </w:r>
            <w:r>
              <w:t xml:space="preserve">atgādina, ka bankām pēc noregulējuma ir jāturpina sniegt svarīgākos pakalpojumus; uzsver nepieciešamību pēc skaidra un paredzama satvara, kas aizsargātu noguldītājus un atbalstītu klientus un </w:t>
            </w:r>
            <w:r>
              <w:rPr>
                <w:b/>
                <w:i/>
              </w:rPr>
              <w:t>uzņēmumus, to skaitā</w:t>
            </w:r>
            <w:r>
              <w:t xml:space="preserve">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atgādina, ka bankām </w:t>
            </w:r>
            <w:r>
              <w:rPr>
                <w:b/>
                <w:i/>
              </w:rPr>
              <w:t>pēc</w:t>
            </w:r>
            <w:r>
              <w:t xml:space="preserve"> noregulējuma ir jāturpina sniegt svarīgākos pakalpojumus; uzsver nepieciešamību pēc skaidra un paredzama satvara, kas aizsargātu noguldītājus un atbalstītu mazākos klientus un MVU;</w:t>
            </w:r>
          </w:p>
        </w:tc>
        <w:tc>
          <w:tcPr>
            <w:tcW w:w="4876" w:type="dxa"/>
            <w:tcBorders>
              <w:top w:val="nil"/>
              <w:left w:val="nil"/>
              <w:bottom w:val="nil"/>
              <w:right w:val="nil"/>
            </w:tcBorders>
          </w:tcPr>
          <w:p>
            <w:pPr>
              <w:pStyle w:val="Normal6a"/>
            </w:pPr>
            <w:r>
              <w:t>18.</w:t>
            </w:r>
            <w:r>
              <w:tab/>
            </w:r>
            <w:r>
              <w:t xml:space="preserve">atgādina, ka bankām noregulējuma </w:t>
            </w:r>
            <w:r>
              <w:rPr>
                <w:b/>
                <w:i/>
              </w:rPr>
              <w:t>laikā</w:t>
            </w:r>
            <w:r>
              <w:t xml:space="preserve"> ir jāturpina sniegt svarīgākos pakalpojumus; uzsver nepieciešamību pēc skaidra un paredzama satvara, kas aizsargātu noguldītājus un atbalstītu mazākos klientus un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atzinīgi vērtē vienoto</w:t>
            </w:r>
            <w:r>
              <w:t xml:space="preserve"> noregulējuma </w:t>
            </w:r>
            <w:r>
              <w:rPr>
                <w:b/>
                <w:i/>
              </w:rPr>
              <w:t>fondu kā pilnībā kopīgotu, nozares finansētu</w:t>
            </w:r>
            <w:r>
              <w:t xml:space="preserve"> drošības </w:t>
            </w:r>
            <w:r>
              <w:rPr>
                <w:b/>
                <w:i/>
              </w:rPr>
              <w:t>tīklu;</w:t>
            </w:r>
            <w:r>
              <w:t xml:space="preserve"> </w:t>
            </w:r>
            <w:r>
              <w:rPr>
                <w:b/>
                <w:i/>
              </w:rPr>
              <w:t>atkārtoti prasa pilnībā ratificēt</w:t>
            </w:r>
            <w:r>
              <w:t xml:space="preserve"> ESM līguma </w:t>
            </w:r>
            <w:r>
              <w:rPr>
                <w:b/>
                <w:i/>
              </w:rPr>
              <w:t>grozīšanu, kas veikta, lai palielinātu ticamību, noregulējamību un eurozonas noturību</w:t>
            </w:r>
            <w:r>
              <w:t>;</w:t>
            </w:r>
          </w:p>
        </w:tc>
        <w:tc>
          <w:tcPr>
            <w:tcW w:w="4876" w:type="dxa"/>
            <w:tcBorders>
              <w:top w:val="nil"/>
              <w:left w:val="nil"/>
              <w:bottom w:val="nil"/>
              <w:right w:val="nil"/>
            </w:tcBorders>
          </w:tcPr>
          <w:p>
            <w:pPr>
              <w:pStyle w:val="Normal6a"/>
            </w:pPr>
            <w:r>
              <w:t>19.</w:t>
            </w:r>
            <w:r>
              <w:tab/>
            </w:r>
            <w:r>
              <w:rPr>
                <w:b/>
                <w:i/>
              </w:rPr>
              <w:t>kritiski atzīmē, ka vienotais</w:t>
            </w:r>
            <w:r>
              <w:t xml:space="preserve"> noregulējuma </w:t>
            </w:r>
            <w:r>
              <w:rPr>
                <w:b/>
                <w:i/>
              </w:rPr>
              <w:t>fonds, lai gan tas ir paredzēts kā</w:t>
            </w:r>
            <w:r>
              <w:t xml:space="preserve"> drošības </w:t>
            </w:r>
            <w:r>
              <w:rPr>
                <w:b/>
                <w:i/>
              </w:rPr>
              <w:t>tīkls, pašlaik uzspiež neskaidras iemaksu metodikas un tam trūkst pārredzamības, kas rada papildu izmaksu slogu bez pierādāmiem ieguvumiem efektivitātes ziņā;</w:t>
            </w:r>
            <w:r>
              <w:t xml:space="preserve"> </w:t>
            </w:r>
            <w:r>
              <w:rPr>
                <w:b/>
                <w:i/>
              </w:rPr>
              <w:t>tā vietā līdzekļus varētu labāk izmantot, valstīm izstrādājot skaidrāku stratēģisko plānu rīcībai neparedzētos gadījumos un piemērojot uz tirgu balstītu disciplīnu;</w:t>
            </w:r>
            <w:r>
              <w:t xml:space="preserve"> </w:t>
            </w:r>
            <w:r>
              <w:rPr>
                <w:b/>
                <w:i/>
              </w:rPr>
              <w:t>ievēro valstu parlamentu prerogatīvas attiecībā uz starpvaldību</w:t>
            </w:r>
            <w:r>
              <w:t xml:space="preserve"> ESM līguma </w:t>
            </w:r>
            <w:r>
              <w:rPr>
                <w:b/>
                <w:i/>
              </w:rPr>
              <w:t>ratifikāciju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atzinīgi vērtē vienoto</w:t>
            </w:r>
            <w:r>
              <w:t xml:space="preserve"> noregulējuma </w:t>
            </w:r>
            <w:r>
              <w:rPr>
                <w:b/>
                <w:i/>
              </w:rPr>
              <w:t>fondu kā</w:t>
            </w:r>
            <w:r>
              <w:t xml:space="preserve"> pilnībā </w:t>
            </w:r>
            <w:r>
              <w:rPr>
                <w:b/>
                <w:i/>
              </w:rPr>
              <w:t>kopīgotu</w:t>
            </w:r>
            <w:r>
              <w:t xml:space="preserve">, nozares </w:t>
            </w:r>
            <w:r>
              <w:rPr>
                <w:b/>
                <w:i/>
              </w:rPr>
              <w:t>finansētu</w:t>
            </w:r>
            <w:r>
              <w:t xml:space="preserve"> drošības </w:t>
            </w:r>
            <w:r>
              <w:rPr>
                <w:b/>
                <w:i/>
              </w:rPr>
              <w:t>tīklu</w:t>
            </w:r>
            <w:r>
              <w:t xml:space="preserve">; </w:t>
            </w:r>
            <w:r>
              <w:rPr>
                <w:b/>
                <w:i/>
              </w:rPr>
              <w:t>atkārtoti prasa pilnībā ratificēt ESM līguma grozīšanu, kas veikta, lai palielinātu ticamību, noregulējamību un eurozonas noturību;</w:t>
            </w:r>
          </w:p>
        </w:tc>
        <w:tc>
          <w:tcPr>
            <w:tcW w:w="4876" w:type="dxa"/>
            <w:tcBorders>
              <w:top w:val="nil"/>
              <w:left w:val="nil"/>
              <w:bottom w:val="nil"/>
              <w:right w:val="nil"/>
            </w:tcBorders>
          </w:tcPr>
          <w:p>
            <w:pPr>
              <w:pStyle w:val="Normal6a"/>
            </w:pPr>
            <w:r>
              <w:t>19.</w:t>
            </w:r>
            <w:r>
              <w:tab/>
            </w:r>
            <w:r>
              <w:rPr>
                <w:b/>
                <w:i/>
              </w:rPr>
              <w:t>atzīmē, ka vienotais</w:t>
            </w:r>
            <w:r>
              <w:t xml:space="preserve"> noregulējuma </w:t>
            </w:r>
            <w:r>
              <w:rPr>
                <w:b/>
                <w:i/>
              </w:rPr>
              <w:t>fonds ir</w:t>
            </w:r>
            <w:r>
              <w:t xml:space="preserve"> pilnībā </w:t>
            </w:r>
            <w:r>
              <w:rPr>
                <w:b/>
                <w:i/>
              </w:rPr>
              <w:t>kopīgots</w:t>
            </w:r>
            <w:r>
              <w:t xml:space="preserve">, nozares </w:t>
            </w:r>
            <w:r>
              <w:rPr>
                <w:b/>
                <w:i/>
              </w:rPr>
              <w:t>finansēts</w:t>
            </w:r>
            <w:r>
              <w:t xml:space="preserve"> drošības </w:t>
            </w:r>
            <w:r>
              <w:rPr>
                <w:b/>
                <w:i/>
              </w:rPr>
              <w:t>tīkls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atzinīgi vērtē vienoto noregulējuma fondu kā </w:t>
            </w:r>
            <w:r>
              <w:rPr>
                <w:b/>
                <w:i/>
              </w:rPr>
              <w:t>pilnībā kopīgotu, nozares finansētu drošības tīklu</w:t>
            </w:r>
            <w:r>
              <w:t xml:space="preserve">; atkārtoti prasa pilnībā ratificēt ESM līguma </w:t>
            </w:r>
            <w:r>
              <w:rPr>
                <w:b/>
                <w:i/>
              </w:rPr>
              <w:t>grozīšanu, kas veikta</w:t>
            </w:r>
            <w:r>
              <w:t>, lai palielinātu ticamību, noregulējamību un eurozonas noturību;</w:t>
            </w:r>
          </w:p>
        </w:tc>
        <w:tc>
          <w:tcPr>
            <w:tcW w:w="4876" w:type="dxa"/>
            <w:tcBorders>
              <w:top w:val="nil"/>
              <w:left w:val="nil"/>
              <w:bottom w:val="nil"/>
              <w:right w:val="nil"/>
            </w:tcBorders>
          </w:tcPr>
          <w:p>
            <w:pPr>
              <w:pStyle w:val="Normal6a"/>
            </w:pPr>
            <w:r>
              <w:t>19.</w:t>
            </w:r>
            <w:r>
              <w:tab/>
            </w:r>
            <w:r>
              <w:t xml:space="preserve">atzinīgi vērtē vienoto noregulējuma fondu kā </w:t>
            </w:r>
            <w:r>
              <w:rPr>
                <w:b/>
                <w:i/>
              </w:rPr>
              <w:t>atbalsta mehānismu, kas paredzēts, lai palīdzētu sakārtotā veidā pārvarēt banku krīzi</w:t>
            </w:r>
            <w:r>
              <w:t xml:space="preserve">; atkārtoti prasa pilnībā ratificēt ESM līguma </w:t>
            </w:r>
            <w:r>
              <w:rPr>
                <w:b/>
                <w:i/>
              </w:rPr>
              <w:t>grozījumu, kas tika veikts</w:t>
            </w:r>
            <w:r>
              <w:t>, lai palielinātu ticamību, noregulējamību un eurozonas noturību</w:t>
            </w:r>
            <w:r>
              <w:rPr>
                <w:b/>
                <w:i/>
              </w:rPr>
              <w:t>, vienlaikus saglabājot tirgus dusciplīnu un nodokļu maksātāju aizsardzību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atzinīgi vērtē vienoto noregulējuma fondu kā pilnībā kopīgotu, nozares finansētu drošības tīklu; atkārtoti prasa pilnībā ratificēt ESM līguma grozīšanu, kas veikta, lai palielinātu ticamību, noregulējamību un eurozonas noturību;</w:t>
            </w:r>
          </w:p>
        </w:tc>
        <w:tc>
          <w:tcPr>
            <w:tcW w:w="4876" w:type="dxa"/>
            <w:tcBorders>
              <w:top w:val="nil"/>
              <w:left w:val="nil"/>
              <w:bottom w:val="nil"/>
              <w:right w:val="nil"/>
            </w:tcBorders>
          </w:tcPr>
          <w:p>
            <w:pPr>
              <w:pStyle w:val="Normal6a"/>
            </w:pPr>
            <w:r>
              <w:t>19.</w:t>
            </w:r>
            <w:r>
              <w:tab/>
            </w:r>
            <w:r>
              <w:t xml:space="preserve">atzinīgi vērtē vienoto noregulējuma fondu kā pilnībā kopīgotu, nozares finansētu drošības tīklu; atkārtoti prasa pilnībā ratificēt ESM līguma grozīšanu, kas veikta, lai palielinātu ticamību, noregulējamību un eurozonas noturību; </w:t>
            </w:r>
            <w:r>
              <w:rPr>
                <w:b/>
                <w:i/>
              </w:rPr>
              <w:t>uzsver mērķi ― aizsargāt nodokļu maksātājus noregulēšanas gadījumā ― un atgādina, ka grūtībās nonākušu banku glābšanai nevajadzētu izmantot nekādus citus nodokļu maksātāju līdzekļus, tikai saskaņoto kopīgo atbalsta mehānismu;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prasa, lai visas dalībvalstis pilnībā ratificētu nolīgumu par ESM līguma grozīšanu, tostarp, izveidot kopēju atbalsta mehānismu vienotajam noregulējuma fondam;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atgādina, ka nulles riska svēruma politika attiecībā uz valsts parādu ir problēma, kas jārisina;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pauž nožēlu par dzimumu līdzsvara trūkumu VNV vadībā;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uzsver, ka Komisijas priekšlikums izveidot Eiropas noguldījumu apdrošināšanas sistēmu tika publicēts vēl tālajā 2015. gadā un ka kopš tā laika situācija ir būtiski mainījusies;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no jauna apstiprina stingro apņemšanos izveidot pilnībā funkcionējošu ENAS kā trešo un pēdējo, un svarīgu</w:t>
            </w:r>
            <w:r>
              <w:t xml:space="preserve"> banku </w:t>
            </w:r>
            <w:r>
              <w:rPr>
                <w:b/>
                <w:i/>
              </w:rPr>
              <w:t>savienības pīlāru</w:t>
            </w:r>
            <w:r>
              <w:t>;</w:t>
            </w:r>
          </w:p>
        </w:tc>
        <w:tc>
          <w:tcPr>
            <w:tcW w:w="4876" w:type="dxa"/>
            <w:tcBorders>
              <w:top w:val="nil"/>
              <w:left w:val="nil"/>
              <w:bottom w:val="nil"/>
              <w:right w:val="nil"/>
            </w:tcBorders>
          </w:tcPr>
          <w:p>
            <w:pPr>
              <w:pStyle w:val="Normal6a"/>
            </w:pPr>
            <w:r>
              <w:t>20.</w:t>
            </w:r>
            <w:r>
              <w:tab/>
            </w:r>
            <w:r>
              <w:rPr>
                <w:b/>
                <w:i/>
              </w:rPr>
              <w:t>noraida ENAS;</w:t>
            </w:r>
            <w:r>
              <w:t xml:space="preserve"> </w:t>
            </w:r>
            <w:r>
              <w:rPr>
                <w:b/>
                <w:i/>
              </w:rPr>
              <w:t>pauž pārliecību, ka kopīgota noguldījumu apdrošināšana būtībā nozīmē riska novirzīšanu uz spēcīgākām ekonomikām un ka tā vājina noguldītāju motivāciju uzraudzīt</w:t>
            </w:r>
            <w:r>
              <w:t xml:space="preserve"> banku </w:t>
            </w:r>
            <w:r>
              <w:rPr>
                <w:b/>
                <w:i/>
              </w:rPr>
              <w:t>risku, radot bezrūpīgas rīcības risku</w:t>
            </w:r>
            <w:r>
              <w:t xml:space="preserve">; </w:t>
            </w:r>
            <w:r>
              <w:rPr>
                <w:b/>
                <w:i/>
              </w:rPr>
              <w:t>tā vietā atbalsta spēcīgas valstu sistēmas ar saskaņotiem minimālajiem standartiem, kas saglabā tirgus cenu signālus un atbildību;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no jauna apstiprina stingro apņemšanos izveidot pilnībā funkcionējošu ENAS kā trešo un pēdējo, un svarīgu banku savienības pīlāru</w:t>
            </w:r>
            <w:r>
              <w:t>;</w:t>
            </w:r>
          </w:p>
        </w:tc>
        <w:tc>
          <w:tcPr>
            <w:tcW w:w="4876" w:type="dxa"/>
            <w:tcBorders>
              <w:top w:val="nil"/>
              <w:left w:val="nil"/>
              <w:bottom w:val="nil"/>
              <w:right w:val="nil"/>
            </w:tcBorders>
          </w:tcPr>
          <w:p>
            <w:pPr>
              <w:pStyle w:val="Normal6a"/>
            </w:pPr>
            <w:r>
              <w:t>20.</w:t>
            </w:r>
            <w:r>
              <w:tab/>
            </w:r>
            <w:r>
              <w:rPr>
                <w:b/>
                <w:i/>
              </w:rPr>
              <w:t>vērš uzmanību uz nepieciešamību institucionālās aizsardzības shēmas izslēgt no Eiropas noguldījumu apdrošināšanas sistēmas, lai nodrošinātu to nepārtrauktu darbību, vienlaikus saglabājot institucionālo aizsardzības sistēmu (IAS) autonomiju un efektivitāti un ievērojot īpašos noteikumus par IAS, par kuriem tika panākta vienošanās krīzes pārvaldības un noguldījumu apdrošināšanas satvara pārskatīšanā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no jauna apstiprina stingro apņemšanos izveidot pilnībā funkcionējošu ENAS kā trešo un pēdējo, un svarīgu</w:t>
            </w:r>
            <w:r>
              <w:t xml:space="preserve"> banku savienības </w:t>
            </w:r>
            <w:r>
              <w:rPr>
                <w:b/>
                <w:i/>
              </w:rPr>
              <w:t>pīlāru</w:t>
            </w:r>
            <w:r>
              <w:t>;</w:t>
            </w:r>
          </w:p>
        </w:tc>
        <w:tc>
          <w:tcPr>
            <w:tcW w:w="4876" w:type="dxa"/>
            <w:tcBorders>
              <w:top w:val="nil"/>
              <w:left w:val="nil"/>
              <w:bottom w:val="nil"/>
              <w:right w:val="nil"/>
            </w:tcBorders>
          </w:tcPr>
          <w:p>
            <w:pPr>
              <w:pStyle w:val="Normal6a"/>
            </w:pPr>
            <w:r>
              <w:t>20.</w:t>
            </w:r>
            <w:r>
              <w:tab/>
            </w:r>
            <w:r>
              <w:rPr>
                <w:b/>
                <w:i/>
              </w:rPr>
              <w:t>pieņem zināšanai Eurogrupas 2022. gada 16. jūnija paziņojumu par</w:t>
            </w:r>
            <w:r>
              <w:t xml:space="preserve"> banku savienības </w:t>
            </w:r>
            <w:r>
              <w:rPr>
                <w:b/>
                <w:i/>
              </w:rPr>
              <w:t>nākotni un atzīst, ka jebkādām diskusijām par ENAS vajadzētu būt daļai no plašākas diskusijas par visiem atlikušajiem banku savienības elementiem, nodrošinot samērīgumu un ņemot vērā valstu īpatnības</w:t>
            </w:r>
            <w:r>
              <w:t xml:space="preserve">; </w:t>
            </w:r>
            <w:r>
              <w:rPr>
                <w:b/>
                <w:i/>
              </w:rPr>
              <w:t>uzsver, ka, pirms sākt jebkādu konkrētu tiesību aktu priekšlikumu izstrādi, būtu jāpanāk vienprātīga vienošanās par iespējamiem turpmākiem banku savienības pamatelementiem;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no jauna apstiprina stingro apņemšanos </w:t>
            </w:r>
            <w:r>
              <w:rPr>
                <w:b/>
                <w:i/>
              </w:rPr>
              <w:t>izveidot pilnībā funkcionējošu ENAS kā trešo un pēdējo, un svarīgu</w:t>
            </w:r>
            <w:r>
              <w:t xml:space="preserve"> banku savienības </w:t>
            </w:r>
            <w:r>
              <w:rPr>
                <w:b/>
                <w:i/>
              </w:rPr>
              <w:t>pīlāru</w:t>
            </w:r>
            <w:r>
              <w:t>;</w:t>
            </w:r>
          </w:p>
        </w:tc>
        <w:tc>
          <w:tcPr>
            <w:tcW w:w="4876" w:type="dxa"/>
            <w:tcBorders>
              <w:top w:val="nil"/>
              <w:left w:val="nil"/>
              <w:bottom w:val="nil"/>
              <w:right w:val="nil"/>
            </w:tcBorders>
          </w:tcPr>
          <w:p>
            <w:pPr>
              <w:pStyle w:val="Normal6a"/>
            </w:pPr>
            <w:r>
              <w:t>20.</w:t>
            </w:r>
            <w:r>
              <w:tab/>
            </w:r>
            <w:r>
              <w:t xml:space="preserve">no jauna apstiprina stingro apņemšanos </w:t>
            </w:r>
            <w:r>
              <w:rPr>
                <w:b/>
                <w:i/>
              </w:rPr>
              <w:t>turpināt</w:t>
            </w:r>
            <w:r>
              <w:t xml:space="preserve"> banku savienības </w:t>
            </w:r>
            <w:r>
              <w:rPr>
                <w:b/>
                <w:i/>
              </w:rPr>
              <w:t>attīstīšanu, pienācīgi ņemot vērā nacionālās īpatnības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no jauna apstiprina stingro apņemšanos </w:t>
            </w:r>
            <w:r>
              <w:rPr>
                <w:b/>
                <w:i/>
              </w:rPr>
              <w:t>izveidot pilnībā funkcionējošu ENAS kā trešo un pēdējo, un svarīgu</w:t>
            </w:r>
            <w:r>
              <w:t xml:space="preserve"> banku </w:t>
            </w:r>
            <w:r>
              <w:rPr>
                <w:b/>
                <w:i/>
              </w:rPr>
              <w:t>savienības pīlāru</w:t>
            </w:r>
            <w:r>
              <w:t>;</w:t>
            </w:r>
          </w:p>
        </w:tc>
        <w:tc>
          <w:tcPr>
            <w:tcW w:w="4876" w:type="dxa"/>
            <w:tcBorders>
              <w:top w:val="nil"/>
              <w:left w:val="nil"/>
              <w:bottom w:val="nil"/>
              <w:right w:val="nil"/>
            </w:tcBorders>
          </w:tcPr>
          <w:p>
            <w:pPr>
              <w:pStyle w:val="Normal6a"/>
            </w:pPr>
            <w:r>
              <w:t>20.</w:t>
            </w:r>
            <w:r>
              <w:tab/>
            </w:r>
            <w:r>
              <w:t xml:space="preserve">no jauna apstiprina stingro apņemšanos </w:t>
            </w:r>
            <w:r>
              <w:rPr>
                <w:b/>
                <w:i/>
              </w:rPr>
              <w:t>attiecībā uz noturīgu un pilnīgu</w:t>
            </w:r>
            <w:r>
              <w:t xml:space="preserve"> banku </w:t>
            </w:r>
            <w:r>
              <w:rPr>
                <w:b/>
                <w:i/>
              </w:rPr>
              <w:t>savienību;</w:t>
            </w:r>
            <w:r>
              <w:t xml:space="preserve"> </w:t>
            </w:r>
            <w:r>
              <w:rPr>
                <w:b/>
                <w:i/>
              </w:rPr>
              <w:t>atgādina, ka ENAS izveides jomā progresu nav panācis neviens no abiem likumdevējiem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no jauna apstiprina stingro apņemšanos izveidot pilnībā </w:t>
            </w:r>
            <w:r>
              <w:rPr>
                <w:b/>
                <w:i/>
              </w:rPr>
              <w:t>funkcionējošu ENAS</w:t>
            </w:r>
            <w:r>
              <w:t xml:space="preserve"> kā trešo un pēdējo, un svarīgu banku savienības pīlāru;</w:t>
            </w:r>
          </w:p>
        </w:tc>
        <w:tc>
          <w:tcPr>
            <w:tcW w:w="4876" w:type="dxa"/>
            <w:tcBorders>
              <w:top w:val="nil"/>
              <w:left w:val="nil"/>
              <w:bottom w:val="nil"/>
              <w:right w:val="nil"/>
            </w:tcBorders>
          </w:tcPr>
          <w:p>
            <w:pPr>
              <w:pStyle w:val="Normal6a"/>
            </w:pPr>
            <w:r>
              <w:t>20.</w:t>
            </w:r>
            <w:r>
              <w:tab/>
            </w:r>
            <w:r>
              <w:t xml:space="preserve">no jauna apstiprina stingro apņemšanos izveidot </w:t>
            </w:r>
            <w:r>
              <w:rPr>
                <w:b/>
                <w:i/>
              </w:rPr>
              <w:t>tādu ENAS, kurā</w:t>
            </w:r>
            <w:r>
              <w:t xml:space="preserve"> pilnībā </w:t>
            </w:r>
            <w:r>
              <w:rPr>
                <w:b/>
                <w:i/>
              </w:rPr>
              <w:t>būtu ņemtas vērā valstu īpatnības,</w:t>
            </w:r>
            <w:r>
              <w:t xml:space="preserve"> kā trešo un pēdējo, un svarīgu banku savienības pīlāru;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t>20.</w:t>
            </w:r>
            <w:r>
              <w:tab/>
            </w:r>
            <w:r>
              <w:t xml:space="preserve">no jauna apstiprina stingro apņemšanos izveidot pilnībā funkcionējošu </w:t>
            </w:r>
            <w:r>
              <w:rPr>
                <w:b/>
                <w:i/>
              </w:rPr>
              <w:t>kopīgotu</w:t>
            </w:r>
            <w:r>
              <w:t xml:space="preserve"> ENAS kā trešo un pēdējo, un svarīgu banku savienības pīlāru; </w:t>
            </w:r>
            <w:r>
              <w:rPr>
                <w:b/>
                <w:i/>
              </w:rPr>
              <w:t>uzsver, ka kopēja noguldījumu aizsardzības sistēma ir nepieciešama, lai noguldītājiem nodrošinātu vienādu aizsardzību visā ES, vēl vairāk pastiprinātu finanšu stabilitāti un izlēmīgi vājinātu atlikušo saikni starp bankām un valdībām;</w:t>
            </w:r>
            <w:r>
              <w:t xml:space="preserve"> </w:t>
            </w:r>
            <w:r>
              <w:rPr>
                <w:b/>
                <w:i/>
              </w:rPr>
              <w:t>uzsver, ka ENAS izveides pabeigšana būtu jāveic tā, lai tā būtu balstīta uz risku, fiskāli atbildīga un papildināta ar pastāvīgiem centieniem mazināt risku, tādējādi palielinot uzticēšanos tirgum un vienotā banku pakalpojumu tirgus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t>20.</w:t>
            </w:r>
            <w:r>
              <w:tab/>
            </w:r>
            <w:r>
              <w:t>no jauna apstiprina stingro apņemšanos izveidot pilnībā funkcionējošu ENAS</w:t>
            </w:r>
            <w:r>
              <w:rPr>
                <w:b/>
                <w:i/>
              </w:rPr>
              <w:t>, kas nodrošina zaudējumu segumu,</w:t>
            </w:r>
            <w:r>
              <w:t xml:space="preserve"> kā trešo un pēdējo, un svarīgu banku savienības pīlāru; </w:t>
            </w:r>
            <w:r>
              <w:rPr>
                <w:b/>
                <w:i/>
              </w:rPr>
              <w:t>atgādina, ka ENAS būtiski vājinātu apburto loku starp bankām un to valsts valdību;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t>20.</w:t>
            </w:r>
            <w:r>
              <w:tab/>
            </w:r>
            <w:r>
              <w:t>no jauna apstiprina stingro apņemšanos izveidot pilnībā funkcionējošu ENAS kā trešo un pēdējo, un svarīgu banku savienības pīlāru</w:t>
            </w:r>
            <w:r>
              <w:rPr>
                <w:b/>
                <w:i/>
              </w:rPr>
              <w:t>, balstoties uz pienācīgu riska mazināšanu, pareiziem stimuliem un tādu projektu, kas palielina noguldītāju uzticēšanos, tirgus disciplīnu un finanšu stabilitāti visā 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no jauna apstiprina stingro apņemšanos izveidot </w:t>
            </w:r>
            <w:r>
              <w:rPr>
                <w:b/>
                <w:i/>
              </w:rPr>
              <w:t>pilnībā funkcionējošu</w:t>
            </w:r>
            <w:r>
              <w:t xml:space="preserve"> ENAS kā trešo un pēdējo, un svarīgu banku savienības pīlāru;</w:t>
            </w:r>
          </w:p>
        </w:tc>
        <w:tc>
          <w:tcPr>
            <w:tcW w:w="4876" w:type="dxa"/>
            <w:tcBorders>
              <w:top w:val="nil"/>
              <w:left w:val="nil"/>
              <w:bottom w:val="nil"/>
              <w:right w:val="nil"/>
            </w:tcBorders>
          </w:tcPr>
          <w:p>
            <w:pPr>
              <w:pStyle w:val="Normal6a"/>
            </w:pPr>
            <w:r>
              <w:t>20.</w:t>
            </w:r>
            <w:r>
              <w:tab/>
            </w:r>
            <w:r>
              <w:t xml:space="preserve">no jauna apstiprina stingro apņemšanos izveidot ENAS kā trešo un pēdējo, un svarīgu banku savienības pīlāru; </w:t>
            </w:r>
            <w:r>
              <w:rPr>
                <w:b/>
                <w:i/>
              </w:rPr>
              <w:t>uzskata, ka pakāpeniskai Eiropas noguldījumu apdrošināšanas sistēmas ieviešanai būtu jāmazina risks visām banku savienībā esošajām bankām;</w:t>
            </w:r>
            <w:r>
              <w:t xml:space="preserve"> </w:t>
            </w:r>
            <w:r>
              <w:rPr>
                <w:b/>
                <w:i/>
              </w:rPr>
              <w:t>uzsver, ka, nosakot iemaksas Eiropas noguldījumu apdrošināšanas sistēmā, būtu jāņem vērā ikvienas iesaistītās nozares riska profils;</w:t>
            </w:r>
            <w:r>
              <w:t xml:space="preserve"> </w:t>
            </w:r>
            <w:r>
              <w:rPr>
                <w:b/>
                <w:i/>
              </w:rPr>
              <w:t>uzsver arī to, ka svarīgi ir pilnībā piemērot pašreizējos noteikumus, tostarp tādus mehānismus kā atbrīvojumi likviditātes jomā, jo tas ir viens no veidiem, kā nodrošināt brīvu kapitāla un likvīdu plūsmu grupas iekšienē, tādējādi ļaujot Eiropas bankām efektīvi finansēt uzņēmumus visā ES un uzlabot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no jauna apstiprina stingro apņemšanos izveidot pilnībā funkcionējošu ENAS kā trešo un pēdējo, un svarīgu banku savienības pīlāru;</w:t>
            </w:r>
          </w:p>
        </w:tc>
        <w:tc>
          <w:tcPr>
            <w:tcW w:w="4876" w:type="dxa"/>
            <w:tcBorders>
              <w:top w:val="nil"/>
              <w:left w:val="nil"/>
              <w:bottom w:val="nil"/>
              <w:right w:val="nil"/>
            </w:tcBorders>
          </w:tcPr>
          <w:p>
            <w:pPr>
              <w:pStyle w:val="Normal6a"/>
            </w:pPr>
            <w:r>
              <w:t>20.</w:t>
            </w:r>
            <w:r>
              <w:tab/>
            </w:r>
            <w:r>
              <w:t xml:space="preserve">no jauna apstiprina stingro apņemšanos izveidot pilnībā funkcionējošu ENAS kā trešo un pēdējo, un svarīgu banku savienības pīlāru; </w:t>
            </w:r>
            <w:r>
              <w:rPr>
                <w:b/>
                <w:i/>
              </w:rPr>
              <w:t>pauž nožēlu par to, ka banku savienība joprojām ir nepilnīga, jo trūkst ENAS;</w:t>
            </w:r>
            <w:r>
              <w:t xml:space="preserve"> </w:t>
            </w:r>
            <w:r>
              <w:rPr>
                <w:b/>
                <w:i/>
              </w:rPr>
              <w:t>atzīst, ka ENAS uzlabotu noguldītāju aizsardzību ES;</w:t>
            </w:r>
            <w:r>
              <w:t xml:space="preserve"> </w:t>
            </w:r>
            <w:r>
              <w:rPr>
                <w:b/>
                <w:i/>
              </w:rPr>
              <w:t>atgādina, ka ENAS līdzās uzlabotai konkurencei un lielākai patērētājiem pieejamai izvēlei būtu reāli ES iedzīvotājiem kalpojošas banku savienības elementi;</w:t>
            </w:r>
            <w:r>
              <w:t xml:space="preserve"> </w:t>
            </w:r>
            <w:r>
              <w:rPr>
                <w:b/>
                <w:i/>
              </w:rPr>
              <w:t>uzskata, ka ENAS sniegs cerētos rezultātus;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atzīst, ka Eiropas noguldījumu apdrošināšanas sistēma (ENAS) varētu uzlabot noguldītāju aizsardzību ES;</w:t>
            </w:r>
            <w:r>
              <w:t xml:space="preserve"> </w:t>
            </w:r>
            <w:r>
              <w:rPr>
                <w:b/>
                <w:i/>
              </w:rPr>
              <w:t>tomēr uzskata, ka galvenais šķērslis ENAS ieviešanai ir bažas par riskiem dažās banku sistēmās;</w:t>
            </w:r>
            <w:r>
              <w:t xml:space="preserve"> </w:t>
            </w:r>
            <w:r>
              <w:rPr>
                <w:b/>
                <w:i/>
              </w:rPr>
              <w:t>uzsver, ka šo risku mazināšana ir ļoti svarīga, lai panāktu vienošanos par jebkāda veida 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norāda, ka ENAS sākotnēji ierosinātajā variantā vairs nav derīga un nav arī izredžu iegūt atbalstu, kas ļautu to īstenot;</w:t>
            </w:r>
            <w:r>
              <w:t xml:space="preserve"> </w:t>
            </w:r>
            <w:r>
              <w:rPr>
                <w:b/>
                <w:i/>
              </w:rPr>
              <w:t>uzskata, ka iespējamajai ENAS nevajadzētu būt pilnībā integrētai sistēmai, bet gan sava veida pārapdrošināšanas sistēmai;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w:t>
            </w:r>
            <w:r>
              <w:t xml:space="preserve">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atzinīgi vērtē krīzes pārvaldības un noguldījumu apdrošināšanas paketes pieņemšanu kā pozitīvu soli, kas</w:t>
            </w:r>
            <w:r>
              <w:t xml:space="preserve"> stiprina </w:t>
            </w:r>
            <w:r>
              <w:rPr>
                <w:b/>
                <w:i/>
              </w:rPr>
              <w:t>valstu noguldījumu garantiju sistēmu, pastiprina</w:t>
            </w:r>
            <w:r>
              <w:t xml:space="preserve"> uzticēšanos banku </w:t>
            </w:r>
            <w:r>
              <w:rPr>
                <w:b/>
                <w:i/>
              </w:rPr>
              <w:t>darbības nozarei un uzlabo operacionālos un juridiskos nosacījumus virzībai uz noguldītājiem un nodokļu maksātājiem paredzētu kopēju ES aizsardzību</w:t>
            </w:r>
            <w:r>
              <w:t xml:space="preserve">;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t>21.</w:t>
            </w:r>
            <w:r>
              <w:tab/>
            </w:r>
            <w:r>
              <w:rPr>
                <w:b/>
                <w:i/>
              </w:rPr>
              <w:t>aicina Komisiju atzīt, ka pašreizējais priekšlikums tiesību aktam par ENAS jau vairākus gadus atrodas stagnācijas stāvoklī ― jo nav panākts nekāds reāls progress ―, pauž nožēlu par to, ka šis ieilgušais strupceļš ir mazinājis ticību tam, ka tiks izpildīta apņemšanās pabeigt banku savienības izveidi, un mudina Komisiju atsaukt pašreizējo priekšlikumu un nekavējoties iesniegt atjaunotu un vērienīgāku iniciatīvu, kas ļautu panākt patiesu politisku vienošanos par ENAS;</w:t>
            </w:r>
            <w:r>
              <w:t xml:space="preserve"> </w:t>
            </w:r>
            <w:r>
              <w:rPr>
                <w:b/>
                <w:i/>
              </w:rPr>
              <w:t>uzsver, ka šādam jaunam priekšlikumam būtu jānodrošina ticams, efektīvs un uz risku balstīts satvars, kas sniedz reālu impulsu ENAS izveides pabeigšanai,</w:t>
            </w:r>
            <w:r>
              <w:t xml:space="preserve"> stiprina </w:t>
            </w:r>
            <w:r>
              <w:rPr>
                <w:b/>
                <w:i/>
              </w:rPr>
              <w:t>noguldītāju</w:t>
            </w:r>
            <w:r>
              <w:t xml:space="preserve"> uzticēšanos </w:t>
            </w:r>
            <w:r>
              <w:rPr>
                <w:b/>
                <w:i/>
              </w:rPr>
              <w:t>un nodrošina vienlīdzīgus konkurences apstākļus visā vienotajā</w:t>
            </w:r>
            <w:r>
              <w:t xml:space="preserve"> banku </w:t>
            </w:r>
            <w:r>
              <w:rPr>
                <w:b/>
                <w:i/>
              </w:rPr>
              <w:t>pakalpojumu tirgū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atzinīgi vērtē</w:t>
            </w:r>
            <w:r>
              <w:t xml:space="preserve"> krīzes pārvaldības un noguldījumu apdrošināšanas </w:t>
            </w:r>
            <w:r>
              <w:rPr>
                <w:b/>
                <w:i/>
              </w:rPr>
              <w:t>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w:t>
            </w:r>
            <w:r>
              <w:t xml:space="preserve">;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t>21.</w:t>
            </w:r>
            <w:r>
              <w:tab/>
            </w:r>
            <w:r>
              <w:rPr>
                <w:b/>
                <w:i/>
              </w:rPr>
              <w:t>atzīst progresu, kas panākts</w:t>
            </w:r>
            <w:r>
              <w:t xml:space="preserve"> krīzes pārvaldības un noguldījumu apdrošināšanas </w:t>
            </w:r>
            <w:r>
              <w:rPr>
                <w:b/>
                <w:i/>
              </w:rPr>
              <w:t>jomā, taču brīdina no pārmērīgas paļaušanās uz centralizētām shēmām, kas varētu vājināt pārskatatbildību un pakļaut fiskāli atbildīgas dalībvalstis sistēmiskām saistībām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w:t>
            </w:r>
            <w:r>
              <w:rPr>
                <w:b/>
                <w:i/>
              </w:rPr>
              <w:t>,</w:t>
            </w:r>
            <w:r>
              <w:t xml:space="preserve"> pastiprina uzticēšanos banku darbības nozarei </w:t>
            </w:r>
            <w:r>
              <w:rPr>
                <w:b/>
                <w:i/>
              </w:rPr>
              <w:t>un uzlabo operacionālos un juridiskos nosacījumus virzībai uz noguldītājiem un nodokļu maksātājiem paredzētu kopēju ES aizsardzību</w:t>
            </w:r>
            <w:r>
              <w:t xml:space="preserve">;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w:t>
            </w:r>
            <w:r>
              <w:rPr>
                <w:b/>
                <w:i/>
              </w:rPr>
              <w:t>un</w:t>
            </w:r>
            <w:r>
              <w:t xml:space="preserve"> pastiprina uzticēšanos banku darbības nozarei;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w:t>
            </w:r>
            <w:r>
              <w:rPr>
                <w:b/>
                <w:i/>
              </w:rPr>
              <w:t>atgādina Ekonomikas un monetārās komitejas 2024. gada nostāju attiecībā uz ENAS;</w:t>
            </w:r>
            <w:r>
              <w:t xml:space="preserve"> </w:t>
            </w:r>
            <w:r>
              <w:rPr>
                <w:b/>
                <w:i/>
              </w:rPr>
              <w:t>stingri mudina Padomi virzīt uz priekšu sarunas;</w:t>
            </w:r>
          </w:p>
        </w:tc>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w:t>
            </w:r>
            <w:r>
              <w:rPr>
                <w:b/>
                <w:i/>
              </w:rPr>
              <w:t>atgādina Ekonomikas un monetārās komitejas 2024. gada nostāju attiecībā uz ENAS;</w:t>
            </w:r>
            <w:r>
              <w:t xml:space="preserve"> stingri mudina Padomi virzīt uz priekšu sarunas;</w:t>
            </w:r>
          </w:p>
        </w:tc>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stingri mudina Padomi virzīt uz priekšu sarunas;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w:t>
            </w:r>
            <w:r>
              <w:rPr>
                <w:b/>
                <w:i/>
              </w:rPr>
              <w:t>atgādina Ekonomikas un monetārās komitejas 2024. gada nostāju attiecībā uz ENAS;</w:t>
            </w:r>
            <w:r>
              <w:t xml:space="preserve"> stingri mudina Padomi virzīt uz priekšu sarunas;</w:t>
            </w:r>
          </w:p>
        </w:tc>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stingri mudina Padomi virzīt uz priekšu sarunas;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w:t>
            </w:r>
            <w:r>
              <w:rPr>
                <w:b/>
                <w:i/>
              </w:rPr>
              <w:t>stiprina valstu noguldījumu garantiju sistēmu,</w:t>
            </w:r>
            <w:r>
              <w:t xml:space="preserve"> pastiprina uzticēšanos banku darbības nozarei un uzlabo operacionālos un juridiskos nosacījumus virzībai uz noguldītājiem un nodokļu maksātājiem paredzētu kopēju ES aizsardzību; atgādina Ekonomikas un monetārās komitejas 2024. gada nostāju attiecībā uz ENAS; stingri mudina Padomi virzīt uz priekšu sarunas;</w:t>
            </w:r>
          </w:p>
        </w:tc>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pastiprina uzticēšanos banku darbības nozarei un uzlabo operacionālos un juridiskos nosacījumus virzībai uz noguldītājiem un nodokļu maksātājiem paredzētu kopēju ES aizsardzību; atgādina Ekonomikas un monetārās komitejas 2024. gada nostāju attiecībā uz ENAS; stingri mudina Padomi virzīt uz priekšu sarunas; </w:t>
            </w:r>
            <w:r>
              <w:rPr>
                <w:b/>
                <w:i/>
              </w:rPr>
              <w:t>mudina jauno Eurogrupas priekšsēdētāju pēc iespējas ātrāk atsākt diskusijas par šo tematu;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atzinīgi vērtē krīzes pārvaldības un noguldījumu apdrošināšanas paketes pieņemšanu kā pozitīvu soli, kas stiprina valstu noguldījumu garantiju sistēmu, pastiprina uzticēšanos banku darbības nozarei un uzlabo operacionālos un juridiskos nosacījumus virzībai uz noguldītājiem un nodokļu maksātājiem paredzētu kopēju ES aizsardzību; atgādina Ekonomikas un monetārās komitejas 2024. gada nostāju attiecībā uz ENAS; stingri mudina Padomi virzīt uz priekšu sarunas;</w:t>
            </w:r>
          </w:p>
        </w:tc>
        <w:tc>
          <w:tcPr>
            <w:tcW w:w="4876" w:type="dxa"/>
            <w:tcBorders>
              <w:top w:val="nil"/>
              <w:left w:val="nil"/>
              <w:bottom w:val="nil"/>
              <w:right w:val="nil"/>
            </w:tcBorders>
          </w:tcPr>
          <w:p>
            <w:pPr>
              <w:pStyle w:val="Normal6a"/>
            </w:pPr>
            <w:r>
              <w:t>21.</w:t>
            </w:r>
            <w:r>
              <w:tab/>
            </w:r>
            <w:r>
              <w:t xml:space="preserve">atzinīgi vērtē krīzes pārvaldības un noguldījumu apdrošināšanas paketes pieņemšanu kā pozitīvu soli, kas stiprina valstu noguldījumu garantiju sistēmu, pastiprina uzticēšanos banku darbības nozarei un uzlabo operacionālos un juridiskos nosacījumus </w:t>
            </w:r>
            <w:r>
              <w:rPr>
                <w:b/>
                <w:i/>
              </w:rPr>
              <w:t>pakāpeniskai un ticamai</w:t>
            </w:r>
            <w:r>
              <w:t xml:space="preserve"> virzībai uz noguldītājiem un nodokļu maksātājiem paredzētu kopēju ES aizsardzību; atgādina Ekonomikas un monetārās komitejas 2024. gada nostāju attiecībā uz ENAS; stingri mudina Padomi virzīt uz priekšu sarunas;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139</w:t>
    </w:r>
    <w:r>
      <w:fldChar w:fldCharType="end"/>
    </w:r>
    <w:r>
      <w:tab/>
    </w:r>
    <w:r>
      <w:rPr>
        <w:rStyle w:val="HideTWBExt"/>
      </w:rPr>
      <w:t>&lt;PathFdR&gt;</w:t>
    </w:r>
    <w:r>
      <w:t>AM\1335561LV.docx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AM\1335561LV.docx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139</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AM\1335561LV.docx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139</Pages>
  <Words>24910</Words>
  <Characters>171324</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359630</vt:lpwstr>
  </property>
  <property fmtid="{D5CDD505-2E9C-101B-9397-08002B2CF9AE}" pid="7" name="dmxml.render.traceId">
    <vt:lpwstr>69807a552621c85815eabfb965c42c17</vt:lpwstr>
  </property>
  <property fmtid="{D5CDD505-2E9C-101B-9397-08002B2CF9AE}" pid="8" name="FooterPath">
    <vt:lpwstr>AM\1335561LV.docx</vt:lpwstr>
  </property>
  <property fmtid="{D5CDD505-2E9C-101B-9397-08002B2CF9AE}" pid="9" name="PE Number">
    <vt:lpwstr>782.353</vt:lpwstr>
  </property>
  <property fmtid="{D5CDD505-2E9C-101B-9397-08002B2CF9AE}" pid="10" name="UID">
    <vt:lpwstr>eu.europa.europarl-DIN1-2026-0000006414_01.00-lv-01.00_text-xml</vt:lpwstr>
  </property>
</Properties>
</file>