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Commissie economische en monetaire zaken</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19.1.2026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Bankenunie - jaarverslag 2025</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verslag van zijn Commissie economische en monetaire zaken van 23 april 2024 over het voorstel voor een verordening van het Europees Parlement en de Raad tot wijziging van Verordening (EU) 806/2014 met het oog op de instelling van een Europees depositoverzekeringsstelsel (EDIS),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verslag van zijn Commissie economische en monetaire zaken van 23 april 2024 over het voorstel voor een verordening van het Europees Parlement en de Raad tot wijziging van Verordening (EU) 806/2014 met het oog op de instelling van een Europees depositoverzekeringsstelsel (EDIS),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verslag van de vijf voorzitters van 22 juni 2015 getiteld “De voltooiing van Europa’s Economische en Monetaire Unie”,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Occasional Paper nr. 328 van de ECB van 2023, getiteld “The Road to Paris: stress testing the transition towards a net-zero economy”,</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Occasional Paper nr. 328 van de ECB van 2023, getiteld “The Road to Paris: stress testing the transition towards a net-zero economy”,</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Occasional Paper van de ECB nr. 376 van 2025 getiteld “Capital requirements: a pillar or a burden for bank competitiveness?”,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het Bazels Comité voor bankentoezicht van 10 juli 2025 getiteld “Banks interconnections with non-bank financial intermediaries”,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de Europese Autoriteit voor verzekeringen en bedrijfspensioenen van 7 november 2024 over de prudentiële behandeling van duurzaamheidsrisico’s,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de ECB van december 2025 over vereenvoudiging van het Europese prudentiële kader voor regelgeving, toezicht en verslaggeving,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de Europese Bankautoriteit van 1 oktober 2025 over de efficiëntie van het regelgevings- en toezichtkader,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de bankenunie tot doel heeft de stabiliteit van het </w:t>
            </w:r>
            <w:r>
              <w:rPr>
                <w:b/>
                <w:i/>
              </w:rPr>
              <w:t>bankwezen</w:t>
            </w:r>
            <w:r>
              <w:t xml:space="preserve">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w:t>
            </w:r>
            <w:r>
              <w:rPr>
                <w:b/>
                <w:i/>
              </w:rPr>
              <w:t>, maar dat de “too big to fail”-kwestie nog steeds niet is opgelost</w:t>
            </w:r>
            <w:r>
              <w:t>;</w:t>
            </w:r>
          </w:p>
        </w:tc>
        <w:tc>
          <w:tcPr>
            <w:tcW w:w="4876" w:type="dxa"/>
            <w:tcBorders>
              <w:top w:val="nil"/>
              <w:left w:val="nil"/>
              <w:bottom w:val="nil"/>
              <w:right w:val="nil"/>
            </w:tcBorders>
          </w:tcPr>
          <w:p>
            <w:pPr>
              <w:pStyle w:val="Normal6a"/>
            </w:pPr>
            <w:r>
              <w:t>A.</w:t>
            </w:r>
            <w:r>
              <w:tab/>
            </w:r>
            <w:r>
              <w:t xml:space="preserve">overwegende dat de bankenunie tot doel heeft de stabiliteit van het </w:t>
            </w:r>
            <w:r>
              <w:rPr>
                <w:b/>
                <w:i/>
              </w:rPr>
              <w:t>financiële stelsel</w:t>
            </w:r>
            <w:r>
              <w:t xml:space="preserve"> te waarborgen</w:t>
            </w:r>
            <w:r>
              <w:rPr>
                <w:b/>
                <w:i/>
              </w:rPr>
              <w:t>, te zorgen voor een ordelijk beheer van de bankencrisis</w:t>
            </w:r>
            <w:r>
              <w:t>, te voorkomen dat belastinggeld wordt gebruikt voor bail-outs, de veerkracht te versterken, een ordelijke afwikkeling mogelijk te maken, marktfragmentatie te verminderen en het concurrentievermogen, de grensoverschrijdende activiteiten en de toegang tot financiering te verbeteren;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de bankenunie tot doel heeft de stabiliteit van het bankwezen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w:t>
            </w:r>
            <w:r>
              <w:rPr>
                <w:b/>
                <w:i/>
              </w:rPr>
              <w:t>, maar dat de “too big to fail”-kwestie nog steeds niet is opgelost</w:t>
            </w:r>
            <w:r>
              <w:t>;</w:t>
            </w:r>
          </w:p>
        </w:tc>
        <w:tc>
          <w:tcPr>
            <w:tcW w:w="4876" w:type="dxa"/>
            <w:tcBorders>
              <w:top w:val="nil"/>
              <w:left w:val="nil"/>
              <w:bottom w:val="nil"/>
              <w:right w:val="nil"/>
            </w:tcBorders>
          </w:tcPr>
          <w:p>
            <w:pPr>
              <w:pStyle w:val="Normal6a"/>
            </w:pPr>
            <w:r>
              <w:t>A.</w:t>
            </w:r>
            <w:r>
              <w:tab/>
            </w:r>
            <w:r>
              <w:t>overwegende dat de bankenunie tot doel heeft de stabiliteit van het bankwezen te waarborgen</w:t>
            </w:r>
            <w:r>
              <w:rPr>
                <w:b/>
                <w:i/>
              </w:rPr>
              <w:t>, de vicieuze cirkel tussen banken en staten te doorbreken</w:t>
            </w:r>
            <w:r>
              <w:t>, te voorkomen dat belastinggeld wordt gebruikt voor bail-outs, de veerkracht te versterken, een ordelijke afwikkeling mogelijk te maken, marktfragmentatie te verminderen en het concurrentievermogen, de grensoverschrijdende activiteiten en de toegang tot financiering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de bankenunie tot doel heeft de stabiliteit van het bankwezen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w:t>
            </w:r>
            <w:r>
              <w:rPr>
                <w:b/>
                <w:i/>
              </w:rPr>
              <w:t>, maar dat de “too big to fail”-kwestie nog steeds niet is opgelost</w:t>
            </w:r>
            <w:r>
              <w:t>;</w:t>
            </w:r>
          </w:p>
        </w:tc>
        <w:tc>
          <w:tcPr>
            <w:tcW w:w="4876" w:type="dxa"/>
            <w:tcBorders>
              <w:top w:val="nil"/>
              <w:left w:val="nil"/>
              <w:bottom w:val="nil"/>
              <w:right w:val="nil"/>
            </w:tcBorders>
          </w:tcPr>
          <w:p>
            <w:pPr>
              <w:pStyle w:val="Normal6a"/>
            </w:pPr>
            <w:r>
              <w:t>A.</w:t>
            </w:r>
            <w:r>
              <w:tab/>
            </w:r>
            <w:r>
              <w:t>overwegende dat de bankenunie tot doel heeft de stabiliteit van het bankwezen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de bankenunie tot doel heeft de stabiliteit van het bankwezen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 maar dat de </w:t>
            </w:r>
            <w:r>
              <w:rPr>
                <w:b/>
                <w:i/>
              </w:rPr>
              <w:t>“too big to fail”-kwestie nog steeds niet is opgelost</w:t>
            </w:r>
            <w:r>
              <w:t>;</w:t>
            </w:r>
          </w:p>
        </w:tc>
        <w:tc>
          <w:tcPr>
            <w:tcW w:w="4876" w:type="dxa"/>
            <w:tcBorders>
              <w:top w:val="nil"/>
              <w:left w:val="nil"/>
              <w:bottom w:val="nil"/>
              <w:right w:val="nil"/>
            </w:tcBorders>
          </w:tcPr>
          <w:p>
            <w:pPr>
              <w:pStyle w:val="Normal6a"/>
            </w:pPr>
            <w:r>
              <w:t>A.</w:t>
            </w:r>
            <w:r>
              <w:tab/>
            </w:r>
            <w:r>
              <w:t xml:space="preserve">overwegende dat de bankenunie tot doel heeft de stabiliteit van het bankwezen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 maar dat de </w:t>
            </w:r>
            <w:r>
              <w:rPr>
                <w:b/>
                <w:i/>
              </w:rPr>
              <w:t>bankwereld in de Europese Unie divers is en dat verschillende bankstructuren de Europese burgers en bedrijven een breed scala aan diensten bieden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de bankenunie tot doel heeft de stabiliteit van het bankwezen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 maar dat de “too big to fail”-</w:t>
            </w:r>
            <w:r>
              <w:rPr>
                <w:b/>
                <w:i/>
              </w:rPr>
              <w:t>kwestie nog steeds niet is opgelost</w:t>
            </w:r>
            <w:r>
              <w:t>;</w:t>
            </w:r>
          </w:p>
        </w:tc>
        <w:tc>
          <w:tcPr>
            <w:tcW w:w="4876" w:type="dxa"/>
            <w:tcBorders>
              <w:top w:val="nil"/>
              <w:left w:val="nil"/>
              <w:bottom w:val="nil"/>
              <w:right w:val="nil"/>
            </w:tcBorders>
          </w:tcPr>
          <w:p>
            <w:pPr>
              <w:pStyle w:val="Normal6a"/>
            </w:pPr>
            <w:r>
              <w:t>A.</w:t>
            </w:r>
            <w:r>
              <w:tab/>
            </w:r>
            <w:r>
              <w:t xml:space="preserve">overwegende dat de bankenunie tot doel heeft de stabiliteit van het bankwezen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 maar dat de </w:t>
            </w:r>
            <w:r>
              <w:rPr>
                <w:b/>
                <w:i/>
              </w:rPr>
              <w:t>hardnekkige</w:t>
            </w:r>
            <w:r>
              <w:t xml:space="preserve"> “too big to fail”-</w:t>
            </w:r>
            <w:r>
              <w:rPr>
                <w:b/>
                <w:i/>
              </w:rPr>
              <w:t>dynamiek marktprikkels blijft verstoren en impliciete overheidsgaranties doet toenemen</w:t>
            </w:r>
            <w:r>
              <w:t xml:space="preserve">; </w:t>
            </w:r>
            <w:r>
              <w:rPr>
                <w:b/>
                <w:i/>
              </w:rPr>
              <w:t>verlangt een sterkere marktdiscipline in plaats van een verdere opeenstapeling van regelgeving;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de bankenunie tot doel heeft de stabiliteit van het bankwezen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 maar dat de “too big to fail”-kwestie nog steeds niet is opgelost;</w:t>
            </w:r>
          </w:p>
        </w:tc>
        <w:tc>
          <w:tcPr>
            <w:tcW w:w="4876" w:type="dxa"/>
            <w:tcBorders>
              <w:top w:val="nil"/>
              <w:left w:val="nil"/>
              <w:bottom w:val="nil"/>
              <w:right w:val="nil"/>
            </w:tcBorders>
          </w:tcPr>
          <w:p>
            <w:pPr>
              <w:pStyle w:val="Normal6a"/>
            </w:pPr>
            <w:r>
              <w:t>A.</w:t>
            </w:r>
            <w:r>
              <w:tab/>
            </w:r>
            <w:r>
              <w:t xml:space="preserve">overwegende dat de bankenunie tot doel heeft de stabiliteit van het bankwezen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 </w:t>
            </w:r>
            <w:r>
              <w:rPr>
                <w:b/>
                <w:i/>
              </w:rPr>
              <w:t>waardoor de kosten voor bankklanten lager worden,</w:t>
            </w:r>
            <w:r>
              <w:t xml:space="preserve"> maar dat de “too big to fail”-kwestie nog steeds niet is opgelost;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de bankenunie tot doel heeft de stabiliteit van het bankwezen te waarborgen, te voorkomen dat belastinggeld wordt gebruikt voor bail-outs, de veerkracht te versterken, een ordelijke afwikkeling mogelijk te maken, marktfragmentatie te verminderen en het concurrentievermogen, de grensoverschrijdende activiteiten en de toegang tot financiering te verbeteren, maar dat de “too big to fail”-kwestie nog steeds niet is opgelost;</w:t>
            </w:r>
          </w:p>
        </w:tc>
        <w:tc>
          <w:tcPr>
            <w:tcW w:w="4876" w:type="dxa"/>
            <w:tcBorders>
              <w:top w:val="nil"/>
              <w:left w:val="nil"/>
              <w:bottom w:val="nil"/>
              <w:right w:val="nil"/>
            </w:tcBorders>
          </w:tcPr>
          <w:p>
            <w:pPr>
              <w:pStyle w:val="Normal6a"/>
            </w:pPr>
            <w:r>
              <w:t>A.</w:t>
            </w:r>
            <w:r>
              <w:tab/>
            </w:r>
            <w:r>
              <w:t>overwegende dat de bankenunie tot doel heeft de stabiliteit van het bankwezen te waarborgen, te voorkomen dat belastinggeld wordt gebruikt voor bail-outs, de veerkracht te versterken, een ordelijke afwikkeling mogelijk te maken, marktfragmentatie te verminderen</w:t>
            </w:r>
            <w:r>
              <w:rPr>
                <w:b/>
                <w:i/>
              </w:rPr>
              <w:t>, depositohouders beter te beschermen</w:t>
            </w:r>
            <w:r>
              <w:t xml:space="preserve"> en het concurrentievermogen, de grensoverschrijdende activiteiten en de toegang tot financiering te verbeteren, maar dat de “too big to fail”-kwestie nog steeds niet is opgelost;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de bankenunie tot doel heeft:</w:t>
            </w:r>
            <w:r>
              <w:t xml:space="preserve"> </w:t>
            </w:r>
            <w:r>
              <w:rPr>
                <w:b/>
                <w:i/>
              </w:rPr>
              <w:t>i) de soliditeit van banken te bevorderen om toekomstige financiële crises het hoofd te bieden, ii) de afwikkeling van falende banken te garanderen zonder dat een beroep wordt gedaan op belastinggeld, met minimale gevolgen voor de reële economie, en iii) de marktfragmentatie te verminderen door geharmoniseerde regels voor de financiële sector vast te stellen;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een sterke en gediversifieerde banksector van cruciaal belang is voor het realiseren van economische groei, het financieren van kleine en middelgrote ondernemingen (kmo’s) en start-ups, en voor de transitie naar een groene en digitale economie;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w:t>
            </w:r>
            <w:r>
              <w:rPr>
                <w:b/>
                <w:i/>
              </w:rPr>
              <w:t>weliswaar</w:t>
            </w:r>
            <w:r>
              <w:t xml:space="preserve"> toezicht en crisisbeheersing </w:t>
            </w:r>
            <w:r>
              <w:rPr>
                <w:b/>
                <w:i/>
              </w:rPr>
              <w:t>op elkaar afstemt, maar onvolledig blijft zonder een volledig ingevoerd EDIS</w:t>
            </w:r>
            <w:r>
              <w:t>;</w:t>
            </w:r>
          </w:p>
        </w:tc>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w:t>
            </w:r>
            <w:r>
              <w:rPr>
                <w:b/>
                <w:i/>
              </w:rPr>
              <w:t>de financiële stabiliteit heeft verbeterd en de afstemming tussen</w:t>
            </w:r>
            <w:r>
              <w:t xml:space="preserve"> toezicht en crisisbeheersing </w:t>
            </w:r>
            <w:r>
              <w:rPr>
                <w:b/>
                <w:i/>
              </w:rPr>
              <w:t>heeft verbeterd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 bankenunie, die bestaat uit het GTM </w:t>
            </w:r>
            <w:r>
              <w:rPr>
                <w:b/>
                <w:i/>
              </w:rPr>
              <w:t>en</w:t>
            </w:r>
            <w:r>
              <w:t xml:space="preserve"> het gemeenschappelijk afwikkelingsmechanisme (GAM)</w:t>
            </w:r>
            <w:r>
              <w:rPr>
                <w:b/>
                <w:i/>
              </w:rPr>
              <w:t>, weliswaar</w:t>
            </w:r>
            <w:r>
              <w:t xml:space="preserve"> toezicht en crisisbeheersing op elkaar afstemt</w:t>
            </w:r>
            <w:r>
              <w:rPr>
                <w:b/>
                <w:i/>
              </w:rPr>
              <w:t>, maar onvolledig blijft zonder een volledig ingevoerd EDIS</w:t>
            </w:r>
            <w:r>
              <w:t>;</w:t>
            </w:r>
          </w:p>
        </w:tc>
        <w:tc>
          <w:tcPr>
            <w:tcW w:w="4876" w:type="dxa"/>
            <w:tcBorders>
              <w:top w:val="nil"/>
              <w:left w:val="nil"/>
              <w:bottom w:val="nil"/>
              <w:right w:val="nil"/>
            </w:tcBorders>
          </w:tcPr>
          <w:p>
            <w:pPr>
              <w:pStyle w:val="Normal6a"/>
            </w:pPr>
            <w:r>
              <w:t>B.</w:t>
            </w:r>
            <w:r>
              <w:tab/>
            </w:r>
            <w:r>
              <w:t>overwegende dat de bankenunie, die bestaat uit het GTM</w:t>
            </w:r>
            <w:r>
              <w:rPr>
                <w:b/>
                <w:i/>
              </w:rPr>
              <w:t>,</w:t>
            </w:r>
            <w:r>
              <w:t xml:space="preserve"> het gemeenschappelijk afwikkelingsmechanisme (GAM) </w:t>
            </w:r>
            <w:r>
              <w:rPr>
                <w:b/>
                <w:i/>
              </w:rPr>
              <w:t>en geharmoniseerde regels voor depositoverzekering,</w:t>
            </w:r>
            <w:r>
              <w:t xml:space="preserve"> toezicht en crisisbeheersing op elkaar afstemt;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w:t>
            </w:r>
            <w:r>
              <w:rPr>
                <w:b/>
                <w:i/>
              </w:rPr>
              <w:t>weliswaar</w:t>
            </w:r>
            <w:r>
              <w:t xml:space="preserve"> toezicht en crisisbeheersing op elkaar afstemt</w:t>
            </w:r>
            <w:r>
              <w:rPr>
                <w:b/>
                <w:i/>
              </w:rPr>
              <w:t>, maar onvolledig blijft zonder een volledig ingevoerd EDIS</w:t>
            </w:r>
            <w:r>
              <w:t>;</w:t>
            </w:r>
          </w:p>
        </w:tc>
        <w:tc>
          <w:tcPr>
            <w:tcW w:w="4876" w:type="dxa"/>
            <w:tcBorders>
              <w:top w:val="nil"/>
              <w:left w:val="nil"/>
              <w:bottom w:val="nil"/>
              <w:right w:val="nil"/>
            </w:tcBorders>
          </w:tcPr>
          <w:p>
            <w:pPr>
              <w:pStyle w:val="Normal6a"/>
            </w:pPr>
            <w:r>
              <w:t>B.</w:t>
            </w:r>
            <w:r>
              <w:tab/>
            </w:r>
            <w:r>
              <w:t>overwegende dat de bankenunie, die bestaat uit het GTM en het gemeenschappelijk afwikkelingsmechanisme (GAM), toezicht en crisisbeheersing op elkaar afstemt</w:t>
            </w:r>
            <w:r>
              <w:rPr>
                <w:b/>
                <w:i/>
              </w:rPr>
              <w:t>;</w:t>
            </w:r>
            <w:r>
              <w:t xml:space="preserve"> </w:t>
            </w:r>
            <w:r>
              <w:rPr>
                <w:b/>
                <w:i/>
              </w:rPr>
              <w:t>overwegende dat nationale depositoverzekeringsregelingen met succes zijn doorgevoerd en in meerdere gevallen hun nut bewezen hebben;</w:t>
            </w:r>
            <w:r>
              <w:t xml:space="preserve"> </w:t>
            </w:r>
            <w:r>
              <w:rPr>
                <w:b/>
                <w:i/>
              </w:rPr>
              <w:t>overwegende dat in een nieuw Commissievoorstel tot instelling van een Europees depositoverzekeringsstelsel beter rekening moet worden gehouden met specifieke nationale kenmerken, zodat de goed functionerende systemen voor kleinere banken die in een aantal lidstaten reeds bestaan, worden gehandhaafd op een wijze die het gelijke speelveld in de bankenunie niet verstoort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w:t>
            </w:r>
            <w:r>
              <w:rPr>
                <w:b/>
                <w:i/>
              </w:rPr>
              <w:t>weliswaar</w:t>
            </w:r>
            <w:r>
              <w:t xml:space="preserve"> toezicht en crisisbeheersing op elkaar afstemt, </w:t>
            </w:r>
            <w:r>
              <w:rPr>
                <w:b/>
                <w:i/>
              </w:rPr>
              <w:t>maar onvolledig blijft zonder een volledig ingevoerd EDIS</w:t>
            </w:r>
            <w:r>
              <w:t>;</w:t>
            </w:r>
          </w:p>
        </w:tc>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toezicht en crisisbeheersing op elkaar afstemt, </w:t>
            </w:r>
            <w:r>
              <w:rPr>
                <w:b/>
                <w:i/>
              </w:rPr>
              <w:t>en een hoog niveau van depositobescherming op basis van gemeenschappelijke Europese minimumnormen waarborgt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w:t>
            </w:r>
            <w:r>
              <w:rPr>
                <w:b/>
                <w:i/>
              </w:rPr>
              <w:t>weliswaar</w:t>
            </w:r>
            <w:r>
              <w:t xml:space="preserve"> toezicht en crisisbeheersing op elkaar afstemt</w:t>
            </w:r>
            <w:r>
              <w:rPr>
                <w:b/>
                <w:i/>
              </w:rPr>
              <w:t>, maar onvolledig blijft zonder een volledig ingevoerd EDIS</w:t>
            </w:r>
            <w:r>
              <w:t>;</w:t>
            </w:r>
          </w:p>
        </w:tc>
        <w:tc>
          <w:tcPr>
            <w:tcW w:w="4876" w:type="dxa"/>
            <w:tcBorders>
              <w:top w:val="nil"/>
              <w:left w:val="nil"/>
              <w:bottom w:val="nil"/>
              <w:right w:val="nil"/>
            </w:tcBorders>
          </w:tcPr>
          <w:p>
            <w:pPr>
              <w:pStyle w:val="Normal6a"/>
            </w:pPr>
            <w:r>
              <w:t>B.</w:t>
            </w:r>
            <w:r>
              <w:tab/>
            </w:r>
            <w:r>
              <w:t xml:space="preserve">overwegende dat de bankenunie, die </w:t>
            </w:r>
            <w:r>
              <w:rPr>
                <w:b/>
                <w:i/>
              </w:rPr>
              <w:t>thans</w:t>
            </w:r>
            <w:r>
              <w:t xml:space="preserve"> bestaat uit het GTM en het gemeenschappelijk afwikkelingsmechanisme (GAM), toezicht en crisisbeheersing op elkaar afstemt;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w:t>
            </w:r>
            <w:r>
              <w:rPr>
                <w:b/>
                <w:i/>
              </w:rPr>
              <w:t>weliswaar</w:t>
            </w:r>
            <w:r>
              <w:t xml:space="preserve"> toezicht en crisisbeheersing op elkaar afstemt</w:t>
            </w:r>
            <w:r>
              <w:rPr>
                <w:b/>
                <w:i/>
              </w:rPr>
              <w:t>, maar onvolledig blijft zonder een volledig ingevoerd EDIS</w:t>
            </w:r>
            <w:r>
              <w:t>;</w:t>
            </w:r>
          </w:p>
        </w:tc>
        <w:tc>
          <w:tcPr>
            <w:tcW w:w="4876" w:type="dxa"/>
            <w:tcBorders>
              <w:top w:val="nil"/>
              <w:left w:val="nil"/>
              <w:bottom w:val="nil"/>
              <w:right w:val="nil"/>
            </w:tcBorders>
          </w:tcPr>
          <w:p>
            <w:pPr>
              <w:pStyle w:val="Normal6a"/>
            </w:pPr>
            <w:r>
              <w:t>B.</w:t>
            </w:r>
            <w:r>
              <w:tab/>
            </w:r>
            <w:r>
              <w:t>overwegende dat de bankenunie, die bestaat uit het GTM en het gemeenschappelijk afwikkelingsmechanisme (GAM), toezicht en crisisbeheersing op elkaar afstemt;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de bankenunie, die bestaat uit het GTM en het gemeenschappelijk afwikkelingsmechanisme (GAM), weliswaar toezicht en crisisbeheersing op elkaar afstemt, maar onvolledig blijft zonder een volledig ingevoerd EDIS;</w:t>
            </w:r>
          </w:p>
        </w:tc>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weliswaar toezicht en crisisbeheersing op elkaar afstemt, maar </w:t>
            </w:r>
            <w:r>
              <w:rPr>
                <w:b/>
                <w:i/>
              </w:rPr>
              <w:t>structureel</w:t>
            </w:r>
            <w:r>
              <w:t xml:space="preserve"> onvolledig </w:t>
            </w:r>
            <w:r>
              <w:rPr>
                <w:b/>
                <w:i/>
              </w:rPr>
              <w:t>en inefficiënt</w:t>
            </w:r>
            <w:r>
              <w:t xml:space="preserve"> blijft zonder een volledig ingevoerd EDIS; </w:t>
            </w:r>
            <w:r>
              <w:rPr>
                <w:b/>
                <w:i/>
              </w:rPr>
              <w:t>onderstreept dat risicodeling zonder marktverantwoordelijkheid de concurrerentieneutraliteit verstoort en budgettair verantwoordelijke lidstaten blootstelt aan ongepaste voorwaardelijke verplichtingen;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weliswaar toezicht en crisisbeheersing op elkaar afstemt, maar onvolledig blijft zonder een </w:t>
            </w:r>
            <w:r>
              <w:rPr>
                <w:b/>
                <w:i/>
              </w:rPr>
              <w:t>volledig ingevoerd</w:t>
            </w:r>
            <w:r>
              <w:t xml:space="preserve"> EDIS;</w:t>
            </w:r>
          </w:p>
        </w:tc>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weliswaar toezicht en crisisbeheersing op elkaar afstemt, maar onvolledig blijft zonder een EDIS </w:t>
            </w:r>
            <w:r>
              <w:rPr>
                <w:b/>
                <w:i/>
              </w:rPr>
              <w:t>dat ten volle rekening houdt met specifieke nationale kenmerken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de bankenunie, die bestaat uit het GTM en het gemeenschappelijk afwikkelingsmechanisme (GAM), weliswaar toezicht en crisisbeheersing op elkaar afstemt, maar onvolledig blijft zonder een volledig ingevoerd EDIS;</w:t>
            </w:r>
          </w:p>
        </w:tc>
        <w:tc>
          <w:tcPr>
            <w:tcW w:w="4876" w:type="dxa"/>
            <w:tcBorders>
              <w:top w:val="nil"/>
              <w:left w:val="nil"/>
              <w:bottom w:val="nil"/>
              <w:right w:val="nil"/>
            </w:tcBorders>
          </w:tcPr>
          <w:p>
            <w:pPr>
              <w:pStyle w:val="Normal6a"/>
            </w:pPr>
            <w:r>
              <w:t>B.</w:t>
            </w:r>
            <w:r>
              <w:tab/>
            </w:r>
            <w:r>
              <w:t xml:space="preserve">overwegende dat de bankenunie, die bestaat uit het GTM en het gemeenschappelijk afwikkelingsmechanisme (GAM), weliswaar toezicht en crisisbeheersing op elkaar afstemt, maar onvolledig blijft zonder een volledig ingevoerd EDIS </w:t>
            </w:r>
            <w:r>
              <w:rPr>
                <w:b/>
                <w:i/>
              </w:rPr>
              <w:t>en een gemeenschappelijk vangnet voor het gemeenschappelijk afwikkelingsfonds (GAF), dat afhankelijk is van de ratificatie van het herziene ESM-verdrag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de bankenunie, die bestaat uit het GTM en het gemeenschappelijk afwikkelingsmechanisme (GAM), weliswaar toezicht en crisisbeheersing op elkaar afstemt, maar onvolledig blijft zonder een volledig ingevoerd EDIS;</w:t>
            </w:r>
          </w:p>
        </w:tc>
        <w:tc>
          <w:tcPr>
            <w:tcW w:w="4876" w:type="dxa"/>
            <w:tcBorders>
              <w:top w:val="nil"/>
              <w:left w:val="nil"/>
              <w:bottom w:val="nil"/>
              <w:right w:val="nil"/>
            </w:tcBorders>
          </w:tcPr>
          <w:p>
            <w:pPr>
              <w:pStyle w:val="Normal6a"/>
            </w:pPr>
            <w:r>
              <w:t>B.</w:t>
            </w:r>
            <w:r>
              <w:tab/>
            </w:r>
            <w:r>
              <w:t>overwegende dat de bankenunie, die bestaat uit het GTM en het gemeenschappelijk afwikkelingsmechanisme (GAM)</w:t>
            </w:r>
            <w:r>
              <w:rPr>
                <w:b/>
                <w:i/>
              </w:rPr>
              <w:t>, met het gemeenschappelijke rulebook als basis</w:t>
            </w:r>
            <w:r>
              <w:t>, weliswaar toezicht en crisisbeheersing op elkaar afstemt, maar onvolledig blijft zonder een volledig ingevoerd EDIS;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een voltooide bankenunie een positieve ontwikkeling zou zijn voor de burgers en de economie van de EU, die de basis zou leggen voor een stabieler bankenstelsel, vermindering van het systeemrisico, meer concurrentie, een betere keuze voor de consument, meer mogelijkheden voor grensoverschrijdend bankieren en toegang tot financiële retaildiensten, grotere economische investeringen, betere toegang tot financiering voor huishoudens en bedrijven en lagere kosten voor bankklanten;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de ECB de voltooiing van de bankenunie aanmoedigt om grensoverschrijdende integratie te stimuleren en efficiëntere kapitaaltoewijzing mogelijk te maken, wat noodzakelijke voorwaarden zijn om het huidige concurrentienadeel te kunnen wegnemen waarmee EU-banken vanwege kleinschaligheid worden geconfronteerd; overwegende dat de ECB tevens adviseert het Europese prudentiële kader voor regelgeving, toezicht en verslaggeving te vereenvoudigen;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niet-bancaire financiële intermediairs (NBFI’s of “schaduwbanken”) nog altijd geen deel uitmaken van de architectuur van de bankenunie, waardoor de EU-banksector kwetsbaar is voor risico’s die ontstaan doordat NBFI’s steeds nauwer met de banksector verweven raken;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overwegende dat een stabiele, veerkrachtige, dynamische en concurrerende banksector van vitaal belang is voor de economische groei, voor de ondersteuning van kleine en middelgrote ondernemingen, voor het vergroten van de mogelijkheid van eigenwoningbezit, voor innovatie, voor investeringen en voor meer economische kansen voor iedereen;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overwegende dat een voltooide bankenunie volgens de literatuur over optimale valutagebieden cruciaal is om gevolgen van asymmetrische schokken in de hele EU te kunnen vermijden en tot meer financiële en economische stabiliteit en veerkracht leidt;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overwegende dat de EU onverwijld volledige uitvoering moet geven aan de Bazel III-normen;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de EU </w:t>
            </w:r>
            <w:r>
              <w:rPr>
                <w:b/>
                <w:i/>
              </w:rPr>
              <w:t>onverwijld volledige</w:t>
            </w:r>
            <w:r>
              <w:t xml:space="preserve"> uitvoering </w:t>
            </w:r>
            <w:r>
              <w:rPr>
                <w:b/>
                <w:i/>
              </w:rPr>
              <w:t>moet geven aan de</w:t>
            </w:r>
            <w:r>
              <w:t xml:space="preserve"> Bazel </w:t>
            </w:r>
            <w:r>
              <w:rPr>
                <w:b/>
                <w:i/>
              </w:rPr>
              <w:t>III-normen</w:t>
            </w:r>
            <w:r>
              <w:t>;</w:t>
            </w:r>
          </w:p>
        </w:tc>
        <w:tc>
          <w:tcPr>
            <w:tcW w:w="4876" w:type="dxa"/>
            <w:tcBorders>
              <w:top w:val="nil"/>
              <w:left w:val="nil"/>
              <w:bottom w:val="nil"/>
              <w:right w:val="nil"/>
            </w:tcBorders>
          </w:tcPr>
          <w:p>
            <w:pPr>
              <w:pStyle w:val="Normal6a"/>
            </w:pPr>
            <w:r>
              <w:t>C.</w:t>
            </w:r>
            <w:r>
              <w:tab/>
            </w:r>
            <w:r>
              <w:rPr>
                <w:b/>
                <w:i/>
              </w:rPr>
              <w:t>overwegende dat financiële stabiliteit een randvoorwaarde is voor een doeltreffend monetair beleid en een veerkrachtig financieel stelsel;</w:t>
            </w:r>
            <w:r>
              <w:t xml:space="preserve"> overwegende dat de EU </w:t>
            </w:r>
            <w:r>
              <w:rPr>
                <w:b/>
                <w:i/>
              </w:rPr>
              <w:t>reeds overeenstemming heeft bereikt over</w:t>
            </w:r>
            <w:r>
              <w:t xml:space="preserve"> uitvoering </w:t>
            </w:r>
            <w:r>
              <w:rPr>
                <w:b/>
                <w:i/>
              </w:rPr>
              <w:t>van het</w:t>
            </w:r>
            <w:r>
              <w:t xml:space="preserve"> Bazel </w:t>
            </w:r>
            <w:r>
              <w:rPr>
                <w:b/>
                <w:i/>
              </w:rPr>
              <w:t>III-kader</w:t>
            </w:r>
            <w:r>
              <w:t xml:space="preserve">; </w:t>
            </w:r>
            <w:r>
              <w:rPr>
                <w:b/>
                <w:i/>
              </w:rPr>
              <w:t>overwegende dat het tevens essentieel is om een juist evenwicht te vinden tussen financiële stabiliteit, naleving van de internationale kaders en een internationaal gelijk speelveld, om ervoor te zorgen dat Europese banken op gelijke voet kunnen concurreren met banken uit andere rechtsgebieden;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de </w:t>
            </w:r>
            <w:r>
              <w:rPr>
                <w:b/>
                <w:i/>
              </w:rPr>
              <w:t>EU onverwijld volledige uitvoering moet geven</w:t>
            </w:r>
            <w:r>
              <w:t xml:space="preserve"> aan de </w:t>
            </w:r>
            <w:r>
              <w:rPr>
                <w:b/>
                <w:i/>
              </w:rPr>
              <w:t>Bazel III-normen</w:t>
            </w:r>
            <w:r>
              <w:t>;</w:t>
            </w:r>
          </w:p>
        </w:tc>
        <w:tc>
          <w:tcPr>
            <w:tcW w:w="4876" w:type="dxa"/>
            <w:tcBorders>
              <w:top w:val="nil"/>
              <w:left w:val="nil"/>
              <w:bottom w:val="nil"/>
              <w:right w:val="nil"/>
            </w:tcBorders>
          </w:tcPr>
          <w:p>
            <w:pPr>
              <w:pStyle w:val="Normal6a"/>
            </w:pPr>
            <w:r>
              <w:t>C.</w:t>
            </w:r>
            <w:r>
              <w:tab/>
            </w:r>
            <w:r>
              <w:t xml:space="preserve">overwegende dat de </w:t>
            </w:r>
            <w:r>
              <w:rPr>
                <w:b/>
                <w:i/>
              </w:rPr>
              <w:t>Bazel III-regels moeten worden aangepast</w:t>
            </w:r>
            <w:r>
              <w:t xml:space="preserve"> aan de </w:t>
            </w:r>
            <w:r>
              <w:rPr>
                <w:b/>
                <w:i/>
              </w:rPr>
              <w:t>specifieke kenmerken van de Europese banksector, waarbij voor kleinere banken rekening moet worden gehouden met het evenredigheidscriterium en vereenvoudiging, wat in overeenstemming is met de resultaten van de taskforce op hoog niveau van de Europese Centrale Bank inzake vereenvoudiging en ondersteund wordt door de raad van bestuur van de ECB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de EU </w:t>
            </w:r>
            <w:r>
              <w:rPr>
                <w:b/>
                <w:i/>
              </w:rPr>
              <w:t>onverwijld volledige</w:t>
            </w:r>
            <w:r>
              <w:t xml:space="preserve"> uitvoering moet geven aan de Bazel III-normen;</w:t>
            </w:r>
          </w:p>
        </w:tc>
        <w:tc>
          <w:tcPr>
            <w:tcW w:w="4876" w:type="dxa"/>
            <w:tcBorders>
              <w:top w:val="nil"/>
              <w:left w:val="nil"/>
              <w:bottom w:val="nil"/>
              <w:right w:val="nil"/>
            </w:tcBorders>
          </w:tcPr>
          <w:p>
            <w:pPr>
              <w:pStyle w:val="Normal6a"/>
            </w:pPr>
            <w:r>
              <w:t>C.</w:t>
            </w:r>
            <w:r>
              <w:tab/>
            </w:r>
            <w:r>
              <w:t xml:space="preserve">overwegende dat de EU </w:t>
            </w:r>
            <w:r>
              <w:rPr>
                <w:b/>
                <w:i/>
              </w:rPr>
              <w:t>consistent</w:t>
            </w:r>
            <w:r>
              <w:t xml:space="preserve"> uitvoering moet geven aan de Bazel III-normen </w:t>
            </w:r>
            <w:r>
              <w:rPr>
                <w:b/>
                <w:i/>
              </w:rPr>
              <w:t>en tegelijkertijd moet waarborgen dat zij evenwichtig en geleidelijk worden toegepast op een manier die is toegespitst op de specifieke kenmerken van het Europese financiële stelsel, zonder afbreuk te doen aan het concurrentievermogen van het bankenstelsel van de Unie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de EU onverwijld volledige uitvoering moet geven aan de Bazel III-normen;</w:t>
            </w:r>
          </w:p>
        </w:tc>
        <w:tc>
          <w:tcPr>
            <w:tcW w:w="4876" w:type="dxa"/>
            <w:tcBorders>
              <w:top w:val="nil"/>
              <w:left w:val="nil"/>
              <w:bottom w:val="nil"/>
              <w:right w:val="nil"/>
            </w:tcBorders>
          </w:tcPr>
          <w:p>
            <w:pPr>
              <w:pStyle w:val="Normal6a"/>
            </w:pPr>
            <w:r>
              <w:t>C.</w:t>
            </w:r>
            <w:r>
              <w:tab/>
            </w:r>
            <w:r>
              <w:t xml:space="preserve">overwegende dat de EU onverwijld volledige uitvoering moet geven aan de Bazel III-normen </w:t>
            </w:r>
            <w:r>
              <w:rPr>
                <w:b/>
                <w:i/>
              </w:rPr>
              <w:t>op een wijze die het internationale concurrentievermogen van de Europese banksector waarborgt en die zorgt voor een wereldwijd gelijk speelveld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de EU onverwijld volledige uitvoering moet geven aan de Bazel III-normen;</w:t>
            </w:r>
          </w:p>
        </w:tc>
        <w:tc>
          <w:tcPr>
            <w:tcW w:w="4876" w:type="dxa"/>
            <w:tcBorders>
              <w:top w:val="nil"/>
              <w:left w:val="nil"/>
              <w:bottom w:val="nil"/>
              <w:right w:val="nil"/>
            </w:tcBorders>
          </w:tcPr>
          <w:p>
            <w:pPr>
              <w:pStyle w:val="Normal6a"/>
            </w:pPr>
            <w:r>
              <w:t>C.</w:t>
            </w:r>
            <w:r>
              <w:tab/>
            </w:r>
            <w:r>
              <w:t xml:space="preserve">overwegende dat de EU onverwijld volledige uitvoering moet geven aan de Bazel III-normen </w:t>
            </w:r>
            <w:r>
              <w:rPr>
                <w:b/>
                <w:i/>
              </w:rPr>
              <w:t>zonder het internationale concurrentievermogen van de banksector in gevaar te brengen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de EU onverwijld volledige uitvoering moet geven aan de Bazel III-normen;</w:t>
            </w:r>
          </w:p>
        </w:tc>
        <w:tc>
          <w:tcPr>
            <w:tcW w:w="4876" w:type="dxa"/>
            <w:tcBorders>
              <w:top w:val="nil"/>
              <w:left w:val="nil"/>
              <w:bottom w:val="nil"/>
              <w:right w:val="nil"/>
            </w:tcBorders>
          </w:tcPr>
          <w:p>
            <w:pPr>
              <w:pStyle w:val="Normal6a"/>
            </w:pPr>
            <w:r>
              <w:t>C.</w:t>
            </w:r>
            <w:r>
              <w:tab/>
            </w:r>
            <w:r>
              <w:rPr>
                <w:b/>
                <w:i/>
              </w:rPr>
              <w:t>overwegende dat de tenuitvoerlegging van de Bazel III-normen door de EU voor alle banken geldt, ongeacht hun omvang en werkterrein;</w:t>
            </w:r>
            <w:r>
              <w:t xml:space="preserve"> overwegende dat de EU onverwijld volledige uitvoering moet geven aan de Bazel III-normen</w:t>
            </w:r>
            <w:r>
              <w:rPr>
                <w:b/>
                <w:i/>
              </w:rPr>
              <w:t>, uitsluitend voor Europese banken die internationaal actief zijn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de EU onverwijld volledige uitvoering moet geven aan de Bazel III-normen;</w:t>
            </w:r>
          </w:p>
        </w:tc>
        <w:tc>
          <w:tcPr>
            <w:tcW w:w="4876" w:type="dxa"/>
            <w:tcBorders>
              <w:top w:val="nil"/>
              <w:left w:val="nil"/>
              <w:bottom w:val="nil"/>
              <w:right w:val="nil"/>
            </w:tcBorders>
          </w:tcPr>
          <w:p>
            <w:pPr>
              <w:pStyle w:val="Normal6a"/>
            </w:pPr>
            <w:r>
              <w:t>C.</w:t>
            </w:r>
            <w:r>
              <w:tab/>
            </w:r>
            <w:r>
              <w:t>overwegende dat de EU onverwijld volledige uitvoering moet geven aan de Bazel III-normen</w:t>
            </w:r>
            <w:r>
              <w:rPr>
                <w:b/>
                <w:i/>
              </w:rPr>
              <w:t>, en daarbij rekening moet houden met het belang van een wereldwijd gelijk speelveld en het feit dat EU-banken van cruciaal belang zijn om de economie, met inbegrip van huishoudens en kmo’s, te financieren en het concurrentievermogen van het systeem te waarborgen</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de EU onverwijld volledige uitvoering moet geven aan de Bazel III-normen;</w:t>
            </w:r>
          </w:p>
        </w:tc>
        <w:tc>
          <w:tcPr>
            <w:tcW w:w="4876" w:type="dxa"/>
            <w:tcBorders>
              <w:top w:val="nil"/>
              <w:left w:val="nil"/>
              <w:bottom w:val="nil"/>
              <w:right w:val="nil"/>
            </w:tcBorders>
          </w:tcPr>
          <w:p>
            <w:pPr>
              <w:pStyle w:val="Normal6a"/>
            </w:pPr>
            <w:r>
              <w:t>C.</w:t>
            </w:r>
            <w:r>
              <w:tab/>
            </w:r>
            <w:r>
              <w:t>overwegende dat de EU onverwijld volledige uitvoering moet geven aan de Bazel III-normen</w:t>
            </w:r>
            <w:r>
              <w:rPr>
                <w:b/>
                <w:i/>
              </w:rPr>
              <w:t>, met inbegrip van het marktrisicokader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de EU onverwijld volledige uitvoering moet geven aan de Bazel III-normen;</w:t>
            </w:r>
          </w:p>
        </w:tc>
        <w:tc>
          <w:tcPr>
            <w:tcW w:w="4876" w:type="dxa"/>
            <w:tcBorders>
              <w:top w:val="nil"/>
              <w:left w:val="nil"/>
              <w:bottom w:val="nil"/>
              <w:right w:val="nil"/>
            </w:tcBorders>
          </w:tcPr>
          <w:p>
            <w:pPr>
              <w:pStyle w:val="Normal6a"/>
            </w:pPr>
            <w:r>
              <w:t>C.</w:t>
            </w:r>
            <w:r>
              <w:tab/>
            </w:r>
            <w:r>
              <w:t xml:space="preserve">overwegende dat de EU onverwijld volledige uitvoering moet geven aan de Bazel III-normen; </w:t>
            </w:r>
            <w:r>
              <w:rPr>
                <w:b/>
                <w:i/>
              </w:rPr>
              <w:t>uit kritiek op het feit dat de EU het uitvoeren van de internationale Bazel III-normen herhaaldelijk uitstelt en van deze normen afwijkt, alsook op het feit dat de regels inzake marktrisico pas in 2026 ingaan, wat regelgevingsarbitrage en concurrentienadelen voor EU-banken op mondiale wholesalemarkten oplevert;</w:t>
            </w:r>
            <w:r>
              <w:t xml:space="preserve"> </w:t>
            </w:r>
            <w:r>
              <w:rPr>
                <w:b/>
                <w:i/>
              </w:rPr>
              <w:t>overwegende dat deze ongelijke uitvoering het gelijke speelveld verstoort en het systeemrisico doet toenemen door ondoelmatige toewijzing van risicokapitaal;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de agressie van Rusland ten aanzien van Oekraïne en de economische en maatschappelijke gevolgen daarvan directe en indirecte gevolgen hebben en zullen hebben voor de bankensector in de EU;</w:t>
            </w:r>
            <w:r>
              <w:t xml:space="preserve"> </w:t>
            </w:r>
            <w:r>
              <w:rPr>
                <w:b/>
                <w:i/>
              </w:rPr>
              <w:t>overwegende dat EU-banken een centrale rol spelen bij het waarborgen van de lopende uitvoering en naleving van de sancties tegen Rusland die de EU naar aanleiding van de invasie heeft opgelegd;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overwegende dat de digitalisering van het geldwezen grote kansen biedt voor de banksector en tot belangrijke technologische vooruitgang in de banksector in de EU heeft geleid door meer efficiëntie bij de verlening van bankdiensten en een grotere bereidheid tot innovatie en gegevensuitwisseling, maar ook uitdagingen met zich meebrengt, onder meer met betrekking tot cyberrisico’s, gegevensbescherming, reputatierisico’s, AML-risico’s en bezorgdheid over consumentenbescherming;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quater.</w:t>
            </w:r>
            <w:r>
              <w:tab/>
            </w:r>
            <w:r>
              <w:rPr>
                <w:b/>
                <w:i/>
              </w:rPr>
              <w:t>overwegende dat een van de hoofddoelstellingen van de bankenunie erin bestaat dat de belastingbetaler niet voor de kosten van corrigerende maatregelen mag opdraaien wanneer een bank failliet gaat;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overwegende dat bij de beoordeling van de risico’s op de balansen van banken rekening moet worden gehouden met klimaatverandering, milieurisico’s en de transitie naar een koolstofarme economie;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overwegende dat bij de beoordeling van de risico’s op de balansen van banken rekening moet worden gehouden met klimaatverandering, milieurisico’s en de transitie naar een koolstofarme economie;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overwegende dat bij de beoordeling van de risico’s op de balansen van banken rekening moet worden gehouden met klimaatverandering, milieurisico’s en de transitie naar een koolstofarme economie;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overwegende dat bij de beoordeling van de risico’s op de balansen van banken rekening moet worden gehouden met klimaatverandering, milieurisico’s en de transitie naar een koolstofarme economie;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w:t>
            </w:r>
            <w:r>
              <w:rPr>
                <w:b/>
                <w:i/>
              </w:rPr>
              <w:t>bij de beoordeling van de risico’s op de balansen van banken rekening moet</w:t>
            </w:r>
            <w:r>
              <w:t xml:space="preserve"> worden </w:t>
            </w:r>
            <w:r>
              <w:rPr>
                <w:b/>
                <w:i/>
              </w:rPr>
              <w:t>gehouden met klimaatverandering, milieurisico’s en de transitie naar een koolstofarme economie</w:t>
            </w:r>
            <w:r>
              <w:t>;</w:t>
            </w:r>
          </w:p>
        </w:tc>
        <w:tc>
          <w:tcPr>
            <w:tcW w:w="4876" w:type="dxa"/>
            <w:tcBorders>
              <w:top w:val="nil"/>
              <w:left w:val="nil"/>
              <w:bottom w:val="nil"/>
              <w:right w:val="nil"/>
            </w:tcBorders>
          </w:tcPr>
          <w:p>
            <w:pPr>
              <w:pStyle w:val="Normal6a"/>
            </w:pPr>
            <w:r>
              <w:t>D.</w:t>
            </w:r>
            <w:r>
              <w:tab/>
            </w:r>
            <w:r>
              <w:t xml:space="preserve">overwegende dat </w:t>
            </w:r>
            <w:r>
              <w:rPr>
                <w:b/>
                <w:i/>
              </w:rPr>
              <w:t>het dringend noodzakelijk is traditionele risicomaatstaven niet ondergeschikt te maken aan politiek ingegeven milieudoelstellingen in het kader waarvan kapitaalvereisten kunnen</w:t>
            </w:r>
            <w:r>
              <w:t xml:space="preserve"> worden </w:t>
            </w:r>
            <w:r>
              <w:rPr>
                <w:b/>
                <w:i/>
              </w:rPr>
              <w:t>opgeblazen en het kredietaanbod kan worden beperkt daar waar dit het meest productief zou zijn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bij de beoordeling van de risico’s op de balansen van banken rekening </w:t>
            </w:r>
            <w:r>
              <w:rPr>
                <w:b/>
                <w:i/>
              </w:rPr>
              <w:t>moet</w:t>
            </w:r>
            <w:r>
              <w:t xml:space="preserve"> worden gehouden met klimaatverandering, milieurisico’s en de transitie naar een koolstofarme economie;</w:t>
            </w:r>
          </w:p>
        </w:tc>
        <w:tc>
          <w:tcPr>
            <w:tcW w:w="4876" w:type="dxa"/>
            <w:tcBorders>
              <w:top w:val="nil"/>
              <w:left w:val="nil"/>
              <w:bottom w:val="nil"/>
              <w:right w:val="nil"/>
            </w:tcBorders>
          </w:tcPr>
          <w:p>
            <w:pPr>
              <w:pStyle w:val="Normal6a"/>
            </w:pPr>
            <w:r>
              <w:t>D.</w:t>
            </w:r>
            <w:r>
              <w:tab/>
            </w:r>
            <w:r>
              <w:t xml:space="preserve">overwegende dat bij de beoordeling van de risico’s op de balansen van banken rekening </w:t>
            </w:r>
            <w:r>
              <w:rPr>
                <w:b/>
                <w:i/>
              </w:rPr>
              <w:t>kan</w:t>
            </w:r>
            <w:r>
              <w:t xml:space="preserve"> worden gehouden met klimaatverandering, milieurisico’s en de transitie naar een koolstofarme economie</w:t>
            </w:r>
            <w:r>
              <w:rPr>
                <w:b/>
                <w:i/>
              </w:rPr>
              <w:t>, maar uitsluitend wanneer er sprake is van gevolgen voor de financiële stabiliteit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bij de beoordeling van de risico’s op de balansen van banken rekening moet worden gehouden met klimaatverandering, milieurisico’s en de transitie naar een </w:t>
            </w:r>
            <w:r>
              <w:rPr>
                <w:b/>
                <w:i/>
              </w:rPr>
              <w:t>koolstofarme economie</w:t>
            </w:r>
            <w:r>
              <w:t>;</w:t>
            </w:r>
          </w:p>
        </w:tc>
        <w:tc>
          <w:tcPr>
            <w:tcW w:w="4876" w:type="dxa"/>
            <w:tcBorders>
              <w:top w:val="nil"/>
              <w:left w:val="nil"/>
              <w:bottom w:val="nil"/>
              <w:right w:val="nil"/>
            </w:tcBorders>
          </w:tcPr>
          <w:p>
            <w:pPr>
              <w:pStyle w:val="Normal6a"/>
            </w:pPr>
            <w:r>
              <w:t>D.</w:t>
            </w:r>
            <w:r>
              <w:tab/>
            </w:r>
            <w:r>
              <w:t xml:space="preserve">overwegende dat bij de beoordeling van de risico’s op de balansen van banken rekening moet worden gehouden met klimaatverandering, milieurisico’s en de transitie naar een </w:t>
            </w:r>
            <w:r>
              <w:rPr>
                <w:b/>
                <w:i/>
              </w:rPr>
              <w:t>nettonuleconomie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w:t>
            </w:r>
            <w:r>
              <w:rPr>
                <w:b/>
                <w:i/>
              </w:rPr>
              <w:t>een digitale euro zou kunnen bijdragen tot een verbetering</w:t>
            </w:r>
            <w:r>
              <w:t xml:space="preserve"> van de </w:t>
            </w:r>
            <w:r>
              <w:rPr>
                <w:b/>
                <w:i/>
              </w:rPr>
              <w:t>doelmatigheid van het betalingsverkeer</w:t>
            </w:r>
            <w:r>
              <w:t xml:space="preserve"> in de EU</w:t>
            </w:r>
            <w:r>
              <w:rPr>
                <w:b/>
                <w:i/>
              </w:rPr>
              <w:t>, de veerkracht, de financiële inclusie, de innovatie, het vertrouwen van het publiek en de internationale rol van de euro</w:t>
            </w:r>
            <w:r>
              <w:t>;</w:t>
            </w:r>
          </w:p>
        </w:tc>
        <w:tc>
          <w:tcPr>
            <w:tcW w:w="4876" w:type="dxa"/>
            <w:tcBorders>
              <w:top w:val="nil"/>
              <w:left w:val="nil"/>
              <w:bottom w:val="nil"/>
              <w:right w:val="nil"/>
            </w:tcBorders>
          </w:tcPr>
          <w:p>
            <w:pPr>
              <w:pStyle w:val="Normal6a"/>
            </w:pPr>
            <w:r>
              <w:t>E.</w:t>
            </w:r>
            <w:r>
              <w:tab/>
            </w:r>
            <w:r>
              <w:t xml:space="preserve">overwegende dat </w:t>
            </w:r>
            <w:r>
              <w:rPr>
                <w:b/>
                <w:i/>
              </w:rPr>
              <w:t>het digitale-europroject uitdagingen en potentiële bedreigingen met zich meebrengt voor de liquiditeit en stabiliteit</w:t>
            </w:r>
            <w:r>
              <w:t xml:space="preserve"> van de </w:t>
            </w:r>
            <w:r>
              <w:rPr>
                <w:b/>
                <w:i/>
              </w:rPr>
              <w:t>banksector</w:t>
            </w:r>
            <w:r>
              <w:t xml:space="preserve"> in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een digitale euro zou kunnen bijdragen tot een verbetering van de doelmatigheid van het betalingsverkeer in de EU, </w:t>
            </w:r>
            <w:r>
              <w:rPr>
                <w:b/>
                <w:i/>
              </w:rPr>
              <w:t>de veerkracht,</w:t>
            </w:r>
            <w:r>
              <w:t xml:space="preserve"> de financiële </w:t>
            </w:r>
            <w:r>
              <w:rPr>
                <w:b/>
                <w:i/>
              </w:rPr>
              <w:t>inclusie, de innovatie, het vertrouwen van het publiek en de internationale rol van de euro</w:t>
            </w:r>
            <w:r>
              <w:t>;</w:t>
            </w:r>
          </w:p>
        </w:tc>
        <w:tc>
          <w:tcPr>
            <w:tcW w:w="4876" w:type="dxa"/>
            <w:tcBorders>
              <w:top w:val="nil"/>
              <w:left w:val="nil"/>
              <w:bottom w:val="nil"/>
              <w:right w:val="nil"/>
            </w:tcBorders>
          </w:tcPr>
          <w:p>
            <w:pPr>
              <w:pStyle w:val="Normal6a"/>
            </w:pPr>
            <w:r>
              <w:t>E.</w:t>
            </w:r>
            <w:r>
              <w:tab/>
            </w:r>
            <w:r>
              <w:t xml:space="preserve">overwegende dat een digitale euro </w:t>
            </w:r>
            <w:r>
              <w:rPr>
                <w:b/>
                <w:i/>
              </w:rPr>
              <w:t>voor offlinegebruik en voor het wholesalesegment</w:t>
            </w:r>
            <w:r>
              <w:t xml:space="preserve"> zou kunnen bijdragen tot een verbetering van de doelmatigheid </w:t>
            </w:r>
            <w:r>
              <w:rPr>
                <w:b/>
                <w:i/>
              </w:rPr>
              <w:t>en veerkracht</w:t>
            </w:r>
            <w:r>
              <w:t xml:space="preserve"> van het betalingsverkeer in de EU, </w:t>
            </w:r>
            <w:r>
              <w:rPr>
                <w:b/>
                <w:i/>
              </w:rPr>
              <w:t>maar ook de deposito’s van commerciële banken materieel kan verzwakken en</w:t>
            </w:r>
            <w:r>
              <w:t xml:space="preserve"> de financiële </w:t>
            </w:r>
            <w:r>
              <w:rPr>
                <w:b/>
                <w:i/>
              </w:rPr>
              <w:t>stabiliteit kan ondermijnen doordat het nemen van toevlucht tot centralebankdeposito’s wordt gestimuleerd, met name in perioden van stress; overwegende dat zo’n verschuiving ertoe kan leiden dat banken minder leningen kunnen verstrekken aan huishoudens en kmo’s, waardoor de afhankelijkheid van gecentraliseerde monetaire financieringsmechanismen toeneemt en minder vaak sprake zal zijn van gediversifieerde marktfinanciering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een digitale euro </w:t>
            </w:r>
            <w:r>
              <w:rPr>
                <w:b/>
                <w:i/>
              </w:rPr>
              <w:t>zou kunnen</w:t>
            </w:r>
            <w:r>
              <w:t xml:space="preserve"> bijdragen tot een verbetering van de doelmatigheid van het betalingsverkeer in de EU, de veerkracht, de financiële inclusie, de innovatie, het vertrouwen van het publiek en de internationale rol van de euro;</w:t>
            </w:r>
          </w:p>
        </w:tc>
        <w:tc>
          <w:tcPr>
            <w:tcW w:w="4876" w:type="dxa"/>
            <w:tcBorders>
              <w:top w:val="nil"/>
              <w:left w:val="nil"/>
              <w:bottom w:val="nil"/>
              <w:right w:val="nil"/>
            </w:tcBorders>
          </w:tcPr>
          <w:p>
            <w:pPr>
              <w:pStyle w:val="Normal6a"/>
            </w:pPr>
            <w:r>
              <w:t>E.</w:t>
            </w:r>
            <w:r>
              <w:tab/>
            </w:r>
            <w:r>
              <w:t xml:space="preserve">overwegende dat een digitale euro </w:t>
            </w:r>
            <w:r>
              <w:rPr>
                <w:b/>
                <w:i/>
              </w:rPr>
              <w:t>zal</w:t>
            </w:r>
            <w:r>
              <w:t xml:space="preserve"> bijdragen tot een verbetering van de doelmatigheid van het betalingsverkeer in de EU</w:t>
            </w:r>
            <w:r>
              <w:rPr>
                <w:b/>
                <w:i/>
              </w:rPr>
              <w:t>, het concurrentievermogen</w:t>
            </w:r>
            <w:r>
              <w:t>, de veerkracht, de financiële inclusie, de innovatie, het vertrouwen van het publiek en de internationale rol van de euro;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een digitale euro zou </w:t>
            </w:r>
            <w:r>
              <w:rPr>
                <w:b/>
                <w:i/>
              </w:rPr>
              <w:t>kunnen</w:t>
            </w:r>
            <w:r>
              <w:t xml:space="preserve"> bijdragen tot een verbetering van de doelmatigheid van het betalingsverkeer in de EU, de veerkracht, de financiële inclusie, de innovatie, het vertrouwen van het publiek en de internationale rol van de euro;</w:t>
            </w:r>
          </w:p>
        </w:tc>
        <w:tc>
          <w:tcPr>
            <w:tcW w:w="4876" w:type="dxa"/>
            <w:tcBorders>
              <w:top w:val="nil"/>
              <w:left w:val="nil"/>
              <w:bottom w:val="nil"/>
              <w:right w:val="nil"/>
            </w:tcBorders>
          </w:tcPr>
          <w:p>
            <w:pPr>
              <w:pStyle w:val="Normal6a"/>
            </w:pPr>
            <w:r>
              <w:t>E.</w:t>
            </w:r>
            <w:r>
              <w:tab/>
            </w:r>
            <w:r>
              <w:t>overwegende dat een digitale euro zou bijdragen tot een verbetering van de doelmatigheid van het betalingsverkeer in de EU, de veerkracht, de financiële inclusie, de innovatie, het vertrouwen van het publiek en de internationale rol van de euro;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een </w:t>
            </w:r>
            <w:r>
              <w:rPr>
                <w:b/>
                <w:i/>
              </w:rPr>
              <w:t>digitale euro</w:t>
            </w:r>
            <w:r>
              <w:t xml:space="preserve"> zou kunnen bijdragen tot een verbetering van de doelmatigheid van het betalingsverkeer in de EU, de veerkracht, de financiële inclusie, de innovatie, het vertrouwen van het publiek en de internationale rol van de euro;</w:t>
            </w:r>
          </w:p>
        </w:tc>
        <w:tc>
          <w:tcPr>
            <w:tcW w:w="4876" w:type="dxa"/>
            <w:tcBorders>
              <w:top w:val="nil"/>
              <w:left w:val="nil"/>
              <w:bottom w:val="nil"/>
              <w:right w:val="nil"/>
            </w:tcBorders>
          </w:tcPr>
          <w:p>
            <w:pPr>
              <w:pStyle w:val="Normal6a"/>
            </w:pPr>
            <w:r>
              <w:t>E.</w:t>
            </w:r>
            <w:r>
              <w:tab/>
            </w:r>
            <w:r>
              <w:t xml:space="preserve">overwegende dat een </w:t>
            </w:r>
            <w:r>
              <w:rPr>
                <w:b/>
                <w:i/>
              </w:rPr>
              <w:t>pan-Europese soevereine oplossing voor retailbetalingen</w:t>
            </w:r>
            <w:r>
              <w:t xml:space="preserve"> zou kunnen bijdragen tot een verbetering van de doelmatigheid van het betalingsverkeer in de EU</w:t>
            </w:r>
            <w:r>
              <w:rPr>
                <w:b/>
                <w:i/>
              </w:rPr>
              <w:t>, de soevereiniteit</w:t>
            </w:r>
            <w:r>
              <w:t xml:space="preserve">, de veerkracht, de financiële inclusie, de innovatie, het vertrouwen van het publiek en de internationale rol van de euro; </w:t>
            </w:r>
            <w:r>
              <w:rPr>
                <w:b/>
                <w:i/>
              </w:rPr>
              <w:t>overwegende dat een oplossing waarin marktspelers volledig zijn geïntegreerd leidt tot diepere en liquidere markten, waardoor voortdurende innovatie, vertrouwen en financiële stabiliteit worden gestimuleerd;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een digitale euro zou kunnen bijdragen tot een verbetering van de doelmatigheid van het betalingsverkeer in de EU, de veerkracht, de financiële inclusie, de innovatie, het vertrouwen van het publiek en de internationale rol van de euro;</w:t>
            </w:r>
          </w:p>
        </w:tc>
        <w:tc>
          <w:tcPr>
            <w:tcW w:w="4876" w:type="dxa"/>
            <w:tcBorders>
              <w:top w:val="nil"/>
              <w:left w:val="nil"/>
              <w:bottom w:val="nil"/>
              <w:right w:val="nil"/>
            </w:tcBorders>
          </w:tcPr>
          <w:p>
            <w:pPr>
              <w:pStyle w:val="Normal6a"/>
            </w:pPr>
            <w:r>
              <w:t>E.</w:t>
            </w:r>
            <w:r>
              <w:tab/>
            </w:r>
            <w:r>
              <w:t xml:space="preserve">overwegende dat een digitale euro </w:t>
            </w:r>
            <w:r>
              <w:rPr>
                <w:b/>
                <w:i/>
              </w:rPr>
              <w:t>voor de detailhandel</w:t>
            </w:r>
            <w:r>
              <w:t xml:space="preserve"> zou kunnen bijdragen tot een verbetering van de doelmatigheid van het betalingsverkeer in de EU, de veerkracht, de financiële inclusie, de innovatie, het </w:t>
            </w:r>
            <w:r>
              <w:rPr>
                <w:b/>
                <w:i/>
              </w:rPr>
              <w:t>concurrentievermogen, het</w:t>
            </w:r>
            <w:r>
              <w:t xml:space="preserve"> vertrouwen van het publiek</w:t>
            </w:r>
            <w:r>
              <w:rPr>
                <w:b/>
                <w:i/>
              </w:rPr>
              <w:t>, de privacy van klanten bij digitale betalingen</w:t>
            </w:r>
            <w:r>
              <w:t xml:space="preserve"> en de internationale rol van de euro;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de efficiëntie, de veerkracht en de strategische autonomie van de financiëlemarktinfrastructuur van de Unie essentieel zijn voor de goede werking van de bankenunie en voor het concurrentievermogen van het financiële stelsel van de EU;</w:t>
            </w:r>
            <w:r>
              <w:t xml:space="preserve"> </w:t>
            </w:r>
            <w:r>
              <w:rPr>
                <w:b/>
                <w:i/>
              </w:rPr>
              <w:t>overwegende dat de ontwikkeling van een CBDC voor het wholesalesegment, die uitsluitend is bedoeld voor afwikkeling tussen gereglementeerde financiële instellingen, de potentie heeft om grensoverschrijdende betalingen, effectenafwikkeling en liquiditeitsbeheer aanzienlijk te verbeteren, ook doordat sprake zal zijn van betere interoperabiliteit tussen betalingssystemen en de marktinfrastructuur;</w:t>
            </w:r>
            <w:r>
              <w:t xml:space="preserve"> </w:t>
            </w:r>
            <w:r>
              <w:rPr>
                <w:b/>
                <w:i/>
              </w:rPr>
              <w:t>overwegende dat de lopende initiatieven in het kader van het Eurosysteem belangrijke stappen zijn voor het verkennen van deze voordelen op gecontroleerde en marktgeoriënteerde wijze;</w:t>
            </w:r>
            <w:r>
              <w:t xml:space="preserve"> </w:t>
            </w:r>
            <w:r>
              <w:rPr>
                <w:b/>
                <w:i/>
              </w:rPr>
              <w:t>overwegende dat versnelling tot een niveau van volledige werking ertoe kan bijdragen dat de internationale rol van de euro groter wordt, de financiële markten van de EU minder gefragmenteerd raken en de financiële stabiliteit wordt ondersteund, waarbij de eenheid van geld en de rol van particuliere intermediairs volledig behouden blijven;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de ECB snel vorderingen maakt met de digitale euro voor het wholesalesegment, wat blijkt uit de lopende DLT-projecten voor de afwikkeling van transacties met centralebankgeld, met een korte (Pontes) dan wel lange looptijd (Appia);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overwegende dat banken in de EU sinds 2022 recordwinsten hebben geboekt dankzij de vertraagde doorwerking van het monetaire verkrappingsbeleid;</w:t>
            </w:r>
            <w:r>
              <w:t xml:space="preserve"> </w:t>
            </w:r>
            <w:r>
              <w:rPr>
                <w:b/>
                <w:i/>
              </w:rPr>
              <w:t>overwegende dat verschillende lidstaten tijdelijke bankenheffingen hebben ingevoerd om te zorgen voor een billijke bijdrage en tegelijkertijd de stabiliteit en sociale cohesie te waarborgen;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overwegende dat banken in de EU sinds 2022 recordwinsten hebben geboekt dankzij de vertraagde doorwerking van het monetaire verkrappingsbeleid;</w:t>
            </w:r>
            <w:r>
              <w:t xml:space="preserve"> </w:t>
            </w:r>
            <w:r>
              <w:rPr>
                <w:b/>
                <w:i/>
              </w:rPr>
              <w:t>overwegende dat verschillende lidstaten tijdelijke bankenheffingen hebben ingevoerd om te zorgen voor een billijke bijdrage en tegelijkertijd de stabiliteit en sociale cohesie te waarborgen;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banken in de EU sinds 2022 recordwinsten hebben geboekt dankzij de vertraagde doorwerking van het monetaire verkrappingsbeleid; overwegende dat verschillende lidstaten tijdelijke bankenheffingen hebben ingevoerd </w:t>
            </w:r>
            <w:r>
              <w:rPr>
                <w:b/>
                <w:i/>
              </w:rPr>
              <w:t>om te zorgen voor een billijke bijdrage en tegelijkertijd de stabiliteit en sociale cohesie te waarborgen</w:t>
            </w:r>
            <w:r>
              <w:t>;</w:t>
            </w:r>
          </w:p>
        </w:tc>
        <w:tc>
          <w:tcPr>
            <w:tcW w:w="4876" w:type="dxa"/>
            <w:tcBorders>
              <w:top w:val="nil"/>
              <w:left w:val="nil"/>
              <w:bottom w:val="nil"/>
              <w:right w:val="nil"/>
            </w:tcBorders>
          </w:tcPr>
          <w:p>
            <w:pPr>
              <w:pStyle w:val="Normal6a"/>
            </w:pPr>
            <w:r>
              <w:t>F.</w:t>
            </w:r>
            <w:r>
              <w:tab/>
            </w:r>
            <w:r>
              <w:t>overwegende dat banken in de EU sinds 2022 recordwinsten hebben geboekt dankzij de vertraagde doorwerking van het monetaire verkrappingsbeleid</w:t>
            </w:r>
            <w:r>
              <w:rPr>
                <w:b/>
                <w:i/>
              </w:rPr>
              <w:t>, wat ertoe bijgedraagt dat de REV-kloof tussen banken in de EU en de VS na meer dan 15 jaar wordt gedicht</w:t>
            </w:r>
            <w:r>
              <w:t>; overwegende dat verschillende lidstaten tijdelijke bankenheffingen hebben ingevoerd</w:t>
            </w:r>
            <w:r>
              <w:rPr>
                <w:b/>
                <w:i/>
              </w:rPr>
              <w:t>, ook al hebben instellingen als de ECB in hun adviezen herhaaldelijk gesteld dat heffingen die aan financiële instellingen worden opgelegd wegens algehele bedenkingen bij de begroting onwenselijk zijn en dat dergelijke heffingen de concurrentie op de markt en het gelijke speelveld in het land en in de bankenunie als geheel kunnen verstoren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banken in de EU sinds 2022 recordwinsten hebben geboekt dankzij de vertraagde doorwerking van het monetaire verkrappingsbeleid; overwegende dat verschillende lidstaten tijdelijke bankenheffingen hebben ingevoerd </w:t>
            </w:r>
            <w:r>
              <w:rPr>
                <w:b/>
                <w:i/>
              </w:rPr>
              <w:t>om te zorgen voor een billijke bijdrage en tegelijkertijd de stabiliteit en sociale cohesie te waarborgen</w:t>
            </w:r>
            <w:r>
              <w:t>;</w:t>
            </w:r>
          </w:p>
        </w:tc>
        <w:tc>
          <w:tcPr>
            <w:tcW w:w="4876" w:type="dxa"/>
            <w:tcBorders>
              <w:top w:val="nil"/>
              <w:left w:val="nil"/>
              <w:bottom w:val="nil"/>
              <w:right w:val="nil"/>
            </w:tcBorders>
          </w:tcPr>
          <w:p>
            <w:pPr>
              <w:pStyle w:val="Normal6a"/>
            </w:pPr>
            <w:r>
              <w:t>F.</w:t>
            </w:r>
            <w:r>
              <w:tab/>
            </w:r>
            <w:r>
              <w:t>overwegende dat banken in de EU sinds 2022 recordwinsten hebben geboekt dankzij de vertraagde doorwerking van het monetaire verkrappingsbeleid; overwegende dat verschillende lidstaten tijdelijke bankenheffingen hebben ingevoerd;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banken in de EU sinds 2022 recordwinsten hebben geboekt dankzij de vertraagde doorwerking van het monetaire verkrappingsbeleid; overwegende dat verschillende lidstaten tijdelijke bankenheffingen hebben ingevoerd om te zorgen voor een billijke bijdrage en tegelijkertijd de stabiliteit en sociale cohesie te waarborgen;</w:t>
            </w:r>
          </w:p>
        </w:tc>
        <w:tc>
          <w:tcPr>
            <w:tcW w:w="4876" w:type="dxa"/>
            <w:tcBorders>
              <w:top w:val="nil"/>
              <w:left w:val="nil"/>
              <w:bottom w:val="nil"/>
              <w:right w:val="nil"/>
            </w:tcBorders>
          </w:tcPr>
          <w:p>
            <w:pPr>
              <w:pStyle w:val="Normal6a"/>
            </w:pPr>
            <w:r>
              <w:t>F.</w:t>
            </w:r>
            <w:r>
              <w:tab/>
            </w:r>
            <w:r>
              <w:t xml:space="preserve">overwegende dat banken in de EU sinds 2022 recordwinsten hebben geboekt dankzij de vertraagde doorwerking van het monetaire verkrappingsbeleid; overwegende dat verschillende lidstaten tijdelijke bankenheffingen hebben ingevoerd om te zorgen voor een billijke bijdrage en tegelijkertijd de stabiliteit en sociale cohesie te waarborgen; </w:t>
            </w:r>
            <w:r>
              <w:rPr>
                <w:b/>
                <w:i/>
              </w:rPr>
              <w:t>overwegende dat de winstgevendheid van banken in de EU sinds 2022 gestegen is in een context van strakker monetair beleid, wat heeft bijgedragen tot kapitaalopwekking en financiële stabiliteit;</w:t>
            </w:r>
            <w:r>
              <w:t xml:space="preserve"> </w:t>
            </w:r>
            <w:r>
              <w:rPr>
                <w:b/>
                <w:i/>
              </w:rPr>
              <w:t>overwegende dat de winstgevendheid van banken cyclisch is en afhankelijk blijft van de gehele rentecyclus;</w:t>
            </w:r>
            <w:r>
              <w:t xml:space="preserve"> </w:t>
            </w:r>
            <w:r>
              <w:rPr>
                <w:b/>
                <w:i/>
              </w:rPr>
              <w:t>overwegende dat verschillende lidstaten tijdelijke heffingen voor banken hebben ingevoerd, die uitzonderlijk en evenredig moeten blijven en zorgvuldig beoordeeld moeten worden om negatieve gevolgen voor de kapitaalpositie van banken, de kredietverleningscapaciteit, de financiële stabiliteit en het gelijke speelveld binnen de bankenunie te voorkomen;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banken in de EU sinds 2022 recordwinsten hebben geboekt dankzij de vertraagde doorwerking van het monetaire verkrappingsbeleid; overwegende dat verschillende lidstaten tijdelijke bankenheffingen hebben ingevoerd om te zorgen voor een billijke bijdrage en tegelijkertijd de stabiliteit en sociale cohesie te waarborgen;</w:t>
            </w:r>
          </w:p>
        </w:tc>
        <w:tc>
          <w:tcPr>
            <w:tcW w:w="4876" w:type="dxa"/>
            <w:tcBorders>
              <w:top w:val="nil"/>
              <w:left w:val="nil"/>
              <w:bottom w:val="nil"/>
              <w:right w:val="nil"/>
            </w:tcBorders>
          </w:tcPr>
          <w:p>
            <w:pPr>
              <w:pStyle w:val="Normal6a"/>
            </w:pPr>
            <w:r>
              <w:t>F.</w:t>
            </w:r>
            <w:r>
              <w:tab/>
            </w:r>
            <w:r>
              <w:t xml:space="preserve">overwegende dat banken in de EU sinds 2022 recordwinsten hebben geboekt dankzij de vertraagde doorwerking van het monetaire verkrappingsbeleid; overwegende dat verschillende lidstaten tijdelijke bankenheffingen hebben ingevoerd om te zorgen voor een billijke bijdrage en tegelijkertijd de stabiliteit en sociale cohesie te waarborgen; </w:t>
            </w:r>
            <w:r>
              <w:rPr>
                <w:b/>
                <w:i/>
              </w:rPr>
              <w:t>overwegende dat hoge niet-uitgekeerde winsten grotendeels geabsorbeerd zijn door stijgende kapitaalvereisten en nalevingskosten, waaronder duurzaamheidsrapportering, wat de mogelijkheid van banken om de reële economie te ondersteunen inperkt; overwegende dat het monetaire verkrappingsbeleid de nettorentemarges heeft gedrukt, wat tot uitdrukking komt in macroprudentiële druk op de winstgevendheid;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sectorspecifieke belastingen voor kredietinstellingen, zelfs als tijdelijke maatregel, de interne markt kunnen verstoren, afbreuk kunnen doen aan het vermogen van instellingen om huishoudens en bedrijven van krediet te voorzien en het belastingkader minder voorspelbaar kunnen maken;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de Commissie zich er in haar mededeling van maart 2025 over de spaar- en investeringsunie toe verplicht “beslissende stappen zetten om de bankenunie verder uit te bouwen, onder meer door na te gaan hoe vooruitgang kan worden geboekt met de Europese depositogarantieregeling”, maar sindsdien nog altijd geen voorstel over voltooiing van de bankenunie heeft ingediend;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banken een fundamentele pijler van onze economie zijn en tot de strategisch belangrijkste sectoren behoren;</w:t>
            </w:r>
            <w:r>
              <w:t xml:space="preserve"> </w:t>
            </w:r>
            <w:r>
              <w:rPr>
                <w:b/>
                <w:i/>
              </w:rPr>
              <w:t>overwegende dat stabiliteit, veerkracht en concurrentievermogen fundamenteel zijn om te waarborgen dat het financiële stelsel zich kan aanpassen aan mondiale uitdagingen, om innovatie te bevorderen en om effectief aan de behoeften van bedrijven en burgers te kunnen voldoen;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de overtollige liquiditeit in de eurozone in 2022 4,7 biljoen EUR bedroeg en momenteel 2,8 biljoen EUR;</w:t>
            </w:r>
            <w:r>
              <w:t xml:space="preserve"> </w:t>
            </w:r>
            <w:r>
              <w:rPr>
                <w:b/>
                <w:i/>
              </w:rPr>
              <w:t>overwegende dat de liquiditeitsdekkingsratio van banken in de eurozone in 2022 de 170 % overschreed en daarmee een piek bereikte, en in het derde kwartaal van 2025 156 % bedroeg;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steeds meer gebruik wordt gemaakt van e-moneytokens (EMT’s) en dat deze steeds nauwer verbonden raken met banken in de bankenunie;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overwegende dat banken een hoeksteen van onze economie vormen en een van de belangrijkste strategische sectoren vertegenwoordigen, en het dus essentieel is om ervoor te zorgen dat ze opereren in een omgeving die stabiliteit, veerkracht, dynamiek en concurrentievermogen bevordert;</w:t>
            </w:r>
            <w:r>
              <w:t xml:space="preserve"> </w:t>
            </w:r>
            <w:r>
              <w:rPr>
                <w:b/>
                <w:i/>
              </w:rPr>
              <w:t>overwegende dat deze beginselen niet alleen fundamenteel zijn voor duurzame economische groei, maar ook om ervoor te zorgen dat het financiële stelsel zich kan aanpassen aan mondiale uitdagingen, innovatie kan faciliteren en doeltreffend kan inspelen op de behoeften van ondernemingen en burgers;</w:t>
            </w:r>
            <w:r>
              <w:t xml:space="preserve"> </w:t>
            </w:r>
            <w:r>
              <w:rPr>
                <w:b/>
                <w:i/>
              </w:rPr>
              <w:t>overwegende dat een levendige economie een banksector vereist die soliditeit combineert met flexibiliteit, die investeringen stimuleert en kapitaal doeltreffend kanaliseert, waardoor ons vermogen om te concurreren op een steeds veranderende wereldmarkt wordt versterkt;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overwegende dat in Verordening (EU) 2023 /1114 (MiCA-verordening) gedifferentieerde vereisten voor markttoegang, verplichtingen tot terugbetaling en toezichtskaders voor uitgevers van activagerelateerde tokens en e-moneytokens worden vastgesteld, waarin hun verschillende risicoprofielen en de monetaire gevolgen tot uitdrukking 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overwegende dat een sterke banksector van cruciaal belang is voor het realiseren van economische groei en het financieren van kleine en middelgrote ondernemingen (kmo’s) en start-ups;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is ingenomen met de vooruitgang die</w:t>
            </w:r>
            <w:r>
              <w:t xml:space="preserve"> de afgelopen tien jaar </w:t>
            </w:r>
            <w:r>
              <w:rPr>
                <w:b/>
                <w:i/>
              </w:rPr>
              <w:t>is geboekt met</w:t>
            </w:r>
            <w:r>
              <w:t xml:space="preserve"> het GTM en het GAM; dringt aan op </w:t>
            </w:r>
            <w:r>
              <w:rPr>
                <w:b/>
                <w:i/>
              </w:rPr>
              <w:t>een volledige en snelle voltooiing van de bankenunie, met inbegrip van een volwaardig EDIS;</w:t>
            </w:r>
            <w:r>
              <w:t xml:space="preserve"> </w:t>
            </w:r>
            <w:r>
              <w:rPr>
                <w:b/>
                <w:i/>
              </w:rPr>
              <w:t>benadrukt dat de bankenunie een inclusiever en duurzamer financieel stelsel moet ondersteunen dat aansluit bij de sociale cohesie en de Europese Green Deal</w:t>
            </w:r>
            <w:r>
              <w:t>;</w:t>
            </w:r>
          </w:p>
        </w:tc>
        <w:tc>
          <w:tcPr>
            <w:tcW w:w="4876" w:type="dxa"/>
            <w:tcBorders>
              <w:top w:val="nil"/>
              <w:left w:val="nil"/>
              <w:bottom w:val="nil"/>
              <w:right w:val="nil"/>
            </w:tcBorders>
          </w:tcPr>
          <w:p>
            <w:pPr>
              <w:pStyle w:val="Normal6a"/>
            </w:pPr>
            <w:r>
              <w:t>1.</w:t>
            </w:r>
            <w:r>
              <w:tab/>
            </w:r>
            <w:r>
              <w:rPr>
                <w:b/>
                <w:i/>
              </w:rPr>
              <w:t>neemt kennis van de ontwikkelingen van</w:t>
            </w:r>
            <w:r>
              <w:t xml:space="preserve"> de afgelopen tien jaar </w:t>
            </w:r>
            <w:r>
              <w:rPr>
                <w:b/>
                <w:i/>
              </w:rPr>
              <w:t>rond</w:t>
            </w:r>
            <w:r>
              <w:t xml:space="preserve"> het GTM en het GAM; dringt aan op </w:t>
            </w:r>
            <w:r>
              <w:rPr>
                <w:b/>
                <w:i/>
              </w:rPr>
              <w:t>hervormingen die leiden tot meer marktdiscipline in plaats van bureaucratische expansie;</w:t>
            </w:r>
            <w:r>
              <w:t xml:space="preserve"> </w:t>
            </w:r>
            <w:r>
              <w:rPr>
                <w:b/>
                <w:i/>
              </w:rPr>
              <w:t>onderstreept dat het verder centraliseren van risico’s, zoals in bepaalde voorstellen wordt beoogd, gecompenseerd moet worden met evenredige verantwoordelijkheid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w:t>
            </w:r>
            <w:r>
              <w:rPr>
                <w:b/>
                <w:i/>
              </w:rPr>
              <w:t>dringt aan op een volledige en snelle voltooiing van de bankenunie, met inbegrip van een volwaardig EDIS;</w:t>
            </w:r>
            <w:r>
              <w:t xml:space="preserve"> </w:t>
            </w:r>
            <w:r>
              <w:rPr>
                <w:b/>
                <w:i/>
              </w:rPr>
              <w:t>benadrukt dat de bankenunie een inclusiever en duurzamer financieel stelsel moet ondersteunen dat aansluit bij de sociale cohesie en de Europese Green Deal;</w:t>
            </w:r>
          </w:p>
        </w:tc>
        <w:tc>
          <w:tcPr>
            <w:tcW w:w="4876" w:type="dxa"/>
            <w:tcBorders>
              <w:top w:val="nil"/>
              <w:left w:val="nil"/>
              <w:bottom w:val="nil"/>
              <w:right w:val="nil"/>
            </w:tcBorders>
          </w:tcPr>
          <w:p>
            <w:pPr>
              <w:pStyle w:val="Normal6a"/>
            </w:pPr>
            <w:r>
              <w:t>1.</w:t>
            </w:r>
            <w:r>
              <w:tab/>
            </w:r>
            <w:r>
              <w:t>is ingenomen met de vooruitgang die de afgelopen tien jaar is geboekt met het GTM en het GAM;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w:t>
            </w:r>
            <w:r>
              <w:rPr>
                <w:b/>
                <w:i/>
              </w:rPr>
              <w:t>een volledige en snelle voltooiing</w:t>
            </w:r>
            <w:r>
              <w:t xml:space="preserve"> van de bankenunie</w:t>
            </w:r>
            <w:r>
              <w:rPr>
                <w:b/>
                <w:i/>
              </w:rPr>
              <w:t>, met inbegrip van een volwaardig EDIS;</w:t>
            </w:r>
            <w:r>
              <w:t xml:space="preserve"> </w:t>
            </w:r>
            <w:r>
              <w:rPr>
                <w:b/>
                <w:i/>
              </w:rPr>
              <w:t>benadrukt</w:t>
            </w:r>
            <w:r>
              <w:t xml:space="preserve"> dat de </w:t>
            </w:r>
            <w:r>
              <w:rPr>
                <w:b/>
                <w:i/>
              </w:rPr>
              <w:t>bankenunie een inclusiever en duurzamer financieel stelsel moet ondersteunen dat aansluit bij de sociale cohesie en de Europese Green Deal</w:t>
            </w:r>
            <w:r>
              <w:t>;</w:t>
            </w:r>
          </w:p>
        </w:tc>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w:t>
            </w:r>
            <w:r>
              <w:rPr>
                <w:b/>
                <w:i/>
              </w:rPr>
              <w:t>verdere ontwikkeling</w:t>
            </w:r>
            <w:r>
              <w:t xml:space="preserve"> van de bankenunie </w:t>
            </w:r>
            <w:r>
              <w:rPr>
                <w:b/>
                <w:i/>
              </w:rPr>
              <w:t>en daarbij rekening te houden met de specifieke kenmerken van nationale banksectoren en de autonomie en effectieve werking van institutionele protectiestelsels te waarborgen, zonder</w:t>
            </w:r>
            <w:r>
              <w:t xml:space="preserve"> dat de </w:t>
            </w:r>
            <w:r>
              <w:rPr>
                <w:b/>
                <w:i/>
              </w:rPr>
              <w:t>specifieke in de CMDI-herziening overeengekomen bepalingen inzake institutionele protectiestelsels in het gedrang komen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w:t>
            </w:r>
            <w:r>
              <w:rPr>
                <w:b/>
                <w:i/>
              </w:rPr>
              <w:t>op een volledige en snelle voltooiing van de bankenunie, met inbegrip van een volwaardig EDIS;</w:t>
            </w:r>
            <w:r>
              <w:t xml:space="preserve"> </w:t>
            </w:r>
            <w:r>
              <w:rPr>
                <w:b/>
                <w:i/>
              </w:rPr>
              <w:t>benadrukt dat</w:t>
            </w:r>
            <w:r>
              <w:t xml:space="preserve"> de bankenunie </w:t>
            </w:r>
            <w:r>
              <w:rPr>
                <w:b/>
                <w:i/>
              </w:rPr>
              <w:t>een inclusiever en duurzamer financieel stelsel moet ondersteunen dat aansluit bij de sociale cohesie en de Europese Green Deal</w:t>
            </w:r>
            <w:r>
              <w:t>;</w:t>
            </w:r>
          </w:p>
        </w:tc>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w:t>
            </w:r>
            <w:r>
              <w:rPr>
                <w:b/>
                <w:i/>
              </w:rPr>
              <w:t>erop</w:t>
            </w:r>
            <w:r>
              <w:t xml:space="preserve"> aan de bankenunie </w:t>
            </w:r>
            <w:r>
              <w:rPr>
                <w:b/>
                <w:i/>
              </w:rPr>
              <w:t>geleidelijk verder te ontwikkelen en daarbij naar behoren rekening te houden met nationale specifieke kenmerken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w:t>
            </w:r>
            <w:r>
              <w:rPr>
                <w:b/>
                <w:i/>
              </w:rPr>
              <w:t>volwaardig EDIS;</w:t>
            </w:r>
            <w:r>
              <w:t xml:space="preserve"> </w:t>
            </w:r>
            <w:r>
              <w:rPr>
                <w:b/>
                <w:i/>
              </w:rPr>
              <w:t>benadrukt dat de bankenunie een inclusiever en duurzamer financieel stelsel moet ondersteunen dat aansluit bij de sociale cohesie en de Europese Green Deal</w:t>
            </w:r>
            <w:r>
              <w:t>;</w:t>
            </w:r>
          </w:p>
        </w:tc>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w:t>
            </w:r>
            <w:r>
              <w:rPr>
                <w:b/>
                <w:i/>
              </w:rPr>
              <w:t>EDIS waarin rekening wordt gehouden met nationale specifieke kenmerken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ingenomen met de vooruitgang die de afgelopen tien jaar is geboekt met het GTM en het GAM</w:t>
            </w:r>
            <w:r>
              <w:rPr>
                <w:b/>
                <w:i/>
              </w:rPr>
              <w:t>;</w:t>
            </w:r>
            <w:r>
              <w:t xml:space="preserve"> </w:t>
            </w:r>
            <w:r>
              <w:rPr>
                <w:b/>
                <w:i/>
              </w:rPr>
              <w:t>dringt aan op een volledige en snelle voltooiing van de bankenunie, met inbegrip van een volwaardig EDIS</w:t>
            </w:r>
            <w:r>
              <w:t xml:space="preserve">; benadrukt dat de bankenunie een inclusiever en duurzamer financieel stelsel moet ondersteunen dat aansluit bij de </w:t>
            </w:r>
            <w:r>
              <w:rPr>
                <w:b/>
                <w:i/>
              </w:rPr>
              <w:t>sociale cohesie en de Europese Green Deal</w:t>
            </w:r>
            <w:r>
              <w:t>;</w:t>
            </w:r>
          </w:p>
        </w:tc>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benadrukt dat de bankenunie een inclusiever en duurzamer financieel stelsel moet ondersteunen dat aansluit bij de </w:t>
            </w:r>
            <w:r>
              <w:rPr>
                <w:b/>
                <w:i/>
              </w:rPr>
              <w:t>dubbele transitie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volwaardig EDIS; </w:t>
            </w:r>
            <w:r>
              <w:rPr>
                <w:b/>
                <w:i/>
              </w:rPr>
              <w:t>benadrukt dat de bankenunie een inclusiever en duurzamer financieel stelsel moet ondersteunen dat aansluit bij de sociale cohesie en de Europese Green Deal;</w:t>
            </w:r>
          </w:p>
        </w:tc>
        <w:tc>
          <w:tcPr>
            <w:tcW w:w="4876" w:type="dxa"/>
            <w:tcBorders>
              <w:top w:val="nil"/>
              <w:left w:val="nil"/>
              <w:bottom w:val="nil"/>
              <w:right w:val="nil"/>
            </w:tcBorders>
          </w:tcPr>
          <w:p>
            <w:pPr>
              <w:pStyle w:val="Normal6a"/>
            </w:pPr>
            <w:r>
              <w:t>1.</w:t>
            </w:r>
            <w:r>
              <w:tab/>
            </w:r>
            <w:r>
              <w:t>is ingenomen met de vooruitgang die de afgelopen tien jaar is geboekt met het GTM en het GAM; dringt aan op een volledige en snelle voltooiing van de bankenunie, met inbegrip van een volwaardig EDIS;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volwaardig EDIS; </w:t>
            </w:r>
            <w:r>
              <w:rPr>
                <w:b/>
                <w:i/>
              </w:rPr>
              <w:t>benadrukt dat de bankenunie een inclusiever en duurzamer financieel stelsel moet ondersteunen dat aansluit bij de sociale cohesie en de Europese Green Deal;</w:t>
            </w:r>
          </w:p>
        </w:tc>
        <w:tc>
          <w:tcPr>
            <w:tcW w:w="4876" w:type="dxa"/>
            <w:tcBorders>
              <w:top w:val="nil"/>
              <w:left w:val="nil"/>
              <w:bottom w:val="nil"/>
              <w:right w:val="nil"/>
            </w:tcBorders>
          </w:tcPr>
          <w:p>
            <w:pPr>
              <w:pStyle w:val="Normal6a"/>
            </w:pPr>
            <w:r>
              <w:t>1.</w:t>
            </w:r>
            <w:r>
              <w:tab/>
            </w:r>
            <w:r>
              <w:t>is ingenomen met de vooruitgang die de afgelopen tien jaar is geboekt met het GTM en het GAM; dringt aan op een volledige en snelle voltooiing van de bankenunie, met inbegrip van een volwaardig EDIS;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w:t>
            </w:r>
            <w:r>
              <w:rPr>
                <w:b/>
                <w:i/>
              </w:rPr>
              <w:t>dringt aan op een volledige en snelle</w:t>
            </w:r>
            <w:r>
              <w:t xml:space="preserve"> voltooiing van de bankenunie</w:t>
            </w:r>
            <w:r>
              <w:rPr>
                <w:b/>
                <w:i/>
              </w:rPr>
              <w:t>, met inbegrip van een volwaardig EDIS</w:t>
            </w:r>
            <w:r>
              <w:t xml:space="preserve">; benadrukt dat de bankenunie een </w:t>
            </w:r>
            <w:r>
              <w:rPr>
                <w:b/>
                <w:i/>
              </w:rPr>
              <w:t>inclusiever en duurzamer</w:t>
            </w:r>
            <w:r>
              <w:t xml:space="preserve"> financieel stelsel moet ondersteunen dat aansluit bij de sociale cohesie en de Europese Green Deal;</w:t>
            </w:r>
          </w:p>
        </w:tc>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w:t>
            </w:r>
            <w:r>
              <w:rPr>
                <w:b/>
                <w:i/>
              </w:rPr>
              <w:t>spoort aan tot</w:t>
            </w:r>
            <w:r>
              <w:t xml:space="preserve"> voltooiing van de bankenunie; benadrukt dat de bankenunie een </w:t>
            </w:r>
            <w:r>
              <w:rPr>
                <w:b/>
                <w:i/>
              </w:rPr>
              <w:t>inclusief en duurzaam</w:t>
            </w:r>
            <w:r>
              <w:t xml:space="preserve"> financieel stelsel moet ondersteunen dat aansluit bij de sociale cohesie en de Europese Green Deal;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ingenomen met de vooruitgang die de afgelopen tien jaar is geboekt met het GTM en het GAM; dringt aan op een volledige en snelle voltooiing van de bankenunie</w:t>
            </w:r>
            <w:r>
              <w:rPr>
                <w:b/>
                <w:i/>
              </w:rPr>
              <w:t>, met inbegrip van een volwaardig EDIS</w:t>
            </w:r>
            <w:r>
              <w:t>; benadrukt dat de bankenunie een inclusiever en duurzamer financieel stelsel moet ondersteunen dat aansluit bij de sociale cohesie en de Europese Green Deal;</w:t>
            </w:r>
          </w:p>
        </w:tc>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w:t>
            </w:r>
            <w:r>
              <w:rPr>
                <w:b/>
                <w:i/>
              </w:rPr>
              <w:t>en daarbij onder meer verder te werken aan het EDIS en maatregelen te nemen om de marktintegratie te verdiepen en de effectieve circulatie van kapitaal en liquiditeit binnen bankgroepen gemakkelijker te maken</w:t>
            </w:r>
            <w:r>
              <w:t>; benadrukt dat de bankenunie een inclusiever en duurzamer financieel stelsel moet ondersteunen dat aansluit bij de sociale cohesie en de Europese Green Deal;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w:t>
            </w:r>
            <w:r>
              <w:rPr>
                <w:b/>
                <w:i/>
              </w:rPr>
              <w:t>volwaardig</w:t>
            </w:r>
            <w:r>
              <w:t xml:space="preserve"> EDIS; benadrukt dat de bankenunie een inclusiever en duurzamer financieel stelsel moet ondersteunen dat aansluit bij de sociale cohesie en de Europese Green Deal;</w:t>
            </w:r>
          </w:p>
        </w:tc>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EDIS </w:t>
            </w:r>
            <w:r>
              <w:rPr>
                <w:b/>
                <w:i/>
              </w:rPr>
              <w:t>waarin rekening wordt gehouden met nationale specifieke kenmerken</w:t>
            </w:r>
            <w:r>
              <w:t>; benadrukt dat de bankenunie een inclusiever en duurzamer financieel stelsel moet ondersteunen dat aansluit bij de sociale cohesie en de Europese Green Deal;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volwaardig EDIS; benadrukt dat de bankenunie een inclusiever en duurzamer financieel stelsel moet ondersteunen </w:t>
            </w:r>
            <w:r>
              <w:rPr>
                <w:b/>
                <w:i/>
              </w:rPr>
              <w:t>dat aansluit bij de sociale cohesie en de Europese Green Deal</w:t>
            </w:r>
            <w:r>
              <w:t>;</w:t>
            </w:r>
          </w:p>
        </w:tc>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volwaardig </w:t>
            </w:r>
            <w:r>
              <w:rPr>
                <w:b/>
                <w:i/>
              </w:rPr>
              <w:t>en gemutualiseerd</w:t>
            </w:r>
            <w:r>
              <w:t xml:space="preserve"> EDIS; benadrukt dat de bankenunie een </w:t>
            </w:r>
            <w:r>
              <w:rPr>
                <w:b/>
                <w:i/>
              </w:rPr>
              <w:t>concurrerender,</w:t>
            </w:r>
            <w:r>
              <w:t xml:space="preserve"> inclusiever en duurzamer financieel stelsel moet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volwaardig EDIS; benadrukt dat de bankenunie een inclusiever en duurzamer financieel stelsel moet ondersteunen dat aansluit bij de sociale cohesie en </w:t>
            </w:r>
            <w:r>
              <w:rPr>
                <w:b/>
                <w:i/>
              </w:rPr>
              <w:t>de Europese Green Deal</w:t>
            </w:r>
            <w:r>
              <w:t>;</w:t>
            </w:r>
          </w:p>
        </w:tc>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volwaardig EDIS; benadrukt dat de bankenunie een inclusiever en duurzamer financieel stelsel moet ondersteunen dat aansluit bij de sociale cohesie en </w:t>
            </w:r>
            <w:r>
              <w:rPr>
                <w:b/>
                <w:i/>
              </w:rPr>
              <w:t>het concurrentievermogen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ingenomen met de vooruitgang die de afgelopen tien jaar is geboekt met het GTM en het GAM; dringt aan op een volledige en snelle voltooiing van de bankenunie, met inbegrip van een volwaardig EDIS; benadrukt dat de bankenunie een inclusiever en duurzamer financieel stelsel moet ondersteunen dat aansluit bij de sociale cohesie en de Europese Green Deal;</w:t>
            </w:r>
          </w:p>
        </w:tc>
        <w:tc>
          <w:tcPr>
            <w:tcW w:w="4876" w:type="dxa"/>
            <w:tcBorders>
              <w:top w:val="nil"/>
              <w:left w:val="nil"/>
              <w:bottom w:val="nil"/>
              <w:right w:val="nil"/>
            </w:tcBorders>
          </w:tcPr>
          <w:p>
            <w:pPr>
              <w:pStyle w:val="Normal6a"/>
            </w:pPr>
            <w:r>
              <w:t>1.</w:t>
            </w:r>
            <w:r>
              <w:tab/>
            </w:r>
            <w:r>
              <w:t xml:space="preserve">is ingenomen met de vooruitgang die de afgelopen tien jaar is geboekt met het GTM en het GAM; dringt aan op een volledige en snelle voltooiing van de bankenunie, met inbegrip van een volwaardig EDIS </w:t>
            </w:r>
            <w:r>
              <w:rPr>
                <w:b/>
                <w:i/>
              </w:rPr>
              <w:t>dat in verliesdekking voorziet</w:t>
            </w:r>
            <w:r>
              <w:t>; benadrukt dat de bankenunie een inclusiever en duurzamer financieel stelsel moet ondersteunen dat aansluit bij de sociale cohesie en de Europese Green Deal;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wijst erop dat een beter geïntegreerde bankenunie zou bijdragen tot een veerkrachtiger banksector in de EU en voordelen voor klanten zou hebben;</w:t>
            </w:r>
            <w:r>
              <w:t xml:space="preserve"> </w:t>
            </w:r>
            <w:r>
              <w:rPr>
                <w:b/>
                <w:i/>
              </w:rPr>
              <w:t>merkt in dit verband op dat de problemen en uitdagingen in verband met de “home-host”-kwestie moeten worden aangegaan, met name geloofwaardige waarborgen in het EU-recht voor het gastland;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verzoekt de Commissie prioriteit te geven aan de voltooiing van de bankenunie en de spaar- en investeringsunie;</w:t>
            </w:r>
            <w:r>
              <w:t xml:space="preserve"> </w:t>
            </w:r>
            <w:r>
              <w:rPr>
                <w:b/>
                <w:i/>
              </w:rPr>
              <w:t>benadrukt het belang ervan voor burgers, kmo’s en de reële economie door duurzame welvaart, hoogwaardige banen en financiële stabiliteit te bevorderen;</w:t>
            </w:r>
            <w:r>
              <w:t xml:space="preserve"> </w:t>
            </w:r>
            <w:r>
              <w:rPr>
                <w:b/>
                <w:i/>
              </w:rPr>
              <w:t>onderstreept dat er een sterk, op solidariteit gebaseerd kader nodig is om bankruns te voorkomen;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verzoekt</w:t>
            </w:r>
            <w:r>
              <w:t xml:space="preserve"> de Commissie </w:t>
            </w:r>
            <w:r>
              <w:rPr>
                <w:b/>
                <w:i/>
              </w:rPr>
              <w:t>prioriteit te geven aan de voltooiing van de bankenunie en</w:t>
            </w:r>
            <w:r>
              <w:t xml:space="preserve"> de spaar- en investeringsunie; </w:t>
            </w:r>
            <w:r>
              <w:rPr>
                <w:b/>
                <w:i/>
              </w:rPr>
              <w:t>benadrukt het belang ervan voor burgers, kmo’s en de reële economie door duurzame welvaart, hoogwaardige banen en financiële stabiliteit te bevorderen;</w:t>
            </w:r>
            <w:r>
              <w:t xml:space="preserve"> </w:t>
            </w:r>
            <w:r>
              <w:rPr>
                <w:b/>
                <w:i/>
              </w:rPr>
              <w:t>onderstreept dat er een sterk, op solidariteit gebaseerd kader nodig is om bankruns te voorkomen</w:t>
            </w:r>
            <w:r>
              <w:t>;</w:t>
            </w:r>
          </w:p>
        </w:tc>
        <w:tc>
          <w:tcPr>
            <w:tcW w:w="4876" w:type="dxa"/>
            <w:tcBorders>
              <w:top w:val="nil"/>
              <w:left w:val="nil"/>
              <w:bottom w:val="nil"/>
              <w:right w:val="nil"/>
            </w:tcBorders>
          </w:tcPr>
          <w:p>
            <w:pPr>
              <w:pStyle w:val="Normal6a"/>
            </w:pPr>
            <w:r>
              <w:t>2.</w:t>
            </w:r>
            <w:r>
              <w:tab/>
            </w:r>
            <w:r>
              <w:rPr>
                <w:b/>
                <w:i/>
              </w:rPr>
              <w:t>neemt kennis van de voorstellen van</w:t>
            </w:r>
            <w:r>
              <w:t xml:space="preserve"> de Commissie </w:t>
            </w:r>
            <w:r>
              <w:rPr>
                <w:b/>
                <w:i/>
              </w:rPr>
              <w:t>in verband met</w:t>
            </w:r>
            <w:r>
              <w:t xml:space="preserve"> de spaar- en investeringsunie; </w:t>
            </w:r>
            <w:r>
              <w:rPr>
                <w:b/>
                <w:i/>
              </w:rPr>
              <w:t>merkt op dat de spaar- en investeringsunie in haar huidige opzet het risico met zich meebrengt dat spaartegoeden worden verlegd naar kapitaalmarkten met een hoog risico zonder dat sprake is van adequate bescherming van beleggers of duidelijke marktprikkels</w:t>
            </w:r>
            <w:r>
              <w:t xml:space="preserve">; </w:t>
            </w:r>
            <w:r>
              <w:rPr>
                <w:b/>
                <w:i/>
              </w:rPr>
              <w:t>is van mening dat met deze centrale planning het toewijzen van spaartegoeden verstoord kan raken en kleine beleggers aan volatiliteit kunnen worden blootgesteld doordat solide veiligheidsmechanismen ontbreken;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verzoekt de Commissie prioriteit te geven aan de </w:t>
            </w:r>
            <w:r>
              <w:rPr>
                <w:b/>
                <w:i/>
              </w:rPr>
              <w:t>voltooiing</w:t>
            </w:r>
            <w:r>
              <w:t xml:space="preserve"> van de bankenunie en de spaar- en investeringsunie; benadrukt het belang ervan voor burgers, kmo’s en de reële economie door duurzame welvaart, hoogwaardige banen en financiële stabiliteit te bevorderen; </w:t>
            </w:r>
            <w:r>
              <w:rPr>
                <w:b/>
                <w:i/>
              </w:rPr>
              <w:t>onderstreept dat er een sterk, op solidariteit gebaseerd kader nodig is om bankruns te voorkomen;</w:t>
            </w:r>
          </w:p>
        </w:tc>
        <w:tc>
          <w:tcPr>
            <w:tcW w:w="4876" w:type="dxa"/>
            <w:tcBorders>
              <w:top w:val="nil"/>
              <w:left w:val="nil"/>
              <w:bottom w:val="nil"/>
              <w:right w:val="nil"/>
            </w:tcBorders>
          </w:tcPr>
          <w:p>
            <w:pPr>
              <w:pStyle w:val="Normal6a"/>
            </w:pPr>
            <w:r>
              <w:t>2.</w:t>
            </w:r>
            <w:r>
              <w:tab/>
            </w:r>
            <w:r>
              <w:t xml:space="preserve">verzoekt de Commissie prioriteit te geven aan de </w:t>
            </w:r>
            <w:r>
              <w:rPr>
                <w:b/>
                <w:i/>
              </w:rPr>
              <w:t>verdere ontwikkeling</w:t>
            </w:r>
            <w:r>
              <w:t xml:space="preserve"> van de bankenunie en de spaar- en investeringsunie; benadrukt het belang ervan voor burgers, kmo’s en de reële economie door duurzame welvaart, hoogwaardige banen en financiële stabiliteit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verzoekt de Commissie prioriteit te geven aan de voltooiing van de bankenunie en de spaar- en investeringsunie; benadrukt het belang ervan voor burgers, kmo’s en de </w:t>
            </w:r>
            <w:r>
              <w:rPr>
                <w:b/>
                <w:i/>
              </w:rPr>
              <w:t>reële</w:t>
            </w:r>
            <w:r>
              <w:t xml:space="preserve"> economie door </w:t>
            </w:r>
            <w:r>
              <w:rPr>
                <w:b/>
                <w:i/>
              </w:rPr>
              <w:t>duurzame</w:t>
            </w:r>
            <w:r>
              <w:t xml:space="preserve"> welvaart, hoogwaardige banen en financiële stabiliteit te bevorderen; onderstreept dat er een sterk</w:t>
            </w:r>
            <w:r>
              <w:rPr>
                <w:b/>
                <w:i/>
              </w:rPr>
              <w:t>, op solidariteit gebaseerd</w:t>
            </w:r>
            <w:r>
              <w:t xml:space="preserve"> kader nodig is </w:t>
            </w:r>
            <w:r>
              <w:rPr>
                <w:b/>
                <w:i/>
              </w:rPr>
              <w:t>om</w:t>
            </w:r>
            <w:r>
              <w:t xml:space="preserve"> bankruns te voorkomen;</w:t>
            </w:r>
          </w:p>
        </w:tc>
        <w:tc>
          <w:tcPr>
            <w:tcW w:w="4876" w:type="dxa"/>
            <w:tcBorders>
              <w:top w:val="nil"/>
              <w:left w:val="nil"/>
              <w:bottom w:val="nil"/>
              <w:right w:val="nil"/>
            </w:tcBorders>
          </w:tcPr>
          <w:p>
            <w:pPr>
              <w:pStyle w:val="Normal6a"/>
            </w:pPr>
            <w:r>
              <w:t>2.</w:t>
            </w:r>
            <w:r>
              <w:tab/>
            </w:r>
            <w:r>
              <w:t>verzoekt de Commissie prioriteit te geven aan de voltooiing van de bankenunie en de spaar- en investeringsunie</w:t>
            </w:r>
            <w:r>
              <w:rPr>
                <w:b/>
                <w:i/>
              </w:rPr>
              <w:t>, als essentiële instrumenten om spaargelden te kanaliseren naar investeringen</w:t>
            </w:r>
            <w:r>
              <w:t xml:space="preserve">; benadrukt het belang ervan voor burgers, kmo’s en de economie door welvaart, hoogwaardige banen en financiële stabiliteit te bevorderen; onderstreept dat er een sterk kader nodig is </w:t>
            </w:r>
            <w:r>
              <w:rPr>
                <w:b/>
                <w:i/>
              </w:rPr>
              <w:t>dat gebaseerd is op solidariteit, duidelijke regels en doeltreffende mechanismen om het vertrouwen van depositohouders te vergroten en</w:t>
            </w:r>
            <w:r>
              <w:t xml:space="preserve"> bankruns te voorkomen;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verzoekt de Commissie prioriteit te geven aan de voltooiing van de bankenunie en de spaar- en investeringsunie; benadrukt het belang ervan voor burgers, kmo’s en de reële economie door duurzame welvaart, hoogwaardige banen en financiële stabiliteit te bevorderen; onderstreept dat er een sterk</w:t>
            </w:r>
            <w:r>
              <w:rPr>
                <w:b/>
                <w:i/>
              </w:rPr>
              <w:t>, op solidariteit gebaseerd</w:t>
            </w:r>
            <w:r>
              <w:t xml:space="preserve"> kader nodig is om bankruns te voorkomen;</w:t>
            </w:r>
          </w:p>
        </w:tc>
        <w:tc>
          <w:tcPr>
            <w:tcW w:w="4876" w:type="dxa"/>
            <w:tcBorders>
              <w:top w:val="nil"/>
              <w:left w:val="nil"/>
              <w:bottom w:val="nil"/>
              <w:right w:val="nil"/>
            </w:tcBorders>
          </w:tcPr>
          <w:p>
            <w:pPr>
              <w:pStyle w:val="Normal6a"/>
            </w:pPr>
            <w:r>
              <w:t>2.</w:t>
            </w:r>
            <w:r>
              <w:tab/>
            </w:r>
            <w:r>
              <w:t xml:space="preserve">verzoekt de Commissie prioriteit te geven aan de voltooiing van de bankenunie en de spaar- en investeringsunie; benadrukt het belang ervan voor burgers, kmo’s en de reële economie door duurzame welvaart, hoogwaardige banen en financiële stabiliteit te bevorderen; onderstreept dat </w:t>
            </w:r>
            <w:r>
              <w:rPr>
                <w:b/>
                <w:i/>
              </w:rPr>
              <w:t>een beter geïntegreerde bankenunie de groei en het concurrentievermogen van Europese banken zou bevorderen;</w:t>
            </w:r>
            <w:r>
              <w:t xml:space="preserve"> </w:t>
            </w:r>
            <w:r>
              <w:rPr>
                <w:b/>
                <w:i/>
              </w:rPr>
              <w:t>onderstreept dat</w:t>
            </w:r>
            <w:r>
              <w:t xml:space="preserve"> er een sterk kader nodig is om bankruns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verzoekt de Commissie prioriteit te geven aan de voltooiing van de bankenunie en de spaar- en investeringsunie; benadrukt het belang ervan voor burgers, kmo’s en de reële economie door duurzame welvaart, hoogwaardige banen en financiële stabiliteit te bevorderen; onderstreept dat er een sterk</w:t>
            </w:r>
            <w:r>
              <w:rPr>
                <w:b/>
                <w:i/>
              </w:rPr>
              <w:t>, op solidariteit gebaseerd</w:t>
            </w:r>
            <w:r>
              <w:t xml:space="preserve"> kader nodig is </w:t>
            </w:r>
            <w:r>
              <w:rPr>
                <w:b/>
                <w:i/>
              </w:rPr>
              <w:t>om</w:t>
            </w:r>
            <w:r>
              <w:t xml:space="preserve"> bankruns </w:t>
            </w:r>
            <w:r>
              <w:rPr>
                <w:b/>
                <w:i/>
              </w:rPr>
              <w:t>te voorkomen</w:t>
            </w:r>
            <w:r>
              <w:t>;</w:t>
            </w:r>
          </w:p>
        </w:tc>
        <w:tc>
          <w:tcPr>
            <w:tcW w:w="4876" w:type="dxa"/>
            <w:tcBorders>
              <w:top w:val="nil"/>
              <w:left w:val="nil"/>
              <w:bottom w:val="nil"/>
              <w:right w:val="nil"/>
            </w:tcBorders>
          </w:tcPr>
          <w:p>
            <w:pPr>
              <w:pStyle w:val="Normal6a"/>
            </w:pPr>
            <w:r>
              <w:t>2.</w:t>
            </w:r>
            <w:r>
              <w:tab/>
            </w:r>
            <w:r>
              <w:t xml:space="preserve">verzoekt de Commissie prioriteit te geven aan de voltooiing van de bankenunie en de spaar- en investeringsunie; benadrukt het belang ervan voor burgers, kmo’s en de reële economie door duurzame welvaart, hoogwaardige banen en financiële stabiliteit te bevorderen; onderstreept dat er een sterk </w:t>
            </w:r>
            <w:r>
              <w:rPr>
                <w:b/>
                <w:i/>
              </w:rPr>
              <w:t>en robuust</w:t>
            </w:r>
            <w:r>
              <w:t xml:space="preserve"> kader nodig is </w:t>
            </w:r>
            <w:r>
              <w:rPr>
                <w:b/>
                <w:i/>
              </w:rPr>
              <w:t>dat gebaseerd is op duidelijke regels en verplichtingen en dat</w:t>
            </w:r>
            <w:r>
              <w:t xml:space="preserve"> bankruns </w:t>
            </w:r>
            <w:r>
              <w:rPr>
                <w:b/>
                <w:i/>
              </w:rPr>
              <w:t>voorkomt, de financiële stabiliteit en het financiële concurrentievermogen vergroot en de banksector van de EU versterkt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verzoekt de Commissie prioriteit te geven aan de voltooiing van de bankenunie </w:t>
            </w:r>
            <w:r>
              <w:rPr>
                <w:b/>
                <w:i/>
              </w:rPr>
              <w:t>en</w:t>
            </w:r>
            <w:r>
              <w:t xml:space="preserve"> de spaar- en investeringsunie; benadrukt het belang ervan voor burgers, kmo’s en de reële economie door duurzame welvaart, hoogwaardige banen en financiële stabiliteit te bevorderen; onderstreept dat er een sterk, op solidariteit gebaseerd kader nodig is om bankruns te voorkomen;</w:t>
            </w:r>
          </w:p>
        </w:tc>
        <w:tc>
          <w:tcPr>
            <w:tcW w:w="4876" w:type="dxa"/>
            <w:tcBorders>
              <w:top w:val="nil"/>
              <w:left w:val="nil"/>
              <w:bottom w:val="nil"/>
              <w:right w:val="nil"/>
            </w:tcBorders>
          </w:tcPr>
          <w:p>
            <w:pPr>
              <w:pStyle w:val="Normal6a"/>
            </w:pPr>
            <w:r>
              <w:t>2.</w:t>
            </w:r>
            <w:r>
              <w:tab/>
            </w:r>
            <w:r>
              <w:t xml:space="preserve">verzoekt de Commissie prioriteit te geven aan de voltooiing van de bankenunie </w:t>
            </w:r>
            <w:r>
              <w:rPr>
                <w:b/>
                <w:i/>
              </w:rPr>
              <w:t>als onderdeel van</w:t>
            </w:r>
            <w:r>
              <w:t xml:space="preserve"> de spaar- en investeringsunie; benadrukt het belang ervan voor burgers, kmo’s en de reële economie door duurzame welvaart, hoogwaardige banen en financiële stabiliteit te bevorderen; onderstreept dat er een sterk, op solidariteit gebaseerd kader nodig is om bankruns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verzoekt de Commissie prioriteit te geven aan de voltooiing van de bankenunie en de spaar- en investeringsunie; benadrukt het belang ervan voor burgers, kmo’s en de reële economie door duurzame welvaart, hoogwaardige banen en financiële stabiliteit te bevorderen; onderstreept dat er een sterk, op solidariteit gebaseerd kader nodig is om bankruns te voorkomen;</w:t>
            </w:r>
          </w:p>
        </w:tc>
        <w:tc>
          <w:tcPr>
            <w:tcW w:w="4876" w:type="dxa"/>
            <w:tcBorders>
              <w:top w:val="nil"/>
              <w:left w:val="nil"/>
              <w:bottom w:val="nil"/>
              <w:right w:val="nil"/>
            </w:tcBorders>
          </w:tcPr>
          <w:p>
            <w:pPr>
              <w:pStyle w:val="Normal6a"/>
            </w:pPr>
            <w:r>
              <w:t>2.</w:t>
            </w:r>
            <w:r>
              <w:tab/>
            </w:r>
            <w:r>
              <w:t xml:space="preserve">verzoekt de Commissie prioriteit te geven aan de voltooiing van de bankenunie en de spaar- en investeringsunie; benadrukt het belang ervan voor burgers, kmo’s en de reële economie door </w:t>
            </w:r>
            <w:r>
              <w:rPr>
                <w:b/>
                <w:i/>
              </w:rPr>
              <w:t>veerkracht, het concurrentievermogen,</w:t>
            </w:r>
            <w:r>
              <w:t xml:space="preserve"> duurzame welvaart, hoogwaardige banen en financiële stabiliteit te bevorderen; onderstreept dat er een sterk, op solidariteit gebaseerd kader nodig is om bankruns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verzoekt de Commissie prioriteit te geven aan de voltooiing van de bankenunie en de spaar- en investeringsunie; benadrukt het belang ervan voor burgers, kmo’s en de reële economie door duurzame welvaart, hoogwaardige banen en financiële stabiliteit te bevorderen; onderstreept dat er een sterk, op solidariteit gebaseerd kader nodig is om bankruns te voorkomen;</w:t>
            </w:r>
          </w:p>
        </w:tc>
        <w:tc>
          <w:tcPr>
            <w:tcW w:w="4876" w:type="dxa"/>
            <w:tcBorders>
              <w:top w:val="nil"/>
              <w:left w:val="nil"/>
              <w:bottom w:val="nil"/>
              <w:right w:val="nil"/>
            </w:tcBorders>
          </w:tcPr>
          <w:p>
            <w:pPr>
              <w:pStyle w:val="Normal6a"/>
            </w:pPr>
            <w:r>
              <w:t>2.</w:t>
            </w:r>
            <w:r>
              <w:tab/>
            </w:r>
            <w:r>
              <w:t xml:space="preserve">verzoekt de Commissie prioriteit te geven aan de voltooiing van de bankenunie en de spaar- en investeringsunie; benadrukt het belang ervan voor burgers, kmo’s en de reële economie door duurzame welvaart, hoogwaardige banen en financiële stabiliteit te bevorderen; onderstreept dat er een sterk, op solidariteit gebaseerd kader nodig is om bankruns te voorkomen; </w:t>
            </w:r>
            <w:r>
              <w:rPr>
                <w:b/>
                <w:i/>
              </w:rPr>
              <w:t>benadrukt dat de voltooiing van de kapitaalmarktenunie, naast de ontwikkeling van de bankenunie, zal helpen om betere voorwaarden te creëren voor de financiering van de Europese economie, alsook voor huishoudens en bedrijven die nog altijd sterk afhankelijk zijn van bancaire kredieten, zodat investeringen en de werkgelegenheid kunnen worden gestimuleerd en kan worden bijgedragen aan de veerkracht van de Europese economie;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benadrukt dat de rentetarieven die aan huishoudens en kmo’s worden aangeboden, sterk verschillen van lidstaat tot lidstaat;</w:t>
            </w:r>
            <w:r>
              <w:t xml:space="preserve"> </w:t>
            </w:r>
            <w:r>
              <w:rPr>
                <w:b/>
                <w:i/>
              </w:rPr>
              <w:t>verzoekt de Commissie en bankentoezichthouders maatregelen in overweging te nemen op grond waarvan alle burgers en bedrijven tegen eerlijke en concurrerende tarieven toegang krijgen tot het dringend benodigde kapitaal;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benadrukt de rol van de banksector bij de financiering van de transitie naar een koolstofneutrale economie;</w:t>
            </w:r>
            <w:r>
              <w:t xml:space="preserve"> </w:t>
            </w:r>
            <w:r>
              <w:rPr>
                <w:b/>
                <w:i/>
              </w:rPr>
              <w:t>dringt aan op sterkere richtsnoeren voor toezicht om financiële instellingen te laten aansluiten bij de klimaatdoelstellingen van de EU;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benadrukt de rol van de banksector bij de financiering van de transitie naar een koolstofneutrale economie;</w:t>
            </w:r>
            <w:r>
              <w:t xml:space="preserve"> </w:t>
            </w:r>
            <w:r>
              <w:rPr>
                <w:b/>
                <w:i/>
              </w:rPr>
              <w:t>dringt aan op sterkere richtsnoeren voor toezicht om financiële instellingen te laten aansluiten bij de klimaatdoelstellingen van de EU;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benadrukt de rol van de banksector bij de financiering van de transitie naar een koolstofneutrale economie;</w:t>
            </w:r>
            <w:r>
              <w:t xml:space="preserve"> </w:t>
            </w:r>
            <w:r>
              <w:rPr>
                <w:b/>
                <w:i/>
              </w:rPr>
              <w:t>dringt aan op sterkere richtsnoeren voor toezicht om financiële instellingen te laten aansluiten bij de klimaatdoelstellingen van de EU;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benadrukt de rol van de banksector bij de financiering van de transitie naar een koolstofneutrale economie;</w:t>
            </w:r>
            <w:r>
              <w:t xml:space="preserve"> </w:t>
            </w:r>
            <w:r>
              <w:rPr>
                <w:b/>
                <w:i/>
              </w:rPr>
              <w:t>dringt aan op sterkere richtsnoeren voor toezicht om financiële instellingen te laten aansluiten bij de klimaatdoelstellingen van de EU;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benadrukt de rol van de banksector bij de financiering van de transitie </w:t>
            </w:r>
            <w:r>
              <w:rPr>
                <w:b/>
                <w:i/>
              </w:rPr>
              <w:t>naar een koolstofneutrale economie</w:t>
            </w:r>
            <w:r>
              <w:t xml:space="preserve">; </w:t>
            </w:r>
            <w:r>
              <w:rPr>
                <w:b/>
                <w:i/>
              </w:rPr>
              <w:t>dringt aan op sterkere richtsnoeren voor toezicht om financiële instellingen te laten aansluiten bij de klimaatdoelstellingen van de EU;</w:t>
            </w:r>
          </w:p>
        </w:tc>
        <w:tc>
          <w:tcPr>
            <w:tcW w:w="4876" w:type="dxa"/>
            <w:tcBorders>
              <w:top w:val="nil"/>
              <w:left w:val="nil"/>
              <w:bottom w:val="nil"/>
              <w:right w:val="nil"/>
            </w:tcBorders>
          </w:tcPr>
          <w:p>
            <w:pPr>
              <w:pStyle w:val="Normal6a"/>
            </w:pPr>
            <w:r>
              <w:t>3.</w:t>
            </w:r>
            <w:r>
              <w:tab/>
            </w:r>
            <w:r>
              <w:t xml:space="preserve">benadrukt de rol van de banksector bij de financiering van de </w:t>
            </w:r>
            <w:r>
              <w:rPr>
                <w:b/>
                <w:i/>
              </w:rPr>
              <w:t>digitale</w:t>
            </w:r>
            <w:r>
              <w:t xml:space="preserve"> transitie;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benadrukt de rol van de banksector bij de financiering van de transitie naar een koolstofneutrale economie;</w:t>
            </w:r>
            <w:r>
              <w:t xml:space="preserve"> </w:t>
            </w:r>
            <w:r>
              <w:rPr>
                <w:b/>
                <w:i/>
              </w:rPr>
              <w:t>dringt aan op sterkere richtsnoeren voor toezicht om</w:t>
            </w:r>
            <w:r>
              <w:t xml:space="preserve"> financiële </w:t>
            </w:r>
            <w:r>
              <w:rPr>
                <w:b/>
                <w:i/>
              </w:rPr>
              <w:t>instellingen te laten aansluiten bij de klimaatdoelstellingen van de EU</w:t>
            </w:r>
            <w:r>
              <w:t>;</w:t>
            </w:r>
          </w:p>
        </w:tc>
        <w:tc>
          <w:tcPr>
            <w:tcW w:w="4876" w:type="dxa"/>
            <w:tcBorders>
              <w:top w:val="nil"/>
              <w:left w:val="nil"/>
              <w:bottom w:val="nil"/>
              <w:right w:val="nil"/>
            </w:tcBorders>
          </w:tcPr>
          <w:p>
            <w:pPr>
              <w:pStyle w:val="Normal6a"/>
            </w:pPr>
            <w:r>
              <w:t>3.</w:t>
            </w:r>
            <w:r>
              <w:tab/>
            </w:r>
            <w:r>
              <w:rPr>
                <w:b/>
                <w:i/>
              </w:rPr>
              <w:t>onderstreept dat groene</w:t>
            </w:r>
            <w:r>
              <w:t xml:space="preserve"> financiële </w:t>
            </w:r>
            <w:r>
              <w:rPr>
                <w:b/>
                <w:i/>
              </w:rPr>
              <w:t>wetgeving niet in de plaats mag komen van kredietwaardigheid, traditionele risicobeoordelingen of prijszettingsmechanismen —overwegingen die ten grondslag liggen aan degelijke kredietverleningsbeslissingen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benadrukt de rol van de banksector bij de financiering van de transitie </w:t>
            </w:r>
            <w:r>
              <w:rPr>
                <w:b/>
                <w:i/>
              </w:rPr>
              <w:t>naar een koolstofneutrale economie;</w:t>
            </w:r>
            <w:r>
              <w:t xml:space="preserve"> </w:t>
            </w:r>
            <w:r>
              <w:rPr>
                <w:b/>
                <w:i/>
              </w:rPr>
              <w:t>dringt aan op sterkere richtsnoeren voor toezicht om financiële instellingen te laten aansluiten bij de klimaatdoelstellingen van de EU</w:t>
            </w:r>
            <w:r>
              <w:t>;</w:t>
            </w:r>
          </w:p>
        </w:tc>
        <w:tc>
          <w:tcPr>
            <w:tcW w:w="4876" w:type="dxa"/>
            <w:tcBorders>
              <w:top w:val="nil"/>
              <w:left w:val="nil"/>
              <w:bottom w:val="nil"/>
              <w:right w:val="nil"/>
            </w:tcBorders>
          </w:tcPr>
          <w:p>
            <w:pPr>
              <w:pStyle w:val="Normal6a"/>
            </w:pPr>
            <w:r>
              <w:t>3.</w:t>
            </w:r>
            <w:r>
              <w:tab/>
            </w:r>
            <w:r>
              <w:t xml:space="preserve">benadrukt de rol van de banksector bij de financiering van de </w:t>
            </w:r>
            <w:r>
              <w:rPr>
                <w:b/>
                <w:i/>
              </w:rPr>
              <w:t>dubbele</w:t>
            </w:r>
            <w:r>
              <w:t xml:space="preserve"> transitie</w:t>
            </w:r>
            <w:r>
              <w:rPr>
                <w:b/>
                <w:i/>
              </w:rPr>
              <w:t>;</w:t>
            </w:r>
            <w:r>
              <w:t xml:space="preserve"> </w:t>
            </w:r>
            <w:r>
              <w:rPr>
                <w:b/>
                <w:i/>
              </w:rPr>
              <w:t>onderstreept dat het EU-kader voor duurzame financiering vereenvoudigd moet worden met het oog op coherentie en minder overlappingen, en om de verplichtingen die voortvloeien uit de banken-, openbaarmakings- en risicobeheersregels met elkaar in overeenstemming te brengen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benadrukt de rol van de banksector bij de financiering van de transitie </w:t>
            </w:r>
            <w:r>
              <w:rPr>
                <w:b/>
                <w:i/>
              </w:rPr>
              <w:t>naar een koolstofneutrale economie</w:t>
            </w:r>
            <w:r>
              <w:t xml:space="preserve">; </w:t>
            </w:r>
            <w:r>
              <w:rPr>
                <w:b/>
                <w:i/>
              </w:rPr>
              <w:t>dringt aan op sterkere richtsnoeren voor toezicht om financiële instellingen te laten aansluiten bij de klimaatdoelstellingen van de EU;</w:t>
            </w:r>
          </w:p>
        </w:tc>
        <w:tc>
          <w:tcPr>
            <w:tcW w:w="4876" w:type="dxa"/>
            <w:tcBorders>
              <w:top w:val="nil"/>
              <w:left w:val="nil"/>
              <w:bottom w:val="nil"/>
              <w:right w:val="nil"/>
            </w:tcBorders>
          </w:tcPr>
          <w:p>
            <w:pPr>
              <w:pStyle w:val="Normal6a"/>
            </w:pPr>
            <w:r>
              <w:t>3.</w:t>
            </w:r>
            <w:r>
              <w:tab/>
            </w:r>
            <w:r>
              <w:t xml:space="preserve">benadrukt de rol van de banksector bij de financiering van de </w:t>
            </w:r>
            <w:r>
              <w:rPr>
                <w:b/>
                <w:i/>
              </w:rPr>
              <w:t>dubbele</w:t>
            </w:r>
            <w:r>
              <w:t xml:space="preserve"> transitie;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benadrukt de rol van</w:t>
            </w:r>
            <w:r>
              <w:t xml:space="preserve"> de banksector </w:t>
            </w:r>
            <w:r>
              <w:rPr>
                <w:b/>
                <w:i/>
              </w:rPr>
              <w:t>bij de financiering van</w:t>
            </w:r>
            <w:r>
              <w:t xml:space="preserve"> de transitie naar een </w:t>
            </w:r>
            <w:r>
              <w:rPr>
                <w:b/>
                <w:i/>
              </w:rPr>
              <w:t>koolstofneutrale</w:t>
            </w:r>
            <w:r>
              <w:t xml:space="preserve"> economie; dringt aan op sterkere richtsnoeren voor toezicht om financiële instellingen te laten aansluiten bij de </w:t>
            </w:r>
            <w:r>
              <w:rPr>
                <w:b/>
                <w:i/>
              </w:rPr>
              <w:t>klimaatdoelstellingen van de EU</w:t>
            </w:r>
            <w:r>
              <w:t>;</w:t>
            </w:r>
          </w:p>
        </w:tc>
        <w:tc>
          <w:tcPr>
            <w:tcW w:w="4876" w:type="dxa"/>
            <w:tcBorders>
              <w:top w:val="nil"/>
              <w:left w:val="nil"/>
              <w:bottom w:val="nil"/>
              <w:right w:val="nil"/>
            </w:tcBorders>
          </w:tcPr>
          <w:p>
            <w:pPr>
              <w:pStyle w:val="Normal6a"/>
            </w:pPr>
            <w:r>
              <w:t>3.</w:t>
            </w:r>
            <w:r>
              <w:tab/>
            </w:r>
            <w:r>
              <w:rPr>
                <w:b/>
                <w:i/>
              </w:rPr>
              <w:t>stelt vast dat</w:t>
            </w:r>
            <w:r>
              <w:t xml:space="preserve"> de banksector </w:t>
            </w:r>
            <w:r>
              <w:rPr>
                <w:b/>
                <w:i/>
              </w:rPr>
              <w:t>een rol speelt bij het voorzien in de financiële behoeften van de reële economie, waaronder investeringen in verband met</w:t>
            </w:r>
            <w:r>
              <w:t xml:space="preserve"> de transitie naar een </w:t>
            </w:r>
            <w:r>
              <w:rPr>
                <w:b/>
                <w:i/>
              </w:rPr>
              <w:t>concurrerender</w:t>
            </w:r>
            <w:r>
              <w:t xml:space="preserve"> economie; dringt aan op sterkere richtsnoeren voor toezicht om financiële instellingen te laten aansluiten bij de </w:t>
            </w:r>
            <w:r>
              <w:rPr>
                <w:b/>
                <w:i/>
              </w:rPr>
              <w:t>EU-agenda voor economisch concurrentievermogen;</w:t>
            </w:r>
            <w:r>
              <w:t xml:space="preserve"> </w:t>
            </w:r>
            <w:r>
              <w:rPr>
                <w:b/>
                <w:i/>
              </w:rPr>
              <w:t>onderstreept dat toezichtmaatregelen op het gebied van duurzaamheid stevig verankerd moeten blijven in een risicogebaseerde benadering en binnen het prudentiële mandaat moeten vallen, en dat de focus moet liggen op het vaststellen, beoordelen en beheren van materiële klimaatgerelateerde financiële risico’s zonder dat de marktneutraliteit of de primaire doelstellingen van financiële stabiliteit en goed risicobeheer worden ondermijnd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benadrukt de rol van de banksector bij de financiering van de transitie naar een koolstofneutrale economie; dringt aan op sterkere richtsnoeren voor toezicht om financiële instellingen te laten aansluiten bij de klimaatdoelstellingen van de EU;</w:t>
            </w:r>
          </w:p>
        </w:tc>
        <w:tc>
          <w:tcPr>
            <w:tcW w:w="4876" w:type="dxa"/>
            <w:tcBorders>
              <w:top w:val="nil"/>
              <w:left w:val="nil"/>
              <w:bottom w:val="nil"/>
              <w:right w:val="nil"/>
            </w:tcBorders>
          </w:tcPr>
          <w:p>
            <w:pPr>
              <w:pStyle w:val="Normal6a"/>
            </w:pPr>
            <w:r>
              <w:t>3.</w:t>
            </w:r>
            <w:r>
              <w:tab/>
            </w:r>
            <w:r>
              <w:t>benadrukt de rol van de banksector bij de financiering van de transitie naar een koolstofneutrale economie</w:t>
            </w:r>
            <w:r>
              <w:rPr>
                <w:b/>
                <w:i/>
              </w:rPr>
              <w:t>;</w:t>
            </w:r>
            <w:r>
              <w:t xml:space="preserve"> </w:t>
            </w:r>
            <w:r>
              <w:rPr>
                <w:b/>
                <w:i/>
              </w:rPr>
              <w:t>verzoekt de Commissie een voorstel in te dienen voor het volledig opnemen van duurzaamheidsrisico’s in het prudentiële kader, onder meer door hogere kapitaalvereisten vast te stellen voor blootstellingen aan fossiele brandstoffen, zoals wordt aanbevolen door de Europese Autoriteit voor verzekeringen en bedrijfspensioenen</w:t>
            </w:r>
            <w:r>
              <w:t>; dringt aan op sterkere richtsnoeren voor toezicht om financiële instellingen te laten aansluiten bij de klimaatdoelstellingen van de EU</w:t>
            </w:r>
            <w:r>
              <w:rPr>
                <w:b/>
                <w:i/>
              </w:rPr>
              <w:t>, onder meer door gebruikmaking van pijler 2-kapitaalvereisten</w:t>
            </w:r>
            <w:r>
              <w:t xml:space="preserve">; </w:t>
            </w:r>
            <w:r>
              <w:rPr>
                <w:b/>
                <w:i/>
              </w:rPr>
              <w:t>onderstreept dat een geloofwaardig taxonomiekader onmisbaar is om deze doelen te kunnen halen;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is van mening dat een geïntegreerde bankenunie moet zijn gestoeld op een goed functionerende interne markt voor financiële retaildiensten;</w:t>
            </w:r>
            <w:r>
              <w:t xml:space="preserve"> </w:t>
            </w:r>
            <w:r>
              <w:rPr>
                <w:b/>
                <w:i/>
              </w:rPr>
              <w:t>verzoekt de Commissie na te gaan met welke obstakels en belemmeringen consumenten worden geconfronteerd wanneer zij grensoverschrijdend gebruikmaken van retailbankingproducten, zoals hypothecaire leningen, en oplossingen voor te stellen om ervoor te zorgen dat consumenten over de grenzen heen kunnen profiteren van financiële retaildiensten;</w:t>
            </w:r>
            <w:r>
              <w:t xml:space="preserve"> </w:t>
            </w:r>
            <w:r>
              <w:rPr>
                <w:b/>
                <w:i/>
              </w:rPr>
              <w:t>wijst bovendien op de grote verschillen in hypotheekrentes binnen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benadrukt de centrale rol van de banksector, als belangrijkste kredietverstrekker in de EU, bij het dichten van de groeiende concurrentiekloof met andere regio’s;</w:t>
            </w:r>
            <w:r>
              <w:t xml:space="preserve"> </w:t>
            </w:r>
            <w:r>
              <w:rPr>
                <w:b/>
                <w:i/>
              </w:rPr>
              <w:t>herinnert aan het belang van de banksector voor de financiering van Europese kmo’s terwijl de kapitaalmarkten verder worden ontwikkeld;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betreurt de resterende belemmeringen voor grensoverschrijdende retailbankdiensten;</w:t>
            </w:r>
            <w:r>
              <w:t xml:space="preserve"> </w:t>
            </w:r>
            <w:r>
              <w:rPr>
                <w:b/>
                <w:i/>
              </w:rPr>
              <w:t>benadrukt het potentieel van een geïntegreerde bankenunie om de concurrentie en de keuze van de consument op het gebied van retailbankdiensten te verbeteren, onder meer door betere mogelijkheden voor het verlenen van grensoverschrijdende retailbankdiensten;</w:t>
            </w:r>
            <w:r>
              <w:t xml:space="preserve"> </w:t>
            </w:r>
            <w:r>
              <w:rPr>
                <w:b/>
                <w:i/>
              </w:rPr>
              <w:t>benadrukt de voordelen van een gediversifieerde en concurrerende banksector in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is ingenomen met de vooruitgang op het gebied</w:t>
            </w:r>
            <w:r>
              <w:t xml:space="preserve"> van de digitale euro </w:t>
            </w:r>
            <w:r>
              <w:rPr>
                <w:b/>
                <w:i/>
              </w:rPr>
              <w:t>en over het potentieel ervan om een aanvulling te vormen op contant geld en tegelijkertijd de</w:t>
            </w:r>
            <w:r>
              <w:t xml:space="preserve"> financiële </w:t>
            </w:r>
            <w:r>
              <w:rPr>
                <w:b/>
                <w:i/>
              </w:rPr>
              <w:t>soevereiniteit en autonomie van de EU te versterken</w:t>
            </w:r>
            <w:r>
              <w:t>;</w:t>
            </w:r>
          </w:p>
        </w:tc>
        <w:tc>
          <w:tcPr>
            <w:tcW w:w="4876" w:type="dxa"/>
            <w:tcBorders>
              <w:top w:val="nil"/>
              <w:left w:val="nil"/>
              <w:bottom w:val="nil"/>
              <w:right w:val="nil"/>
            </w:tcBorders>
          </w:tcPr>
          <w:p>
            <w:pPr>
              <w:pStyle w:val="Normal6a"/>
            </w:pPr>
            <w:r>
              <w:t>4.</w:t>
            </w:r>
            <w:r>
              <w:tab/>
            </w:r>
            <w:r>
              <w:rPr>
                <w:b/>
                <w:i/>
              </w:rPr>
              <w:t>spreekt zijn grote scepsis uit over de gevolgen</w:t>
            </w:r>
            <w:r>
              <w:t xml:space="preserve"> van de digitale euro </w:t>
            </w:r>
            <w:r>
              <w:rPr>
                <w:b/>
                <w:i/>
              </w:rPr>
              <w:t>voor bankdeposito’s en</w:t>
            </w:r>
            <w:r>
              <w:t xml:space="preserve"> financiële </w:t>
            </w:r>
            <w:r>
              <w:rPr>
                <w:b/>
                <w:i/>
              </w:rPr>
              <w:t>bemiddeling;</w:t>
            </w:r>
            <w:r>
              <w:t xml:space="preserve"> </w:t>
            </w:r>
            <w:r>
              <w:rPr>
                <w:b/>
                <w:i/>
              </w:rPr>
              <w:t>dringt aan op strikte aanhoudingslimieten en waarborgen om de verplaatsing van particuliere bankdeposito’s te voorkomen en de kredietbemiddelingscapaciteit van banken in stand te houden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is ingenomen met</w:t>
            </w:r>
            <w:r>
              <w:t xml:space="preserve"> de vooruitgang op het gebied van de digitale euro en </w:t>
            </w:r>
            <w:r>
              <w:rPr>
                <w:b/>
                <w:i/>
              </w:rPr>
              <w:t>over het potentieel ervan om een aanvulling te</w:t>
            </w:r>
            <w:r>
              <w:t xml:space="preserve"> vormen </w:t>
            </w:r>
            <w:r>
              <w:rPr>
                <w:b/>
                <w:i/>
              </w:rPr>
              <w:t>op contant geld en tegelijkertijd de financiële soevereiniteit en autonomie</w:t>
            </w:r>
            <w:r>
              <w:t xml:space="preserve"> van de EU </w:t>
            </w:r>
            <w:r>
              <w:rPr>
                <w:b/>
                <w:i/>
              </w:rPr>
              <w:t>te versterken</w:t>
            </w:r>
            <w:r>
              <w:t>;</w:t>
            </w:r>
          </w:p>
        </w:tc>
        <w:tc>
          <w:tcPr>
            <w:tcW w:w="4876" w:type="dxa"/>
            <w:tcBorders>
              <w:top w:val="nil"/>
              <w:left w:val="nil"/>
              <w:bottom w:val="nil"/>
              <w:right w:val="nil"/>
            </w:tcBorders>
          </w:tcPr>
          <w:p>
            <w:pPr>
              <w:pStyle w:val="Normal6a"/>
            </w:pPr>
            <w:r>
              <w:t>4.</w:t>
            </w:r>
            <w:r>
              <w:tab/>
            </w:r>
            <w:r>
              <w:rPr>
                <w:b/>
                <w:i/>
              </w:rPr>
              <w:t>neemt kennis van</w:t>
            </w:r>
            <w:r>
              <w:t xml:space="preserve"> de vooruitgang op het gebied van de digitale euro en </w:t>
            </w:r>
            <w:r>
              <w:rPr>
                <w:b/>
                <w:i/>
              </w:rPr>
              <w:t>is zich bewust van de uitdagingen en potentiële bedreigingen die dit project kan</w:t>
            </w:r>
            <w:r>
              <w:t xml:space="preserve"> vormen </w:t>
            </w:r>
            <w:r>
              <w:rPr>
                <w:b/>
                <w:i/>
              </w:rPr>
              <w:t>voor de liquiditeit en stabiliteit</w:t>
            </w:r>
            <w:r>
              <w:t xml:space="preserve"> van de </w:t>
            </w:r>
            <w:r>
              <w:rPr>
                <w:b/>
                <w:i/>
              </w:rPr>
              <w:t>banksector in de</w:t>
            </w:r>
            <w:r>
              <w:t xml:space="preserv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is ingenomen met</w:t>
            </w:r>
            <w:r>
              <w:t xml:space="preserve"> de vooruitgang op het gebied van de digitale euro en over het potentieel ervan om een aanvulling te vormen op contant geld en tegelijkertijd de financiële soevereiniteit en autonomie van de EU te versterken;</w:t>
            </w:r>
          </w:p>
        </w:tc>
        <w:tc>
          <w:tcPr>
            <w:tcW w:w="4876" w:type="dxa"/>
            <w:tcBorders>
              <w:top w:val="nil"/>
              <w:left w:val="nil"/>
              <w:bottom w:val="nil"/>
              <w:right w:val="nil"/>
            </w:tcBorders>
          </w:tcPr>
          <w:p>
            <w:pPr>
              <w:pStyle w:val="Normal6a"/>
            </w:pPr>
            <w:r>
              <w:t>4.</w:t>
            </w:r>
            <w:r>
              <w:tab/>
            </w:r>
            <w:r>
              <w:rPr>
                <w:b/>
                <w:i/>
              </w:rPr>
              <w:t>neemt kennis van</w:t>
            </w:r>
            <w:r>
              <w:t xml:space="preserve"> de vooruitgang op het gebied van de digitale euro en over het potentieel ervan om een aanvulling te vormen op contant geld en tegelijkertijd de financiële soevereiniteit en autonomie van de EU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 ingenomen met de vooruitgang op het gebied van de digitale euro </w:t>
            </w:r>
            <w:r>
              <w:rPr>
                <w:b/>
                <w:i/>
              </w:rPr>
              <w:t>en over het potentieel ervan om een</w:t>
            </w:r>
            <w:r>
              <w:t xml:space="preserve"> aanvulling </w:t>
            </w:r>
            <w:r>
              <w:rPr>
                <w:b/>
                <w:i/>
              </w:rPr>
              <w:t>te</w:t>
            </w:r>
            <w:r>
              <w:t xml:space="preserve"> vormen op contant geld en tegelijkertijd de financiële soevereiniteit en autonomie van de EU </w:t>
            </w:r>
            <w:r>
              <w:rPr>
                <w:b/>
                <w:i/>
              </w:rPr>
              <w:t>te</w:t>
            </w:r>
            <w:r>
              <w:t xml:space="preserve"> versterken;</w:t>
            </w:r>
          </w:p>
        </w:tc>
        <w:tc>
          <w:tcPr>
            <w:tcW w:w="4876" w:type="dxa"/>
            <w:tcBorders>
              <w:top w:val="nil"/>
              <w:left w:val="nil"/>
              <w:bottom w:val="nil"/>
              <w:right w:val="nil"/>
            </w:tcBorders>
          </w:tcPr>
          <w:p>
            <w:pPr>
              <w:pStyle w:val="Normal6a"/>
            </w:pPr>
            <w:r>
              <w:t>4.</w:t>
            </w:r>
            <w:r>
              <w:tab/>
            </w:r>
            <w:r>
              <w:t xml:space="preserve">is ingenomen met de vooruitgang op het gebied van de digitale euro </w:t>
            </w:r>
            <w:r>
              <w:rPr>
                <w:b/>
                <w:i/>
              </w:rPr>
              <w:t>voor de groothandel vanwege de voordelen voor de efficiëntie, grensoverschrijdende afwikkeling en integratie van de financiële markten;</w:t>
            </w:r>
            <w:r>
              <w:t xml:space="preserve"> </w:t>
            </w:r>
            <w:r>
              <w:rPr>
                <w:b/>
                <w:i/>
              </w:rPr>
              <w:t>benadrukt dat elke digitale euro voor de detailhandel een strikte</w:t>
            </w:r>
            <w:r>
              <w:t xml:space="preserve"> aanvulling </w:t>
            </w:r>
            <w:r>
              <w:rPr>
                <w:b/>
                <w:i/>
              </w:rPr>
              <w:t>moet</w:t>
            </w:r>
            <w:r>
              <w:t xml:space="preserve"> vormen op contant geld</w:t>
            </w:r>
            <w:r>
              <w:rPr>
                <w:b/>
                <w:i/>
              </w:rPr>
              <w:t>, de bestaande marktstructuur moet eerbiedigen en moet voorkomen dat particuliere betalingsoplossingen die in de hele Unie al voor innovatie en efficiëntie zorgen, worden verdrongen,</w:t>
            </w:r>
            <w:r>
              <w:t xml:space="preserve"> en tegelijkertijd de financiële soevereiniteit en autonomie van de EU </w:t>
            </w:r>
            <w:r>
              <w:rPr>
                <w:b/>
                <w:i/>
              </w:rPr>
              <w:t>moet</w:t>
            </w:r>
            <w:r>
              <w:t xml:space="preserv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 ingenomen met de vooruitgang op het gebied van </w:t>
            </w:r>
            <w:r>
              <w:rPr>
                <w:b/>
                <w:i/>
              </w:rPr>
              <w:t>de digitale euro en over</w:t>
            </w:r>
            <w:r>
              <w:t xml:space="preserve"> het potentieel </w:t>
            </w:r>
            <w:r>
              <w:rPr>
                <w:b/>
                <w:i/>
              </w:rPr>
              <w:t>ervan</w:t>
            </w:r>
            <w:r>
              <w:t xml:space="preserve"> om een aanvulling te vormen op contant geld en tegelijkertijd de financiële soevereiniteit en autonomie van de EU te versterken;</w:t>
            </w:r>
          </w:p>
        </w:tc>
        <w:tc>
          <w:tcPr>
            <w:tcW w:w="4876" w:type="dxa"/>
            <w:tcBorders>
              <w:top w:val="nil"/>
              <w:left w:val="nil"/>
              <w:bottom w:val="nil"/>
              <w:right w:val="nil"/>
            </w:tcBorders>
          </w:tcPr>
          <w:p>
            <w:pPr>
              <w:pStyle w:val="Normal6a"/>
            </w:pPr>
            <w:r>
              <w:t>4.</w:t>
            </w:r>
            <w:r>
              <w:tab/>
            </w:r>
            <w:r>
              <w:t xml:space="preserve">is ingenomen met de vooruitgang </w:t>
            </w:r>
            <w:r>
              <w:rPr>
                <w:b/>
                <w:i/>
              </w:rPr>
              <w:t>van de digitale euro's</w:t>
            </w:r>
            <w:r>
              <w:t xml:space="preserve"> op het gebied van </w:t>
            </w:r>
            <w:r>
              <w:rPr>
                <w:b/>
                <w:i/>
              </w:rPr>
              <w:t>zowel de groot- als de detailhandel;</w:t>
            </w:r>
            <w:r>
              <w:t xml:space="preserve"> </w:t>
            </w:r>
            <w:r>
              <w:rPr>
                <w:b/>
                <w:i/>
              </w:rPr>
              <w:t>is ingenomen met</w:t>
            </w:r>
            <w:r>
              <w:t xml:space="preserve"> het potentieel </w:t>
            </w:r>
            <w:r>
              <w:rPr>
                <w:b/>
                <w:i/>
              </w:rPr>
              <w:t>van digitale euro's voor de detailhandel</w:t>
            </w:r>
            <w:r>
              <w:t xml:space="preserve"> om een aanvulling te vormen op contant geld en tegelijkertijd de financiële soevereiniteit en autonomie van de EU te versterken; </w:t>
            </w:r>
            <w:r>
              <w:rPr>
                <w:b/>
                <w:i/>
              </w:rPr>
              <w:t>is ingenomen met de afronding van de algemene oriëntatie van de Raad met betrekking tot de digitale euro voor de detailhandel in december 2025 en verzoekt het Parlement zijn ambitieuze standpunt zo spoedig mogelijk vast te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 ingenomen met de vooruitgang op het gebied van de digitale euro en over het potentieel ervan om een aanvulling te vormen op contant geld en tegelijkertijd de financiële soevereiniteit en autonomie van de EU te versterken;</w:t>
            </w:r>
          </w:p>
        </w:tc>
        <w:tc>
          <w:tcPr>
            <w:tcW w:w="4876" w:type="dxa"/>
            <w:tcBorders>
              <w:top w:val="nil"/>
              <w:left w:val="nil"/>
              <w:bottom w:val="nil"/>
              <w:right w:val="nil"/>
            </w:tcBorders>
          </w:tcPr>
          <w:p>
            <w:pPr>
              <w:pStyle w:val="Normal6a"/>
            </w:pPr>
            <w:r>
              <w:t>4.</w:t>
            </w:r>
            <w:r>
              <w:tab/>
            </w:r>
            <w:r>
              <w:t xml:space="preserve">is ingenomen met de vooruitgang op het gebied van de digitale euro en over het potentieel ervan om een aanvulling te vormen op contant geld en tegelijkertijd de financiële soevereiniteit en autonomie van de EU te versterken </w:t>
            </w:r>
            <w:r>
              <w:rPr>
                <w:b/>
                <w:i/>
              </w:rPr>
              <w:t>en aan financiële inclusiviteit bij te dragen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is ingenomen met het feit dat de banksector zich aanpast aan de uitdagingen en kansen van de digitalisering, die banken in staat zal stellen hun klanten beter te bedienen;</w:t>
            </w:r>
            <w:r>
              <w:t xml:space="preserve"> </w:t>
            </w:r>
            <w:r>
              <w:rPr>
                <w:b/>
                <w:i/>
              </w:rPr>
              <w:t>spoort banken ertoe aan nog meer gebruik te maken van de kansen die de digitalisering van de economie met zich meebrengt en daarbij een hoog niveau van consumenten- en beleggersbescherming te handhaven, door te investeren in IT-systemen, O&amp;O, de volledige uitvoering van de vereisten in het kader van DORA en de ontwikkeling van een regelgevingskader dat geschikt is om in te spelen op digitaliseringstrends en gebaseerd is op technologische neutraliteit;</w:t>
            </w:r>
            <w:r>
              <w:t xml:space="preserve"> </w:t>
            </w:r>
            <w:r>
              <w:rPr>
                <w:b/>
                <w:i/>
              </w:rPr>
              <w:t>is verheugd over de vooruitgang die is geboekt met het pakket digitaal geldwezen;</w:t>
            </w:r>
            <w:r>
              <w:t xml:space="preserve"> </w:t>
            </w:r>
            <w:r>
              <w:rPr>
                <w:b/>
                <w:i/>
              </w:rPr>
              <w:t>is van mening dat de bescherming van consumenten in een digitale omgeving moet worden versterkt en dat prioriteit moet worden gegeven aan financiële inclusie, met name door verbetering van de digitale en financiële geletterdheid;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betreurt het aanhoudende genderonevenwicht in financiële instellingen, met name in het management;</w:t>
            </w:r>
            <w:r>
              <w:t xml:space="preserve"> </w:t>
            </w:r>
            <w:r>
              <w:rPr>
                <w:b/>
                <w:i/>
              </w:rPr>
              <w:t>wijst erop dat divers leiderschap en een betere toegang tot financiering voor door vrouwen geleide bedrijven</w:t>
            </w:r>
            <w:r>
              <w:rPr>
                <w:b/>
                <w:i/>
                <w:vertAlign w:val="superscript"/>
              </w:rPr>
              <w:t>13</w:t>
            </w:r>
            <w:r>
              <w:rPr>
                <w:b/>
                <w:i/>
              </w:rPr>
              <w:t>het bestuur, de innovatie en de economische prestaties ten goede komen;</w:t>
            </w:r>
            <w:r>
              <w:t xml:space="preserve"> </w:t>
            </w:r>
            <w:r>
              <w:rPr>
                <w:b/>
                <w:i/>
              </w:rPr>
              <w:t>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Europees Instituut voor gendergelijkheid, “Gender in entrepreneurship”, 2017, blz.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betreurt het aanhoudende genderonevenwicht in financiële instellingen, met name in het management;</w:t>
            </w:r>
            <w:r>
              <w:t xml:space="preserve"> </w:t>
            </w:r>
            <w:r>
              <w:rPr>
                <w:b/>
                <w:i/>
              </w:rPr>
              <w:t>wijst erop dat divers leiderschap en een betere toegang tot financiering voor door vrouwen geleide bedrijven</w:t>
            </w:r>
            <w:r>
              <w:rPr>
                <w:b/>
                <w:i/>
                <w:vertAlign w:val="superscript"/>
              </w:rPr>
              <w:t>13</w:t>
            </w:r>
            <w:r>
              <w:rPr>
                <w:b/>
                <w:i/>
              </w:rPr>
              <w:t>het bestuur, de innovatie en de economische prestaties ten goede komen;</w:t>
            </w:r>
            <w:r>
              <w:t xml:space="preserve"> </w:t>
            </w:r>
            <w:r>
              <w:rPr>
                <w:b/>
                <w:i/>
              </w:rPr>
              <w:t>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Europees Instituut voor gendergelijkheid, “Gender in entrepreneurship”, 2017, blz.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betreurt het aanhoudende genderonevenwicht in financiële instellingen, met name in het management;</w:t>
            </w:r>
            <w:r>
              <w:t xml:space="preserve"> </w:t>
            </w:r>
            <w:r>
              <w:rPr>
                <w:b/>
                <w:i/>
              </w:rPr>
              <w:t>wijst erop dat divers leiderschap en een betere toegang tot financiering voor door vrouwen geleide bedrijven</w:t>
            </w:r>
            <w:r>
              <w:rPr>
                <w:b/>
                <w:i/>
                <w:vertAlign w:val="superscript"/>
              </w:rPr>
              <w:t>13</w:t>
            </w:r>
            <w:r>
              <w:rPr>
                <w:b/>
                <w:i/>
              </w:rPr>
              <w:t>het bestuur, de innovatie en de economische prestaties ten goede komen;</w:t>
            </w:r>
            <w:r>
              <w:t xml:space="preserve"> </w:t>
            </w:r>
            <w:r>
              <w:rPr>
                <w:b/>
                <w:i/>
              </w:rPr>
              <w:t>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Europees Instituut voor gendergelijkheid, “Gender in entrepreneurship”, 2017, blz.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betreurt het aanhoudende genderonevenwicht in financiële instellingen, met name in het management;</w:t>
            </w:r>
            <w:r>
              <w:t xml:space="preserve"> </w:t>
            </w:r>
            <w:r>
              <w:rPr>
                <w:b/>
                <w:i/>
              </w:rPr>
              <w:t>wijst erop dat divers leiderschap en een betere toegang tot financiering voor door vrouwen geleide bedrijven</w:t>
            </w:r>
            <w:r>
              <w:rPr>
                <w:b/>
                <w:i/>
                <w:vertAlign w:val="superscript"/>
              </w:rPr>
              <w:t>13</w:t>
            </w:r>
            <w:r>
              <w:rPr>
                <w:b/>
                <w:i/>
              </w:rPr>
              <w:t>het bestuur, de innovatie en de economische prestaties ten goede komen;</w:t>
            </w:r>
            <w:r>
              <w:t xml:space="preserve"> </w:t>
            </w:r>
            <w:r>
              <w:rPr>
                <w:b/>
                <w:i/>
              </w:rPr>
              <w:t>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Europees Instituut voor gendergelijkheid, “Gender in entrepreneurship”, 2017, blz.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betreurt het aanhoudende genderonevenwicht in financiële instellingen, met name in het management;</w:t>
            </w:r>
            <w:r>
              <w:t xml:space="preserve"> </w:t>
            </w:r>
            <w:r>
              <w:rPr>
                <w:b/>
                <w:i/>
              </w:rPr>
              <w:t>wijst erop dat divers leiderschap en een betere toegang tot financiering voor door vrouwen geleide bedrijven</w:t>
            </w:r>
            <w:r>
              <w:rPr>
                <w:b/>
                <w:i/>
                <w:vertAlign w:val="superscript"/>
              </w:rPr>
              <w:t>13</w:t>
            </w:r>
            <w:r>
              <w:rPr>
                <w:b/>
                <w:i/>
              </w:rPr>
              <w:t>het bestuur, de innovatie en de economische prestaties ten goede komen;</w:t>
            </w:r>
            <w:r>
              <w:t xml:space="preserve"> </w:t>
            </w:r>
            <w:r>
              <w:rPr>
                <w:b/>
                <w:i/>
              </w:rPr>
              <w:t>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Europees Instituut voor gendergelijkheid, “Gender in entrepreneurship”, 2017, blz.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betreurt het aanhoudende genderonevenwicht in financiële instellingen, met name in het management;</w:t>
            </w:r>
            <w:r>
              <w:t xml:space="preserve"> </w:t>
            </w:r>
            <w:r>
              <w:rPr>
                <w:b/>
                <w:i/>
              </w:rPr>
              <w:t>wijst erop</w:t>
            </w:r>
            <w:r>
              <w:t xml:space="preserve"> dat divers leiderschap </w:t>
            </w:r>
            <w:r>
              <w:rPr>
                <w:b/>
                <w:i/>
              </w:rPr>
              <w:t>en een betere toegang tot financiering voor door vrouwen geleide bedrijven</w:t>
            </w:r>
            <w:r>
              <w:rPr>
                <w:b/>
                <w:i/>
                <w:vertAlign w:val="superscript"/>
              </w:rPr>
              <w:t>13</w:t>
            </w:r>
            <w:r>
              <w:rPr>
                <w:b/>
                <w:i/>
              </w:rPr>
              <w:t>het</w:t>
            </w:r>
            <w:r>
              <w:t xml:space="preserve"> bestuur, </w:t>
            </w:r>
            <w:r>
              <w:rPr>
                <w:b/>
                <w:i/>
              </w:rPr>
              <w:t>de</w:t>
            </w:r>
            <w:r>
              <w:t xml:space="preserve"> innovatie en </w:t>
            </w:r>
            <w:r>
              <w:rPr>
                <w:b/>
                <w:i/>
              </w:rPr>
              <w:t>de</w:t>
            </w:r>
            <w:r>
              <w:t xml:space="preserve"> economische prestaties ten goede </w:t>
            </w:r>
            <w:r>
              <w:rPr>
                <w:b/>
                <w:i/>
              </w:rPr>
              <w:t>komen</w:t>
            </w:r>
            <w:r>
              <w:t>; 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w:t>
            </w:r>
          </w:p>
        </w:tc>
        <w:tc>
          <w:tcPr>
            <w:tcW w:w="4876" w:type="dxa"/>
            <w:tcBorders>
              <w:top w:val="nil"/>
              <w:left w:val="nil"/>
              <w:bottom w:val="nil"/>
              <w:right w:val="nil"/>
            </w:tcBorders>
          </w:tcPr>
          <w:p>
            <w:pPr>
              <w:pStyle w:val="Normal6a"/>
            </w:pPr>
            <w:r>
              <w:t>5.</w:t>
            </w:r>
            <w:r>
              <w:tab/>
            </w:r>
            <w:r>
              <w:rPr>
                <w:b/>
                <w:i/>
              </w:rPr>
              <w:t>benadrukt</w:t>
            </w:r>
            <w:r>
              <w:t xml:space="preserve"> dat divers leiderschap </w:t>
            </w:r>
            <w:r>
              <w:rPr>
                <w:b/>
                <w:i/>
              </w:rPr>
              <w:t>goed</w:t>
            </w:r>
            <w:r>
              <w:t xml:space="preserve"> bestuur, innovatie en economische prestaties ten goede </w:t>
            </w:r>
            <w:r>
              <w:rPr>
                <w:b/>
                <w:i/>
              </w:rPr>
              <w:t>komt</w:t>
            </w:r>
            <w:r>
              <w:t>; 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Europees Instituut voor gendergelijkheid, “Gender in entrepreneurship”, 2017, blz.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betreurt het aanhoudende genderonevenwicht</w:t>
            </w:r>
            <w:r>
              <w:t xml:space="preserve"> in financiële instellingen, met name in het management; wijst erop dat divers leiderschap en een betere toegang tot financiering voor door vrouwen geleide bedrijven</w:t>
            </w:r>
            <w:r>
              <w:rPr>
                <w:vertAlign w:val="superscript"/>
              </w:rPr>
              <w:t>13</w:t>
            </w:r>
            <w:r>
              <w:t>het bestuur, de innovatie en de economische prestaties ten goede komen; 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w:t>
            </w:r>
          </w:p>
        </w:tc>
        <w:tc>
          <w:tcPr>
            <w:tcW w:w="4876" w:type="dxa"/>
            <w:tcBorders>
              <w:top w:val="nil"/>
              <w:left w:val="nil"/>
              <w:bottom w:val="nil"/>
              <w:right w:val="nil"/>
            </w:tcBorders>
          </w:tcPr>
          <w:p>
            <w:pPr>
              <w:pStyle w:val="Normal6a"/>
            </w:pPr>
            <w:r>
              <w:t>5.</w:t>
            </w:r>
            <w:r>
              <w:tab/>
            </w:r>
            <w:r>
              <w:rPr>
                <w:b/>
                <w:i/>
              </w:rPr>
              <w:t>erkent de beperkte vooruitgang wat betreft genderevenwicht</w:t>
            </w:r>
            <w:r>
              <w:t xml:space="preserve"> in financiële instellingen, met name in het management; wijst erop dat divers leiderschap en een betere toegang tot financiering voor door vrouwen geleide bedrijven</w:t>
            </w:r>
            <w:r>
              <w:rPr>
                <w:vertAlign w:val="superscript"/>
              </w:rPr>
              <w:t>13</w:t>
            </w:r>
            <w:r>
              <w:t xml:space="preserve"> het bestuur, de innovatie en de economische prestaties ten goede komen; 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Europees Instituut voor gendergelijkheid, “Gender in entrepreneurship”, 2017, blz. 5-6.</w:t>
            </w:r>
          </w:p>
        </w:tc>
        <w:tc>
          <w:tcPr>
            <w:tcW w:w="4876" w:type="dxa"/>
            <w:tcBorders>
              <w:top w:val="nil"/>
              <w:left w:val="nil"/>
              <w:bottom w:val="nil"/>
              <w:right w:val="nil"/>
            </w:tcBorders>
          </w:tcPr>
          <w:p>
            <w:pPr>
              <w:pStyle w:val="Normal6a"/>
            </w:pPr>
            <w:r>
              <w:rPr>
                <w:vertAlign w:val="superscript"/>
              </w:rPr>
              <w:t>13</w:t>
            </w:r>
            <w:r>
              <w:t xml:space="preserve"> </w:t>
            </w:r>
            <w:r>
              <w:t>Europees Instituut voor gendergelijkheid, “Gender in entrepreneurship”, 2017, blz.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betreurt het aanhoudende </w:t>
            </w:r>
            <w:r>
              <w:rPr>
                <w:b/>
                <w:i/>
              </w:rPr>
              <w:t>genderonevenwicht</w:t>
            </w:r>
            <w:r>
              <w:t xml:space="preserve"> in financiële instellingen, met name in het management; wijst erop dat divers leiderschap en een betere toegang tot financiering voor door vrouwen geleide bedrijven</w:t>
            </w:r>
            <w:r>
              <w:rPr>
                <w:vertAlign w:val="superscript"/>
              </w:rPr>
              <w:t>13</w:t>
            </w:r>
            <w:r>
              <w:t xml:space="preserve">het bestuur, de innovatie en de economische prestaties ten goede komen; verzoekt financiële instellingen, belanghebbenden, de Commissie en de lidstaten doeltreffende diversiteitsstrategieën vast te stellen, genderkloven te monitoren en gendergelijkheid te integreren </w:t>
            </w:r>
            <w:r>
              <w:rPr>
                <w:b/>
                <w:i/>
              </w:rPr>
              <w:t>in toezichts- en investeringskaders om inclusieve toegang tot kapitaal in de hele EU te waarborgen</w:t>
            </w:r>
            <w:r>
              <w:t>;</w:t>
            </w:r>
          </w:p>
        </w:tc>
        <w:tc>
          <w:tcPr>
            <w:tcW w:w="4876" w:type="dxa"/>
            <w:tcBorders>
              <w:top w:val="nil"/>
              <w:left w:val="nil"/>
              <w:bottom w:val="nil"/>
              <w:right w:val="nil"/>
            </w:tcBorders>
          </w:tcPr>
          <w:p>
            <w:pPr>
              <w:pStyle w:val="Normal6a"/>
            </w:pPr>
            <w:r>
              <w:t>5.</w:t>
            </w:r>
            <w:r>
              <w:tab/>
            </w:r>
            <w:r>
              <w:t xml:space="preserve">betreurt het aanhoudende </w:t>
            </w:r>
            <w:r>
              <w:rPr>
                <w:b/>
                <w:i/>
              </w:rPr>
              <w:t>gebrek aan genderevenwicht</w:t>
            </w:r>
            <w:r>
              <w:t xml:space="preserve"> in financiële instellingen, met name in het management; wijst erop dat divers leiderschap en een betere toegang tot financiering voor door vrouwen geleide bedrijven</w:t>
            </w:r>
            <w:r>
              <w:rPr>
                <w:vertAlign w:val="superscript"/>
              </w:rPr>
              <w:t>13</w:t>
            </w:r>
            <w:r>
              <w:t xml:space="preserve"> het bestuur, de innovatie en de economische prestaties ten goede komen; verzoekt financiële instellingen, belanghebbenden, de Commissie en de lidstaten doeltreffende diversiteitsstrategieën vast te stellen, genderkloven te monitoren en gendergelijkheid te integreren;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Europees Instituut voor gendergelijkheid, “Gender in entrepreneurship”, 2017, blz. 5-6.</w:t>
            </w:r>
          </w:p>
        </w:tc>
        <w:tc>
          <w:tcPr>
            <w:tcW w:w="4876" w:type="dxa"/>
            <w:tcBorders>
              <w:top w:val="nil"/>
              <w:left w:val="nil"/>
              <w:bottom w:val="nil"/>
              <w:right w:val="nil"/>
            </w:tcBorders>
          </w:tcPr>
          <w:p>
            <w:pPr>
              <w:pStyle w:val="Normal6a"/>
            </w:pPr>
            <w:r>
              <w:rPr>
                <w:vertAlign w:val="superscript"/>
              </w:rPr>
              <w:t>13</w:t>
            </w:r>
            <w:r>
              <w:t xml:space="preserve"> </w:t>
            </w:r>
            <w:r>
              <w:t>Europees Instituut voor gendergelijkheid, “Gender in entrepreneurship”, 2017, blz.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betreurt het aanhoudende </w:t>
            </w:r>
            <w:r>
              <w:rPr>
                <w:b/>
                <w:i/>
              </w:rPr>
              <w:t>genderonevenwicht</w:t>
            </w:r>
            <w:r>
              <w:t xml:space="preserve"> in financiële instellingen, met name in het management; wijst erop dat divers leiderschap en een betere toegang tot financiering voor door vrouwen geleide bedrijven</w:t>
            </w:r>
            <w:r>
              <w:rPr>
                <w:vertAlign w:val="superscript"/>
              </w:rPr>
              <w:t>13</w:t>
            </w:r>
            <w:r>
              <w:t>het bestuur, de innovatie en de economische prestaties ten goede komen; 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w:t>
            </w:r>
          </w:p>
        </w:tc>
        <w:tc>
          <w:tcPr>
            <w:tcW w:w="4876" w:type="dxa"/>
            <w:tcBorders>
              <w:top w:val="nil"/>
              <w:left w:val="nil"/>
              <w:bottom w:val="nil"/>
              <w:right w:val="nil"/>
            </w:tcBorders>
          </w:tcPr>
          <w:p>
            <w:pPr>
              <w:pStyle w:val="Normal6a"/>
            </w:pPr>
            <w:r>
              <w:t>5.</w:t>
            </w:r>
            <w:r>
              <w:tab/>
            </w:r>
            <w:r>
              <w:t xml:space="preserve">betreurt het aanhoudende </w:t>
            </w:r>
            <w:r>
              <w:rPr>
                <w:b/>
                <w:i/>
              </w:rPr>
              <w:t>gebrek aan genderevenwicht</w:t>
            </w:r>
            <w:r>
              <w:t xml:space="preserve"> in financiële instellingen, met name in het management; wijst erop dat divers leiderschap en een betere toegang tot financiering voor door vrouwen geleide bedrijven</w:t>
            </w:r>
            <w:r>
              <w:rPr>
                <w:vertAlign w:val="superscript"/>
              </w:rPr>
              <w:t>13</w:t>
            </w:r>
            <w:r>
              <w:t xml:space="preserve"> het bestuur, de innovatie en de economische prestaties ten goede komen; 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 </w:t>
            </w:r>
            <w:r>
              <w:rPr>
                <w:b/>
                <w:i/>
              </w:rPr>
              <w:t>betreurt ten zeerste het gebrek aan genderevenwicht op de shortlist voor de functie van voorzitter van de EBA;</w:t>
            </w:r>
            <w:r>
              <w:t xml:space="preserve"> </w:t>
            </w:r>
            <w:r>
              <w:rPr>
                <w:b/>
                <w:i/>
              </w:rPr>
              <w:t>herhaalt dat het Parlement geen rekening zal houden met lijsten van kandidaten waarbij het beginsel van genderevenwicht niet wordt gerespecteerd;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Europees Instituut voor gendergelijkheid, “Gender in entrepreneurship”, 2017, blz. 5-6.</w:t>
            </w:r>
          </w:p>
        </w:tc>
        <w:tc>
          <w:tcPr>
            <w:tcW w:w="4876" w:type="dxa"/>
            <w:tcBorders>
              <w:top w:val="nil"/>
              <w:left w:val="nil"/>
              <w:bottom w:val="nil"/>
              <w:right w:val="nil"/>
            </w:tcBorders>
          </w:tcPr>
          <w:p>
            <w:pPr>
              <w:pStyle w:val="Normal6a"/>
            </w:pPr>
            <w:r>
              <w:rPr>
                <w:vertAlign w:val="superscript"/>
              </w:rPr>
              <w:t>13</w:t>
            </w:r>
            <w:r>
              <w:t xml:space="preserve"> </w:t>
            </w:r>
            <w:r>
              <w:t>Europees Instituut voor gendergelijkheid, “Gender in entrepreneurship”, 2017, blz.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herinnert eraan dat het bestuur van financiële instellingen gebaseerd moet zijn op verdienste, ervaring en beroepsbekwaamheid, waarbij moet worden gewaarborgd dat benoemingen en managementbesluiten plaatsvinden op basis van objectieve en risicogerelateerde criteria, zonder dat er aanvullende criteria worden gehanteerd die geen verband houden met goede corporate governance en financiële stabiliteit;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betreurt het feit dat het vermogen van EU-banken om grootschalige investeringen te financieren, beperkt wordt door hogere kosten, grotere kleinschaligheid en een lagere winstgevendheid, resulterend in een geringer concurrentievermogen;</w:t>
            </w:r>
            <w:r>
              <w:t xml:space="preserve"> </w:t>
            </w:r>
            <w:r>
              <w:rPr>
                <w:b/>
                <w:i/>
              </w:rPr>
              <w:t>merkt op dat het specifieke karakter van het EU-bankwezen, met zijn grote aantal kleinere banken, vraagt om specifieke oplossingen die zijn afgestemd op de kenmerken ervan;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merkt op dat de winstgevendheid en veerkracht van banken in de EU aanzienlijk zijn verbeterd na de renteverhogingen van de ECB</w:t>
            </w:r>
            <w:r>
              <w:rPr>
                <w:b/>
                <w:i/>
                <w:vertAlign w:val="superscript"/>
              </w:rPr>
              <w:t>14</w:t>
            </w:r>
            <w:r>
              <w:rPr>
                <w:b/>
                <w:i/>
              </w:rPr>
              <w:t>;</w:t>
            </w:r>
            <w:r>
              <w:t xml:space="preserve"> </w:t>
            </w:r>
            <w:r>
              <w:rPr>
                <w:b/>
                <w:i/>
              </w:rPr>
              <w:t>benadrukt dat dit essentiële investeringen kan ondersteunen en dat instellingen die staatssteun ontvangen, onderworpen moeten worden aan strikte beperkingen op dividenden, terugkoop van aandelen en variabele vergoedingen;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 M. en Ratnovski, L., “Bank Profits and Bank Taxes in the EU”, IMF, juli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merkt op dat de winstgevendheid en veerkracht van</w:t>
            </w:r>
            <w:r>
              <w:t xml:space="preserve"> banken </w:t>
            </w:r>
            <w:r>
              <w:rPr>
                <w:b/>
                <w:i/>
              </w:rPr>
              <w:t>in de EU aanzienlijk zijn verbeterd na de renteverhogingen van de ECB</w:t>
            </w:r>
            <w:r>
              <w:rPr>
                <w:b/>
                <w:i/>
                <w:vertAlign w:val="superscript"/>
              </w:rPr>
              <w:t>14</w:t>
            </w:r>
            <w:r>
              <w:rPr>
                <w:b/>
                <w:i/>
              </w:rPr>
              <w:t>;</w:t>
            </w:r>
            <w:r>
              <w:t xml:space="preserve"> </w:t>
            </w:r>
            <w:r>
              <w:rPr>
                <w:b/>
                <w:i/>
              </w:rPr>
              <w:t>benadrukt dat dit essentiële investeringen kan</w:t>
            </w:r>
            <w:r>
              <w:t xml:space="preserve"> ondersteunen </w:t>
            </w:r>
            <w:r>
              <w:rPr>
                <w:b/>
                <w:i/>
              </w:rPr>
              <w:t>en dat instellingen die staatssteun ontvangen, onderworpen moeten worden aan strikte beperkingen op dividenden, terugkoop van aandelen en variabele vergoedingen</w:t>
            </w:r>
            <w:r>
              <w:t>;</w:t>
            </w:r>
          </w:p>
        </w:tc>
        <w:tc>
          <w:tcPr>
            <w:tcW w:w="4876" w:type="dxa"/>
            <w:tcBorders>
              <w:top w:val="nil"/>
              <w:left w:val="nil"/>
              <w:bottom w:val="nil"/>
              <w:right w:val="nil"/>
            </w:tcBorders>
          </w:tcPr>
          <w:p>
            <w:pPr>
              <w:pStyle w:val="Normal6a"/>
            </w:pPr>
            <w:r>
              <w:t>6.</w:t>
            </w:r>
            <w:r>
              <w:tab/>
            </w:r>
            <w:r>
              <w:rPr>
                <w:b/>
                <w:i/>
              </w:rPr>
              <w:t>erkent dat langdurig restrictief monetair beleid de nettorentemarges heeft gedrukt en de financieringskosten heeft verhoogd, waardoor</w:t>
            </w:r>
            <w:r>
              <w:t xml:space="preserve"> banken </w:t>
            </w:r>
            <w:r>
              <w:rPr>
                <w:b/>
                <w:i/>
              </w:rPr>
              <w:t>minder goed in staat zijn duurzame groei van leningen te</w:t>
            </w:r>
            <w:r>
              <w:t xml:space="preserve"> ondersteunen;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 M. en Ratnovski, L., “Bank Profits and Bank Taxes in the EU”, IMF, juli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merkt op</w:t>
            </w:r>
            <w:r>
              <w:t xml:space="preserve"> dat de winstgevendheid en veerkracht van banken in de EU aanzienlijk zijn verbeterd </w:t>
            </w:r>
            <w:r>
              <w:rPr>
                <w:b/>
                <w:i/>
              </w:rPr>
              <w:t>na de renteverhogingen van de ECB</w:t>
            </w:r>
            <w:r>
              <w:rPr>
                <w:vertAlign w:val="superscript"/>
              </w:rPr>
              <w:t>14</w:t>
            </w:r>
            <w:r>
              <w:rPr>
                <w:b/>
                <w:i/>
              </w:rPr>
              <w:t>;</w:t>
            </w:r>
            <w:r>
              <w:t xml:space="preserve"> </w:t>
            </w:r>
            <w:r>
              <w:rPr>
                <w:b/>
                <w:i/>
              </w:rPr>
              <w:t>benadrukt dat dit essentiële investeringen kan ondersteunen en dat instellingen die staatssteun ontvangen, onderworpen moeten worden aan strikte beperkingen op dividenden, terugkoop van aandelen en variabele vergoedingen</w:t>
            </w:r>
            <w:r>
              <w:t>;</w:t>
            </w:r>
          </w:p>
        </w:tc>
        <w:tc>
          <w:tcPr>
            <w:tcW w:w="4876" w:type="dxa"/>
            <w:tcBorders>
              <w:top w:val="nil"/>
              <w:left w:val="nil"/>
              <w:bottom w:val="nil"/>
              <w:right w:val="nil"/>
            </w:tcBorders>
          </w:tcPr>
          <w:p>
            <w:pPr>
              <w:pStyle w:val="Normal6a"/>
            </w:pPr>
            <w:r>
              <w:t>6.</w:t>
            </w:r>
            <w:r>
              <w:tab/>
            </w:r>
            <w:r>
              <w:rPr>
                <w:b/>
                <w:i/>
              </w:rPr>
              <w:t>is ingenomen</w:t>
            </w:r>
            <w:r>
              <w:t xml:space="preserve"> dat de winstgevendheid en veerkracht van banken in de EU aanzienlijk zijn verbeterd</w:t>
            </w:r>
            <w:r>
              <w:rPr>
                <w:vertAlign w:val="superscript"/>
              </w:rPr>
              <w:t>14</w:t>
            </w:r>
            <w:r>
              <w:rPr>
                <w:b/>
                <w:i/>
              </w:rPr>
              <w:t>;</w:t>
            </w:r>
            <w:r>
              <w:t xml:space="preserve"> </w:t>
            </w:r>
            <w:r>
              <w:rPr>
                <w:b/>
                <w:i/>
              </w:rPr>
              <w:t>merkt echter op dat er nog steeds sprake is van een verschil in winstgevendheid ten opzichte van andere rechtsgebieden, met name de VS;</w:t>
            </w:r>
            <w:r>
              <w:t xml:space="preserve"> </w:t>
            </w:r>
            <w:r>
              <w:rPr>
                <w:b/>
                <w:i/>
              </w:rPr>
              <w:t>is van mening dat de winstgevendheidskloof ten opzichte van andere rechtsgebieden te wijten is aan zowel structurele als wettelijke redenen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 </w:t>
            </w:r>
            <w:r>
              <w:rPr>
                <w:b/>
                <w:i/>
              </w:rPr>
              <w:t>en</w:t>
            </w:r>
            <w:r>
              <w:t xml:space="preserve"> Ratnovski, L., “Bank Profits and Bank Taxes in the EU”, IMF, juli 2024.</w:t>
            </w:r>
          </w:p>
        </w:tc>
        <w:tc>
          <w:tcPr>
            <w:tcW w:w="4876" w:type="dxa"/>
            <w:tcBorders>
              <w:top w:val="nil"/>
              <w:left w:val="nil"/>
              <w:bottom w:val="nil"/>
              <w:right w:val="nil"/>
            </w:tcBorders>
          </w:tcPr>
          <w:p>
            <w:pPr>
              <w:pStyle w:val="Normal6a"/>
            </w:pPr>
            <w:r>
              <w:rPr>
                <w:vertAlign w:val="superscript"/>
              </w:rPr>
              <w:t>14</w:t>
            </w:r>
            <w:r>
              <w:t xml:space="preserve"> </w:t>
            </w:r>
            <w:r>
              <w:t>Maneely, M.</w:t>
            </w:r>
            <w:r>
              <w:rPr>
                <w:b/>
                <w:i/>
              </w:rPr>
              <w:t>/</w:t>
            </w:r>
            <w:r>
              <w:t xml:space="preserve"> Ratnovski, L., “Bank Profits and Bank Taxes in the EU”, IMF, juli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merkt op dat de winstgevendheid en veerkracht </w:t>
            </w:r>
            <w:r>
              <w:rPr>
                <w:b/>
                <w:i/>
              </w:rPr>
              <w:t>van banken in de EU aanzienlijk zijn verbeterd na de renteverhogingen van de ECB</w:t>
            </w:r>
            <w:r>
              <w:rPr>
                <w:b/>
                <w:i/>
                <w:vertAlign w:val="superscript"/>
              </w:rPr>
              <w:t>14</w:t>
            </w:r>
            <w:r>
              <w:t xml:space="preserve">; benadrukt dat </w:t>
            </w:r>
            <w:r>
              <w:rPr>
                <w:b/>
                <w:i/>
              </w:rPr>
              <w:t>dit essentiële investeringen</w:t>
            </w:r>
            <w:r>
              <w:t xml:space="preserve"> kan ondersteunen </w:t>
            </w:r>
            <w:r>
              <w:rPr>
                <w:b/>
                <w:i/>
              </w:rPr>
              <w:t>en dat instellingen die staatssteun ontvangen, onderworpen moeten worden aan strikte beperkingen op dividenden, terugkoop van aandelen en variabele vergoedingen</w:t>
            </w:r>
            <w:r>
              <w:t>;</w:t>
            </w:r>
          </w:p>
        </w:tc>
        <w:tc>
          <w:tcPr>
            <w:tcW w:w="4876" w:type="dxa"/>
            <w:tcBorders>
              <w:top w:val="nil"/>
              <w:left w:val="nil"/>
              <w:bottom w:val="nil"/>
              <w:right w:val="nil"/>
            </w:tcBorders>
          </w:tcPr>
          <w:p>
            <w:pPr>
              <w:pStyle w:val="Normal6a"/>
            </w:pPr>
            <w:r>
              <w:t>6.</w:t>
            </w:r>
            <w:r>
              <w:tab/>
            </w:r>
            <w:r>
              <w:t xml:space="preserve">merkt op dat de winstgevendheid en veerkracht </w:t>
            </w:r>
            <w:r>
              <w:rPr>
                <w:b/>
                <w:i/>
              </w:rPr>
              <w:t>in 2025 hoog bleven</w:t>
            </w:r>
            <w:r>
              <w:t xml:space="preserve">; benadrukt dat </w:t>
            </w:r>
            <w:r>
              <w:rPr>
                <w:b/>
                <w:i/>
              </w:rPr>
              <w:t>deze winstgevendheid de financiering van huishoudens en bedrijven, met name kmo’s en start-ups, alsook jonge professionals,</w:t>
            </w:r>
            <w:r>
              <w:t xml:space="preserve"> kan ondersteunen;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 M. en Ratnovski, L., “Bank Profits and Bank Taxes in the EU”, IMF, juli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merkt op dat de winstgevendheid en veerkracht van banken in de EU aanzienlijk zijn verbeterd na de renteverhogingen van de ECB</w:t>
            </w:r>
            <w:r>
              <w:rPr>
                <w:vertAlign w:val="superscript"/>
              </w:rPr>
              <w:t>14</w:t>
            </w:r>
            <w:r>
              <w:t xml:space="preserve">; benadrukt dat dit essentiële investeringen kan ondersteunen en dat </w:t>
            </w:r>
            <w:r>
              <w:rPr>
                <w:b/>
                <w:i/>
              </w:rPr>
              <w:t>instellingen die staatssteun ontvangen, onderworpen moeten worden aan strikte beperkingen op dividenden, terugkoop van aandelen en variabele vergoedingen</w:t>
            </w:r>
            <w:r>
              <w:t>;</w:t>
            </w:r>
          </w:p>
        </w:tc>
        <w:tc>
          <w:tcPr>
            <w:tcW w:w="4876" w:type="dxa"/>
            <w:tcBorders>
              <w:top w:val="nil"/>
              <w:left w:val="nil"/>
              <w:bottom w:val="nil"/>
              <w:right w:val="nil"/>
            </w:tcBorders>
          </w:tcPr>
          <w:p>
            <w:pPr>
              <w:pStyle w:val="Normal6a"/>
            </w:pPr>
            <w:r>
              <w:t>6.</w:t>
            </w:r>
            <w:r>
              <w:tab/>
            </w:r>
            <w:r>
              <w:t>merkt op dat de winstgevendheid en veerkracht van banken in de EU aanzienlijk zijn verbeterd na de renteverhogingen van de ECB</w:t>
            </w:r>
            <w:r>
              <w:rPr>
                <w:vertAlign w:val="superscript"/>
              </w:rPr>
              <w:t>14</w:t>
            </w:r>
            <w:r>
              <w:t>; benadrukt dat dit essentiële investeringen kan ondersteunen</w:t>
            </w:r>
            <w:r>
              <w:rPr>
                <w:b/>
                <w:i/>
              </w:rPr>
              <w:t>;</w:t>
            </w:r>
            <w:r>
              <w:t xml:space="preserve"> </w:t>
            </w:r>
            <w:r>
              <w:rPr>
                <w:b/>
                <w:i/>
              </w:rPr>
              <w:t>herinnert eraan dat deze stijging van de winstgevendheid voornamelijk cyclisch is</w:t>
            </w:r>
            <w:r>
              <w:t xml:space="preserve"> en dat </w:t>
            </w:r>
            <w:r>
              <w:rPr>
                <w:b/>
                <w:i/>
              </w:rPr>
              <w:t>het concurrentievermogen van banken nog steeds afhankelijk is van de voortgang van de structurele hervormingen inzake de bankenunie, de spaar- en investeringsunie en de eengemaakte markt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 </w:t>
            </w:r>
            <w:r>
              <w:rPr>
                <w:b/>
                <w:i/>
              </w:rPr>
              <w:t>en</w:t>
            </w:r>
            <w:r>
              <w:t xml:space="preserve"> Ratnovski, L., “Bank Profits and Bank Taxes in the EU”, IMF, juli 2024.</w:t>
            </w:r>
          </w:p>
        </w:tc>
        <w:tc>
          <w:tcPr>
            <w:tcW w:w="4876" w:type="dxa"/>
            <w:tcBorders>
              <w:top w:val="nil"/>
              <w:left w:val="nil"/>
              <w:bottom w:val="nil"/>
              <w:right w:val="nil"/>
            </w:tcBorders>
          </w:tcPr>
          <w:p>
            <w:pPr>
              <w:pStyle w:val="Normal6a"/>
            </w:pPr>
            <w:r>
              <w:rPr>
                <w:vertAlign w:val="superscript"/>
              </w:rPr>
              <w:t>14</w:t>
            </w:r>
            <w:r>
              <w:t xml:space="preserve"> </w:t>
            </w:r>
            <w:r>
              <w:t>Maneely, M.</w:t>
            </w:r>
            <w:r>
              <w:rPr>
                <w:b/>
                <w:i/>
              </w:rPr>
              <w:t>/</w:t>
            </w:r>
            <w:r>
              <w:t xml:space="preserve"> Ratnovski, L., “Bank Profits and Bank Taxes in the EU”, IMF, juli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merkt op dat de winstgevendheid en veerkracht van banken in de EU aanzienlijk zijn verbeterd na de renteverhogingen van de ECB</w:t>
            </w:r>
            <w:r>
              <w:rPr>
                <w:vertAlign w:val="superscript"/>
              </w:rPr>
              <w:t>14</w:t>
            </w:r>
            <w:r>
              <w:t xml:space="preserve">; benadrukt dat dit essentiële investeringen kan ondersteunen </w:t>
            </w:r>
            <w:r>
              <w:rPr>
                <w:b/>
                <w:i/>
              </w:rPr>
              <w:t>en dat instellingen die staatssteun ontvangen, onderworpen moeten worden aan strikte beperkingen op dividenden, terugkoop van aandelen en variabele vergoedingen</w:t>
            </w:r>
            <w:r>
              <w:t>;</w:t>
            </w:r>
          </w:p>
        </w:tc>
        <w:tc>
          <w:tcPr>
            <w:tcW w:w="4876" w:type="dxa"/>
            <w:tcBorders>
              <w:top w:val="nil"/>
              <w:left w:val="nil"/>
              <w:bottom w:val="nil"/>
              <w:right w:val="nil"/>
            </w:tcBorders>
          </w:tcPr>
          <w:p>
            <w:pPr>
              <w:pStyle w:val="Normal6a"/>
            </w:pPr>
            <w:r>
              <w:t>6.</w:t>
            </w:r>
            <w:r>
              <w:tab/>
            </w:r>
            <w:r>
              <w:t>merkt op dat de winstgevendheid en veerkracht van banken in de EU aanzienlijk zijn verbeterd na de renteverhogingen van de ECB</w:t>
            </w:r>
            <w:r>
              <w:rPr>
                <w:vertAlign w:val="superscript"/>
              </w:rPr>
              <w:t>14</w:t>
            </w:r>
            <w:r>
              <w:t>; benadrukt dat dit essentiële investeringen kan ondersteunen;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 M. en Ratnovski, L., “Bank Profits and Bank Taxes in the EU”, IMF, juli 2024.</w:t>
            </w:r>
          </w:p>
        </w:tc>
        <w:tc>
          <w:tcPr>
            <w:tcW w:w="4876" w:type="dxa"/>
            <w:tcBorders>
              <w:top w:val="nil"/>
              <w:left w:val="nil"/>
              <w:bottom w:val="nil"/>
              <w:right w:val="nil"/>
            </w:tcBorders>
          </w:tcPr>
          <w:p>
            <w:pPr>
              <w:pStyle w:val="Normal6a"/>
            </w:pPr>
            <w:r>
              <w:rPr>
                <w:vertAlign w:val="superscript"/>
              </w:rPr>
              <w:t>14</w:t>
            </w:r>
            <w:r>
              <w:t xml:space="preserve"> </w:t>
            </w:r>
            <w:r>
              <w:t>Maneely, M. en Ratnovski, L., “Bank Profits and Bank Taxes in the EU”, IMF, juli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merkt op dat de winstgevendheid en veerkracht van banken in de EU aanzienlijk zijn verbeterd na de renteverhogingen van de ECB</w:t>
            </w:r>
            <w:r>
              <w:rPr>
                <w:vertAlign w:val="superscript"/>
              </w:rPr>
              <w:t>14</w:t>
            </w:r>
            <w:r>
              <w:t xml:space="preserve">; benadrukt dat dit essentiële investeringen kan ondersteunen </w:t>
            </w:r>
            <w:r>
              <w:rPr>
                <w:b/>
                <w:i/>
              </w:rPr>
              <w:t>en dat instellingen die staatssteun ontvangen, onderworpen moeten worden aan strikte beperkingen op dividenden, terugkoop van aandelen en variabele vergoedingen</w:t>
            </w:r>
            <w:r>
              <w:t>;</w:t>
            </w:r>
          </w:p>
        </w:tc>
        <w:tc>
          <w:tcPr>
            <w:tcW w:w="4876" w:type="dxa"/>
            <w:tcBorders>
              <w:top w:val="nil"/>
              <w:left w:val="nil"/>
              <w:bottom w:val="nil"/>
              <w:right w:val="nil"/>
            </w:tcBorders>
          </w:tcPr>
          <w:p>
            <w:pPr>
              <w:pStyle w:val="Normal6a"/>
            </w:pPr>
            <w:r>
              <w:t>6.</w:t>
            </w:r>
            <w:r>
              <w:tab/>
            </w:r>
            <w:r>
              <w:t>merkt op dat de winstgevendheid en veerkracht van banken in de EU aanzienlijk zijn verbeterd na de renteverhogingen van de ECB</w:t>
            </w:r>
            <w:r>
              <w:rPr>
                <w:vertAlign w:val="superscript"/>
              </w:rPr>
              <w:t>14</w:t>
            </w:r>
            <w:r>
              <w:t>; benadrukt dat dit essentiële investeringen kan ondersteunen;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 </w:t>
            </w:r>
            <w:r>
              <w:rPr>
                <w:b/>
                <w:i/>
              </w:rPr>
              <w:t>en</w:t>
            </w:r>
            <w:r>
              <w:t xml:space="preserve"> Ratnovski, L., “Bank Profits and Bank Taxes in the EU”, IMF, juli 2024.</w:t>
            </w:r>
          </w:p>
        </w:tc>
        <w:tc>
          <w:tcPr>
            <w:tcW w:w="4876" w:type="dxa"/>
            <w:tcBorders>
              <w:top w:val="nil"/>
              <w:left w:val="nil"/>
              <w:bottom w:val="nil"/>
              <w:right w:val="nil"/>
            </w:tcBorders>
          </w:tcPr>
          <w:p>
            <w:pPr>
              <w:pStyle w:val="Normal6a"/>
            </w:pPr>
            <w:r>
              <w:rPr>
                <w:vertAlign w:val="superscript"/>
              </w:rPr>
              <w:t>14</w:t>
            </w:r>
            <w:r>
              <w:t xml:space="preserve"> </w:t>
            </w:r>
            <w:r>
              <w:t>Maneely, M.</w:t>
            </w:r>
            <w:r>
              <w:rPr>
                <w:b/>
                <w:i/>
              </w:rPr>
              <w:t>/</w:t>
            </w:r>
            <w:r>
              <w:t xml:space="preserve"> Ratnovski, L., “Bank Profits and Bank Taxes in the EU”, IMF, juli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merkt op dat de winstgevendheid en veerkracht van banken in de EU aanzienlijk zijn verbeterd na de renteverhogingen van de ECB</w:t>
            </w:r>
            <w:r>
              <w:rPr>
                <w:vertAlign w:val="superscript"/>
              </w:rPr>
              <w:t>14</w:t>
            </w:r>
            <w:r>
              <w:t xml:space="preserve">; benadrukt dat dit essentiële investeringen kan ondersteunen </w:t>
            </w:r>
            <w:r>
              <w:rPr>
                <w:b/>
                <w:i/>
              </w:rPr>
              <w:t>en dat instellingen die staatssteun ontvangen, onderworpen moeten worden aan strikte beperkingen op dividenden, terugkoop van aandelen en variabele vergoedingen</w:t>
            </w:r>
            <w:r>
              <w:t>;</w:t>
            </w:r>
          </w:p>
        </w:tc>
        <w:tc>
          <w:tcPr>
            <w:tcW w:w="4876" w:type="dxa"/>
            <w:tcBorders>
              <w:top w:val="nil"/>
              <w:left w:val="nil"/>
              <w:bottom w:val="nil"/>
              <w:right w:val="nil"/>
            </w:tcBorders>
          </w:tcPr>
          <w:p>
            <w:pPr>
              <w:pStyle w:val="Normal6a"/>
            </w:pPr>
            <w:r>
              <w:t>6.</w:t>
            </w:r>
            <w:r>
              <w:tab/>
            </w:r>
            <w:r>
              <w:t>merkt op dat de winstgevendheid en veerkracht van banken in de EU aanzienlijk zijn verbeterd na de renteverhogingen van de ECB</w:t>
            </w:r>
            <w:r>
              <w:rPr>
                <w:vertAlign w:val="superscript"/>
              </w:rPr>
              <w:t>14</w:t>
            </w:r>
            <w:r>
              <w:t>; benadrukt dat dit essentiële investeringen kan ondersteunen;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 </w:t>
            </w:r>
            <w:r>
              <w:rPr>
                <w:b/>
                <w:i/>
              </w:rPr>
              <w:t>en</w:t>
            </w:r>
            <w:r>
              <w:t xml:space="preserve"> Ratnovski, L., “Bank Profits and Bank Taxes in the EU”, IMF, juli 2024.</w:t>
            </w:r>
          </w:p>
        </w:tc>
        <w:tc>
          <w:tcPr>
            <w:tcW w:w="4876" w:type="dxa"/>
            <w:tcBorders>
              <w:top w:val="nil"/>
              <w:left w:val="nil"/>
              <w:bottom w:val="nil"/>
              <w:right w:val="nil"/>
            </w:tcBorders>
          </w:tcPr>
          <w:p>
            <w:pPr>
              <w:pStyle w:val="Normal6a"/>
            </w:pPr>
            <w:r>
              <w:rPr>
                <w:vertAlign w:val="superscript"/>
              </w:rPr>
              <w:t>14</w:t>
            </w:r>
            <w:r>
              <w:t xml:space="preserve"> </w:t>
            </w:r>
            <w:r>
              <w:t>Maneely, M.</w:t>
            </w:r>
            <w:r>
              <w:rPr>
                <w:b/>
                <w:i/>
              </w:rPr>
              <w:t>/</w:t>
            </w:r>
            <w:r>
              <w:t xml:space="preserve"> Ratnovski, L., “Bank Profits and Bank Taxes in the EU”, IMF, juli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merkt</w:t>
            </w:r>
            <w:r>
              <w:t xml:space="preserve"> op dat de winstgevendheid en veerkracht van banken in de EU aanzienlijk zijn verbeterd na de renteverhogingen van de ECB</w:t>
            </w:r>
            <w:r>
              <w:rPr>
                <w:vertAlign w:val="superscript"/>
              </w:rPr>
              <w:t>14</w:t>
            </w:r>
            <w:r>
              <w:t>; benadrukt dat dit essentiële investeringen kan ondersteunen en dat instellingen die staatssteun ontvangen, onderworpen moeten worden aan strikte beperkingen op dividenden, terugkoop van aandelen en variabele vergoedingen;</w:t>
            </w:r>
          </w:p>
        </w:tc>
        <w:tc>
          <w:tcPr>
            <w:tcW w:w="4876" w:type="dxa"/>
            <w:tcBorders>
              <w:top w:val="nil"/>
              <w:left w:val="nil"/>
              <w:bottom w:val="nil"/>
              <w:right w:val="nil"/>
            </w:tcBorders>
          </w:tcPr>
          <w:p>
            <w:pPr>
              <w:pStyle w:val="Normal6a"/>
            </w:pPr>
            <w:r>
              <w:t>6.</w:t>
            </w:r>
            <w:r>
              <w:tab/>
            </w:r>
            <w:r>
              <w:rPr>
                <w:b/>
                <w:i/>
              </w:rPr>
              <w:t>wijst erop</w:t>
            </w:r>
            <w:r>
              <w:t xml:space="preserve"> op dat de winstgevendheid en veerkracht van banken in de EU aanzienlijk zijn verbeterd na de renteverhogingen van de ECB</w:t>
            </w:r>
            <w:r>
              <w:rPr>
                <w:vertAlign w:val="superscript"/>
              </w:rPr>
              <w:t>14</w:t>
            </w:r>
            <w:r>
              <w:t xml:space="preserve">; benadrukt dat dit essentiële investeringen kan ondersteunen en dat instellingen die staatssteun ontvangen, onderworpen moeten worden aan strikte beperkingen op dividenden, terugkoop van aandelen en variabele vergoedingen; </w:t>
            </w:r>
            <w:r>
              <w:rPr>
                <w:b/>
                <w:i/>
              </w:rPr>
              <w:t>benadrukt dat duurzame winstgevendheid kapitaalaccumulatie, het vermogen om schokken te absorberen en de financiering van de reële economie ondersteunt;</w:t>
            </w:r>
            <w:r>
              <w:t xml:space="preserve"> </w:t>
            </w:r>
            <w:r>
              <w:rPr>
                <w:b/>
                <w:i/>
              </w:rPr>
              <w:t>wijst op de recente adviezen van de ECB over nationale heffingen op banken en merkt op dat daarin wordt benadrukt dat belastingen op basis van bankinkomsten de ingehouden winsten mogelijk naar beneden brengen en het vermogen kunnen aantasten van kredietinstellingen om kapitaalbuffers op te bouwen of aan te vullen;</w:t>
            </w:r>
            <w:r>
              <w:t xml:space="preserve"> </w:t>
            </w:r>
            <w:r>
              <w:rPr>
                <w:b/>
                <w:i/>
              </w:rPr>
              <w:t>benadrukt dat belastingmaatregelen voor banken uitzonderlijk, evenredig en tijdelijk moeten blijven;</w:t>
            </w:r>
            <w:r>
              <w:t xml:space="preserve"> </w:t>
            </w:r>
            <w:r>
              <w:rPr>
                <w:b/>
                <w:i/>
              </w:rPr>
              <w:t>en dat deze bovendien geen negatieve gevolgen mogen hebben voor de financiële stabiliteit of het vermogen van banken om de reële economie te financieren;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 </w:t>
            </w:r>
            <w:r>
              <w:rPr>
                <w:b/>
                <w:i/>
              </w:rPr>
              <w:t>en</w:t>
            </w:r>
            <w:r>
              <w:t xml:space="preserve"> Ratnovski, L., “Bank Profits and Bank Taxes in the EU”, IMF, juli 2024.</w:t>
            </w:r>
          </w:p>
        </w:tc>
        <w:tc>
          <w:tcPr>
            <w:tcW w:w="4876" w:type="dxa"/>
            <w:tcBorders>
              <w:top w:val="nil"/>
              <w:left w:val="nil"/>
              <w:bottom w:val="nil"/>
              <w:right w:val="nil"/>
            </w:tcBorders>
          </w:tcPr>
          <w:p>
            <w:pPr>
              <w:pStyle w:val="Normal6a"/>
            </w:pPr>
            <w:r>
              <w:rPr>
                <w:vertAlign w:val="superscript"/>
              </w:rPr>
              <w:t>14</w:t>
            </w:r>
            <w:r>
              <w:t xml:space="preserve"> </w:t>
            </w:r>
            <w:r>
              <w:t>Maneely, M.</w:t>
            </w:r>
            <w:r>
              <w:rPr>
                <w:b/>
                <w:i/>
              </w:rPr>
              <w:t>/</w:t>
            </w:r>
            <w:r>
              <w:t xml:space="preserve"> Ratnovski, L., “Bank Profits and Bank Taxes in the EU”, IMF, juli 2024.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merkt op dat de winstgevendheid en veerkracht van banken in de EU aanzienlijk zijn verbeterd na de renteverhogingen van de ECB</w:t>
            </w:r>
            <w:r>
              <w:rPr>
                <w:vertAlign w:val="superscript"/>
              </w:rPr>
              <w:t>14</w:t>
            </w:r>
            <w:r>
              <w:t>; benadrukt dat dit essentiële investeringen kan ondersteunen en dat instellingen die staatssteun ontvangen, onderworpen moeten worden aan strikte beperkingen op dividenden, terugkoop van aandelen en variabele vergoedingen;</w:t>
            </w:r>
          </w:p>
        </w:tc>
        <w:tc>
          <w:tcPr>
            <w:tcW w:w="4876" w:type="dxa"/>
            <w:tcBorders>
              <w:top w:val="nil"/>
              <w:left w:val="nil"/>
              <w:bottom w:val="nil"/>
              <w:right w:val="nil"/>
            </w:tcBorders>
          </w:tcPr>
          <w:p>
            <w:pPr>
              <w:pStyle w:val="Normal6a"/>
            </w:pPr>
            <w:r>
              <w:t>6.</w:t>
            </w:r>
            <w:r>
              <w:tab/>
            </w:r>
            <w:r>
              <w:t>merkt op dat de winstgevendheid en veerkracht van banken in de EU aanzienlijk zijn verbeterd na de renteverhogingen van de ECB</w:t>
            </w:r>
            <w:r>
              <w:rPr>
                <w:vertAlign w:val="superscript"/>
              </w:rPr>
              <w:t>14</w:t>
            </w:r>
            <w:r>
              <w:t xml:space="preserve">; benadrukt dat dit essentiële investeringen </w:t>
            </w:r>
            <w:r>
              <w:rPr>
                <w:b/>
                <w:i/>
              </w:rPr>
              <w:t>en de financiering van de Europese economie</w:t>
            </w:r>
            <w:r>
              <w:t xml:space="preserve"> kan ondersteunen en dat instellingen die staatssteun ontvangen, onderworpen moeten worden aan strikte beperkingen op dividenden, terugkoop van aandelen en variabele vergoedingen;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Maneely, M. </w:t>
            </w:r>
            <w:r>
              <w:rPr>
                <w:b/>
                <w:i/>
              </w:rPr>
              <w:t>en</w:t>
            </w:r>
            <w:r>
              <w:t xml:space="preserve"> Ratnovski, L., “Bank Profits and Bank Taxes in the EU”, IMF, juli 2024.</w:t>
            </w:r>
          </w:p>
        </w:tc>
        <w:tc>
          <w:tcPr>
            <w:tcW w:w="4876" w:type="dxa"/>
            <w:tcBorders>
              <w:top w:val="nil"/>
              <w:left w:val="nil"/>
              <w:bottom w:val="nil"/>
              <w:right w:val="nil"/>
            </w:tcBorders>
          </w:tcPr>
          <w:p>
            <w:pPr>
              <w:pStyle w:val="Normal6a"/>
            </w:pPr>
            <w:r>
              <w:rPr>
                <w:vertAlign w:val="superscript"/>
              </w:rPr>
              <w:t>14</w:t>
            </w:r>
            <w:r>
              <w:t xml:space="preserve"> </w:t>
            </w:r>
            <w:r>
              <w:t>Maneely, M.</w:t>
            </w:r>
            <w:r>
              <w:rPr>
                <w:b/>
                <w:i/>
              </w:rPr>
              <w:t>/</w:t>
            </w:r>
            <w:r>
              <w:t xml:space="preserve"> Ratnovski, L., “Bank Profits and Bank Taxes in the EU”, IMF, juli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wijst op de aanzienlijke blootstelling van EU-banken aan langlopende staatsschulden, met name aan binnenlandse blootstellingen;</w:t>
            </w:r>
            <w:r>
              <w:t xml:space="preserve"> </w:t>
            </w:r>
            <w:r>
              <w:rPr>
                <w:b/>
                <w:i/>
              </w:rPr>
              <w:t>herinnert aan het belang van een grotere diversificatie van deze blootstellingen voor de Europese sector om beter bestand te zijn tegen asymmetrische begrotingsschokken;</w:t>
            </w:r>
            <w:r>
              <w:t xml:space="preserve"> </w:t>
            </w:r>
            <w:r>
              <w:rPr>
                <w:b/>
                <w:i/>
              </w:rPr>
              <w:t>onderstreept dat het belangrijk is de begrotingsregels van de EU te handhaven om het vertrouwen in de staatsschuld van de lidstaten, de diversificatie en daarmee de vermindering van het systeemrisico in de eurozone te waarborgen;</w:t>
            </w:r>
            <w:r>
              <w:t xml:space="preserve"> </w:t>
            </w:r>
            <w:r>
              <w:rPr>
                <w:b/>
                <w:i/>
              </w:rPr>
              <w:t>herinnert eraan dat het ontbreken van gemeenschappelijke veilige activa als benchmark de efficiëntie op de kapitaalmarkten en in de banksector vermindert;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verzoekt de Commissie richtsnoeren op te stellen voor een specifieke solidariteitsbijdrage van banken die gebaseerd is op recente winsten, zodat een billijke bijdrage aan de overheidsfinanciën wordt gewaarborgd en tegelijkertijd de veerkracht en financiële stabiliteit worden ondersteund;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verzoekt de Commissie richtsnoeren op te stellen voor een specifieke solidariteitsbijdrage van banken die gebaseerd is op recente winsten, zodat een billijke bijdrage aan de overheidsfinanciën wordt gewaarborgd en tegelijkertijd de veerkracht en financiële stabiliteit worden ondersteund;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verzoekt de Commissie richtsnoeren op te stellen voor een specifieke solidariteitsbijdrage van banken die gebaseerd is op recente winsten, zodat een billijke bijdrage aan de overheidsfinanciën wordt gewaarborgd en tegelijkertijd de veerkracht en financiële stabiliteit worden ondersteund;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verzoekt de Commissie richtsnoeren op te stellen voor een specifieke solidariteitsbijdrage van banken die gebaseerd is op recente winsten, zodat een billijke bijdrage aan de overheidsfinanciën wordt gewaarborgd en tegelijkertijd de veerkracht en financiële stabiliteit worden ondersteund;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verzoekt de Commissie richtsnoeren op te stellen voor een specifieke solidariteitsbijdrage van banken die gebaseerd is op recente winsten, zodat een billijke bijdrage aan de overheidsfinanciën wordt gewaarborgd en tegelijkertijd de veerkracht en financiële stabiliteit worden ondersteund;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verzoekt de Commissie richtsnoeren op te stellen voor een specifieke solidariteitsbijdrage van banken die gebaseerd is op recente winsten, zodat een billijke bijdrage aan de overheidsfinanciën wordt gewaarborgd en tegelijkertijd de veerkracht en financiële stabiliteit worden ondersteund;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verzoekt de Commissie richtsnoeren op te stellen voor een specifieke solidariteitsbijdrage van banken die gebaseerd is op recente winsten, zodat een billijke bijdrage aan de overheidsfinanciën wordt gewaarborgd en tegelijkertijd de veerkracht en financiële stabiliteit worden ondersteund;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verzoekt de Commissie richtsnoeren op te stellen voor een specifieke solidariteitsbijdrage van banken die gebaseerd is op recente winsten, zodat een billijke bijdrage aan de overheidsfinanciën wordt gewaarborgd en tegelijkertijd de veerkracht en financiële stabiliteit worden ondersteund;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verzoekt de Commissie richtsnoeren op te stellen voor een specifieke solidariteitsbijdrage van banken die gebaseerd is op recente winsten, zodat een billijke bijdrage aan de overheidsfinanciën wordt gewaarborgd en tegelijkertijd de veerkracht en financiële stabiliteit worden ondersteund;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verzoekt de Commissie richtsnoeren op te stellen voor een specifieke solidariteitsbijdrage van banken die gebaseerd is op recente winsten, zodat een billijke bijdrage aan de overheidsfinanciën wordt gewaarborgd en tegelijkertijd de veerkracht en financiële stabiliteit worden ondersteund;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benadrukt dat de goede werking en geloofwaardigheid van de bankenunie ook afhangen van de volledige eerbiediging en doeltreffende handhaving van het Unieconsumentenbeschermingsrecht in de banksector;</w:t>
            </w:r>
            <w:r>
              <w:t xml:space="preserve"> </w:t>
            </w:r>
            <w:r>
              <w:rPr>
                <w:b/>
                <w:i/>
              </w:rPr>
              <w:t>benadrukt dat kredietinstellingen zich moeten onthouden van het gebruik van oneerlijke contractuele voorwaarden en handelspraktijken, met name bij hypotheekleningen en kredietverstrekking aan particulieren;</w:t>
            </w:r>
            <w:r>
              <w:t xml:space="preserve"> </w:t>
            </w:r>
            <w:r>
              <w:rPr>
                <w:b/>
                <w:i/>
              </w:rPr>
              <w:t>onderstreept dat consumenten, met inbegrip van kredietnemers, moeten kunnen profiteren van doeltreffende bescherming, rechtszekerheid en toegang tot doeltreffende verhaalmechanismen;</w:t>
            </w:r>
            <w:r>
              <w:t xml:space="preserve"> </w:t>
            </w:r>
            <w:r>
              <w:rPr>
                <w:b/>
                <w:i/>
              </w:rPr>
              <w:t>verzoekt de lidstaten en de bevoegde autoriteiten in dit verband te zorgen voor robuuste toezichts- en handhavingsmaatregelen in geval van overtredingen;</w:t>
            </w:r>
            <w:r>
              <w:t xml:space="preserve"> </w:t>
            </w:r>
            <w:r>
              <w:rPr>
                <w:b/>
                <w:i/>
              </w:rPr>
              <w:t>benadrukt voorts dat het belangrijk is te zorgen voor adequate bescherming van hoofdwoningen van minder dan 250 m², met name in gevallen waarin kredietnemers reeds een aanzienlijk deel van hun lening, zoals 50 % van de oorspronkelijke lening, hebben terugbetaald;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benadrukt dat nationale maatregelen die van invloed zijn op de banksector, waaronder solidariteitsbijdragen, uitzonderlijk en evenredig moeten zijn en het vermogen van banken om de reële economie te financieren, investeringen te ondersteunen of de financiële stabiliteit te handhaven, niet mogen ondermijnen;</w:t>
            </w:r>
            <w:r>
              <w:t xml:space="preserve"> </w:t>
            </w:r>
            <w:r>
              <w:rPr>
                <w:b/>
                <w:i/>
              </w:rPr>
              <w:t>verzoekt de Commissie toezicht te houden op de gevolgen van die maatregelen voor het concurrentievermogen en de grensoverschrijdende integratie binnen de interne 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is ingenomen met de rol van de AMLA bij het versterken van de EU-maatregelen tegen witwassen en terrorismefinanciering;</w:t>
            </w:r>
            <w:r>
              <w:t xml:space="preserve"> </w:t>
            </w:r>
            <w:r>
              <w:rPr>
                <w:b/>
                <w:i/>
              </w:rPr>
              <w:t>dringt aan op een consistente uitvoering, nauwere samenwerking, informatie-uitwisseling en gecoördineerde handhaving in de hele EU;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is ingenomen met</w:t>
            </w:r>
            <w:r>
              <w:t xml:space="preserve"> de rol van de AMLA bij het versterken van de EU-maatregelen tegen witwassen en terrorismefinanciering; dringt aan op een consistente uitvoering, nauwere samenwerking, informatie-uitwisseling en gecoördineerde handhaving in de hele EU;</w:t>
            </w:r>
          </w:p>
        </w:tc>
        <w:tc>
          <w:tcPr>
            <w:tcW w:w="4876" w:type="dxa"/>
            <w:tcBorders>
              <w:top w:val="nil"/>
              <w:left w:val="nil"/>
              <w:bottom w:val="nil"/>
              <w:right w:val="nil"/>
            </w:tcBorders>
          </w:tcPr>
          <w:p>
            <w:pPr>
              <w:pStyle w:val="Normal6a"/>
            </w:pPr>
            <w:r>
              <w:t>8.</w:t>
            </w:r>
            <w:r>
              <w:tab/>
            </w:r>
            <w:r>
              <w:rPr>
                <w:b/>
                <w:i/>
              </w:rPr>
              <w:t>kijkt uit naar</w:t>
            </w:r>
            <w:r>
              <w:t xml:space="preserve"> de rol van de AMLA bij het versterken van de EU-maatregelen tegen witwassen en terrorismefinanciering; dringt aan op een consistente uitvoering, nauwere samenwerking, informatie-uitwisseling en gecoördineerde handhaving in de hele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 ingenomen met de rol van de AMLA bij het versterken van de EU-maatregelen tegen witwassen en terrorismefinanciering; dringt aan op een consistente uitvoering, nauwere samenwerking, informatie-uitwisseling en gecoördineerde handhaving in de hele EU;</w:t>
            </w:r>
          </w:p>
        </w:tc>
        <w:tc>
          <w:tcPr>
            <w:tcW w:w="4876" w:type="dxa"/>
            <w:tcBorders>
              <w:top w:val="nil"/>
              <w:left w:val="nil"/>
              <w:bottom w:val="nil"/>
              <w:right w:val="nil"/>
            </w:tcBorders>
          </w:tcPr>
          <w:p>
            <w:pPr>
              <w:pStyle w:val="Normal6a"/>
            </w:pPr>
            <w:r>
              <w:t>8.</w:t>
            </w:r>
            <w:r>
              <w:tab/>
            </w:r>
            <w:r>
              <w:t xml:space="preserve">is ingenomen met de rol van de AMLA bij het versterken van de EU-maatregelen tegen witwassen en terrorismefinanciering; dringt aan op een consistente uitvoering, nauwere samenwerking, informatie-uitwisseling en gecoördineerde handhaving in de hele EU; </w:t>
            </w:r>
            <w:r>
              <w:rPr>
                <w:b/>
                <w:i/>
              </w:rPr>
              <w:t>benadrukt dat de AMLA zich bij haar toezichts- en regelgevingswerkzaamheden moet houden aan het evenredigheidsbeginsel;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 ingenomen met de rol van de AMLA bij het versterken van de EU-maatregelen tegen witwassen en terrorismefinanciering; dringt aan op een consistente uitvoering, nauwere samenwerking, informatie-uitwisseling en gecoördineerde handhaving in de hele EU;</w:t>
            </w:r>
          </w:p>
        </w:tc>
        <w:tc>
          <w:tcPr>
            <w:tcW w:w="4876" w:type="dxa"/>
            <w:tcBorders>
              <w:top w:val="nil"/>
              <w:left w:val="nil"/>
              <w:bottom w:val="nil"/>
              <w:right w:val="nil"/>
            </w:tcBorders>
          </w:tcPr>
          <w:p>
            <w:pPr>
              <w:pStyle w:val="Normal6a"/>
            </w:pPr>
            <w:r>
              <w:t>8.</w:t>
            </w:r>
            <w:r>
              <w:tab/>
            </w:r>
            <w:r>
              <w:t xml:space="preserve">is ingenomen met de rol van de AMLA bij het versterken van de EU-maatregelen tegen witwassen en terrorismefinanciering; dringt aan op een consistente uitvoering, nauwere samenwerking, informatie-uitwisseling en gecoördineerde handhaving in de hele EU; </w:t>
            </w:r>
            <w:r>
              <w:rPr>
                <w:b/>
                <w:i/>
              </w:rPr>
              <w:t>herinnert eraan dat een gecoördineerde, vereenvoudigde en evenredige aanpak een belangrijk leidend beginsel moet blijven bij de niveau 2-werkzaamheden van de AMLA;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 ingenomen met de rol van de AMLA bij het versterken van de EU-maatregelen tegen witwassen en terrorismefinanciering; dringt aan op een consistente uitvoering, nauwere samenwerking, informatie-uitwisseling en gecoördineerde handhaving in de hele EU;</w:t>
            </w:r>
          </w:p>
        </w:tc>
        <w:tc>
          <w:tcPr>
            <w:tcW w:w="4876" w:type="dxa"/>
            <w:tcBorders>
              <w:top w:val="nil"/>
              <w:left w:val="nil"/>
              <w:bottom w:val="nil"/>
              <w:right w:val="nil"/>
            </w:tcBorders>
          </w:tcPr>
          <w:p>
            <w:pPr>
              <w:pStyle w:val="Normal6a"/>
            </w:pPr>
            <w:r>
              <w:t>8.</w:t>
            </w:r>
            <w:r>
              <w:tab/>
            </w:r>
            <w:r>
              <w:t>is ingenomen met de rol van de AMLA bij het versterken van de EU-maatregelen tegen witwassen en terrorismefinanciering; dringt aan op een consistente uitvoering, nauwere samenwerking, informatie-uitwisseling en gecoördineerde handhaving in de hele EU</w:t>
            </w:r>
            <w:r>
              <w:rPr>
                <w:b/>
                <w:i/>
              </w:rPr>
              <w:t>, om zo onnodige overlappingen in regelgeving en buitensporige administratieve lasten voor financiële instellingen te vermijden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 ingenomen met de rol van de AMLA bij het versterken van de EU-maatregelen tegen witwassen en terrorismefinanciering; dringt aan op een consistente uitvoering, nauwere samenwerking, informatie-uitwisseling en gecoördineerde handhaving in de hele EU;</w:t>
            </w:r>
          </w:p>
        </w:tc>
        <w:tc>
          <w:tcPr>
            <w:tcW w:w="4876" w:type="dxa"/>
            <w:tcBorders>
              <w:top w:val="nil"/>
              <w:left w:val="nil"/>
              <w:bottom w:val="nil"/>
              <w:right w:val="nil"/>
            </w:tcBorders>
          </w:tcPr>
          <w:p>
            <w:pPr>
              <w:pStyle w:val="Normal6a"/>
            </w:pPr>
            <w:r>
              <w:t>8.</w:t>
            </w:r>
            <w:r>
              <w:tab/>
            </w:r>
            <w:r>
              <w:t xml:space="preserve">is ingenomen met de rol van de AMLA bij het versterken van de EU-maatregelen tegen witwassen en terrorismefinanciering; dringt aan op een consistente uitvoering, nauwere samenwerking, informatie-uitwisseling en gecoördineerde handhaving in de hele EU; </w:t>
            </w:r>
            <w:r>
              <w:rPr>
                <w:b/>
                <w:i/>
              </w:rPr>
              <w:t>benadrukt de noodzaak van een efficiënte samenwerking tussen de AMLA en de Europese toezichthoudende autoriteiten en prudentiële autoriteiten;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benadrukt dat het Europese regelgevings-, toezichts- en rapportagekader voor banken moet worden vereenvoudigd om een einde te maken aan de complexiteit die het concurrentievermogen van Europese banken en hun vermogen om effectief diensten te verlenen aan de reële economie onnodig aantast;</w:t>
            </w:r>
            <w:r>
              <w:t xml:space="preserve"> </w:t>
            </w:r>
            <w:r>
              <w:rPr>
                <w:b/>
                <w:i/>
              </w:rPr>
              <w:t>onderstreept dat vereenvoudigingsinspanningen geen afbreuk mogen doen aan de veerkracht van banken, de financiële stabiliteit of de doeltreffendheid van het afwikkelingskader;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onderstreept dat robuuste, consistente en tijdige financiële verslaglegging cruciaal is voor het toezicht en de stabiliteit;</w:t>
            </w:r>
            <w:r>
              <w:t xml:space="preserve"> benadrukt dat vereenvoudiging geen afbreuk mag doen aan prudentiële normen, normen voor consumentenbescherming of stabiliteitsnormen; dringt aan op </w:t>
            </w:r>
            <w:r>
              <w:rPr>
                <w:b/>
                <w:i/>
              </w:rPr>
              <w:t>een evenwichtige en geïntegreerdere aanpak met een gemeenschappelijk gegevenswoordenboek en register van verzoeken, om onnodige complexiteit te verminderen en tegelijkertijd de robuustheid van het kader voor de bankenunie te behouden</w:t>
            </w:r>
            <w:r>
              <w:t>;</w:t>
            </w:r>
          </w:p>
        </w:tc>
        <w:tc>
          <w:tcPr>
            <w:tcW w:w="4876" w:type="dxa"/>
            <w:tcBorders>
              <w:top w:val="nil"/>
              <w:left w:val="nil"/>
              <w:bottom w:val="nil"/>
              <w:right w:val="nil"/>
            </w:tcBorders>
          </w:tcPr>
          <w:p>
            <w:pPr>
              <w:pStyle w:val="Normal6a"/>
            </w:pPr>
            <w:r>
              <w:t>9.</w:t>
            </w:r>
            <w:r>
              <w:tab/>
            </w:r>
            <w:r>
              <w:t xml:space="preserve">benadrukt dat vereenvoudiging </w:t>
            </w:r>
            <w:r>
              <w:rPr>
                <w:b/>
                <w:i/>
              </w:rPr>
              <w:t>van de regelgeving</w:t>
            </w:r>
            <w:r>
              <w:t xml:space="preserve"> geen afbreuk mag doen aan prudentiële normen, normen voor consumentenbescherming of stabiliteitsnormen</w:t>
            </w:r>
            <w:r>
              <w:rPr>
                <w:b/>
                <w:i/>
              </w:rPr>
              <w:t>, maar deze efficiënter en evenrediger moet maken met het oog op het uiteindelijke doel</w:t>
            </w:r>
            <w:r>
              <w:t xml:space="preserve">; dringt aan op </w:t>
            </w:r>
            <w:r>
              <w:rPr>
                <w:b/>
                <w:i/>
              </w:rPr>
              <w:t>het bevorderen van digitale ontwikkelingen, met name op het gebied van AI, met het oog op toezichthoudende taken;</w:t>
            </w:r>
            <w:r>
              <w:t xml:space="preserve"> </w:t>
            </w:r>
            <w:r>
              <w:rPr>
                <w:b/>
                <w:i/>
              </w:rPr>
              <w:t>moedigt toezichthouders en regelgevers aan de nalevings- en rapportagekosten voor gereglementeerde entiteiten te verlagen door meer gegevens uit te wisselen tussen verschillende autoriteiten en de mogelijkheid te onderzoeken om met behulp van AI over te stappen van een ‘push’-model — waarbij gegevens worden gereguleerd door onder toezicht staande instellingen — naar een ‘pull’-model waarbij toezichthouders toegang krijgen tot gedetailleerde gegevens van onder toezicht staande instellingen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onderstreept dat robuuste, consistente en tijdige financiële verslaglegging cruciaal is voor het toezicht en de stabiliteit; benadrukt </w:t>
            </w:r>
            <w:r>
              <w:rPr>
                <w:b/>
                <w:i/>
              </w:rPr>
              <w:t>dat</w:t>
            </w:r>
            <w:r>
              <w:t xml:space="preserve"> vereenvoudiging </w:t>
            </w:r>
            <w:r>
              <w:rPr>
                <w:b/>
                <w:i/>
              </w:rPr>
              <w:t>geen afbreuk mag doen aan</w:t>
            </w:r>
            <w:r>
              <w:t xml:space="preserve"> prudentiële normen, normen voor consumentenbescherming of stabiliteitsnormen; dringt aan op een evenwichtige en geïntegreerdere aanpak </w:t>
            </w:r>
            <w:r>
              <w:rPr>
                <w:b/>
                <w:i/>
              </w:rPr>
              <w:t>met een gemeenschappelijk gegevenswoordenboek en register van verzoeken, om onnodige complexiteit</w:t>
            </w:r>
            <w:r>
              <w:t xml:space="preserve"> te verminderen </w:t>
            </w:r>
            <w:r>
              <w:rPr>
                <w:b/>
                <w:i/>
              </w:rPr>
              <w:t>en tegelijkertijd de robuustheid van het kader voor de bankenunie te behouden</w:t>
            </w:r>
            <w:r>
              <w:t>;</w:t>
            </w:r>
          </w:p>
        </w:tc>
        <w:tc>
          <w:tcPr>
            <w:tcW w:w="4876" w:type="dxa"/>
            <w:tcBorders>
              <w:top w:val="nil"/>
              <w:left w:val="nil"/>
              <w:bottom w:val="nil"/>
              <w:right w:val="nil"/>
            </w:tcBorders>
          </w:tcPr>
          <w:p>
            <w:pPr>
              <w:pStyle w:val="Normal6a"/>
            </w:pPr>
            <w:r>
              <w:t>9.</w:t>
            </w:r>
            <w:r>
              <w:tab/>
            </w:r>
            <w:r>
              <w:t xml:space="preserve">onderstreept dat robuuste, consistente en tijdige financiële verslaglegging cruciaal is voor het toezicht en de stabiliteit; benadrukt </w:t>
            </w:r>
            <w:r>
              <w:rPr>
                <w:b/>
                <w:i/>
              </w:rPr>
              <w:t>het belang van rechtszekerheid, voorspelbaarheid en stabiliteit voor de banksector;</w:t>
            </w:r>
            <w:r>
              <w:t xml:space="preserve"> </w:t>
            </w:r>
            <w:r>
              <w:rPr>
                <w:b/>
                <w:i/>
              </w:rPr>
              <w:t>wijst in dit verband op de noodzaak van verdere maatregelen ter bevordering van digitalisering en</w:t>
            </w:r>
            <w:r>
              <w:t xml:space="preserve"> vereenvoudiging</w:t>
            </w:r>
            <w:r>
              <w:rPr>
                <w:b/>
                <w:i/>
              </w:rPr>
              <w:t>, met behoud van</w:t>
            </w:r>
            <w:r>
              <w:t xml:space="preserve"> prudentiële normen, normen voor consumentenbescherming of stabiliteitsnormen; dringt aan op een evenwichtige en </w:t>
            </w:r>
            <w:r>
              <w:rPr>
                <w:b/>
                <w:i/>
              </w:rPr>
              <w:t>en</w:t>
            </w:r>
            <w:r>
              <w:t xml:space="preserve"> geïntegreerdere aanpak</w:t>
            </w:r>
            <w:r>
              <w:rPr>
                <w:b/>
                <w:i/>
              </w:rPr>
              <w:t>, zoals een gecentraliseerde datahub, gebaseerd op gestandaardiseerde definities en gedeeld tussen autoriteiten om dubbel werk</w:t>
            </w:r>
            <w:r>
              <w:t xml:space="preserve"> te verminderen</w:t>
            </w:r>
            <w:r>
              <w:rPr>
                <w:b/>
                <w:i/>
              </w:rPr>
              <w:t>, de gegevenskwaliteit te verbeteren en de administratieve lasten voor banken te verlichten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onderstreept dat robuuste, consistente en tijdige financiële verslaglegging cruciaal is voor het toezicht en de stabiliteit; </w:t>
            </w:r>
            <w:r>
              <w:rPr>
                <w:b/>
                <w:i/>
              </w:rPr>
              <w:t>benadrukt dat</w:t>
            </w:r>
            <w:r>
              <w:t xml:space="preserve"> vereenvoudiging </w:t>
            </w:r>
            <w:r>
              <w:rPr>
                <w:b/>
                <w:i/>
              </w:rPr>
              <w:t>geen afbreuk mag doen aan prudentiële normen, normen voor consumentenbescherming of stabiliteitsnormen;</w:t>
            </w:r>
            <w:r>
              <w:t xml:space="preserve"> </w:t>
            </w:r>
            <w:r>
              <w:rPr>
                <w:b/>
                <w:i/>
              </w:rPr>
              <w:t>dringt aan op een evenwichtige en geïntegreerdere aanpak met een gemeenschappelijk gegevenswoordenboek en register van verzoeken, om onnodige complexiteit te verminderen en tegelijkertijd de robuustheid van het kader voor de bankenunie te behouden</w:t>
            </w:r>
            <w:r>
              <w:t>;</w:t>
            </w:r>
          </w:p>
        </w:tc>
        <w:tc>
          <w:tcPr>
            <w:tcW w:w="4876" w:type="dxa"/>
            <w:tcBorders>
              <w:top w:val="nil"/>
              <w:left w:val="nil"/>
              <w:bottom w:val="nil"/>
              <w:right w:val="nil"/>
            </w:tcBorders>
          </w:tcPr>
          <w:p>
            <w:pPr>
              <w:pStyle w:val="Normal6a"/>
            </w:pPr>
            <w:r>
              <w:t>9.</w:t>
            </w:r>
            <w:r>
              <w:tab/>
            </w:r>
            <w:r>
              <w:t xml:space="preserve">onderstreept dat robuuste, consistente en tijdige financiële verslaglegging cruciaal is voor het toezicht en de stabiliteit; </w:t>
            </w:r>
            <w:r>
              <w:rPr>
                <w:b/>
                <w:i/>
              </w:rPr>
              <w:t>wijst echter op de noodzaak van</w:t>
            </w:r>
            <w:r>
              <w:t xml:space="preserve"> vereenvoudiging</w:t>
            </w:r>
            <w:r>
              <w:rPr>
                <w:b/>
                <w:i/>
              </w:rPr>
              <w:t>, met name voor kleinere entiteiten;</w:t>
            </w:r>
            <w:r>
              <w:t xml:space="preserve"> </w:t>
            </w:r>
            <w:r>
              <w:rPr>
                <w:b/>
                <w:i/>
              </w:rPr>
              <w:t>is van mening dat de vereisten op dit gebied evenredig moeten zijn en aangepast aan de specifieke kenmerken van de Europese banksector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onderstreept dat robuuste, consistente en tijdige financiële verslaglegging cruciaal is voor het toezicht en de stabiliteit; benadrukt dat vereenvoudiging </w:t>
            </w:r>
            <w:r>
              <w:rPr>
                <w:b/>
                <w:i/>
              </w:rPr>
              <w:t>geen</w:t>
            </w:r>
            <w:r>
              <w:t xml:space="preserve"> afbreuk </w:t>
            </w:r>
            <w:r>
              <w:rPr>
                <w:b/>
                <w:i/>
              </w:rPr>
              <w:t>mag</w:t>
            </w:r>
            <w:r>
              <w:t xml:space="preserve"> doen aan prudentiële normen, normen voor consumentenbescherming of stabiliteitsnormen; </w:t>
            </w:r>
            <w:r>
              <w:rPr>
                <w:b/>
                <w:i/>
              </w:rPr>
              <w:t>dringt aan op een evenwichtige en geïntegreerdere aanpak met een gemeenschappelijk gegevenswoordenboek en register van verzoeken, om onnodige complexiteit te verminderen en tegelijkertijd de robuustheid van het kader voor de bankenunie te behouden;</w:t>
            </w:r>
          </w:p>
        </w:tc>
        <w:tc>
          <w:tcPr>
            <w:tcW w:w="4876" w:type="dxa"/>
            <w:tcBorders>
              <w:top w:val="nil"/>
              <w:left w:val="nil"/>
              <w:bottom w:val="nil"/>
              <w:right w:val="nil"/>
            </w:tcBorders>
          </w:tcPr>
          <w:p>
            <w:pPr>
              <w:pStyle w:val="Normal6a"/>
            </w:pPr>
            <w:r>
              <w:t>9.</w:t>
            </w:r>
            <w:r>
              <w:tab/>
            </w:r>
            <w:r>
              <w:t xml:space="preserve">onderstreept dat robuuste, consistente en tijdige financiële verslaglegging cruciaal is voor het toezicht en de stabiliteit; benadrukt dat vereenvoudiging </w:t>
            </w:r>
            <w:r>
              <w:rPr>
                <w:b/>
                <w:i/>
              </w:rPr>
              <w:t>gericht moet zijn op het wegwerken van overlappingen en onnodige complexiteit, zonder</w:t>
            </w:r>
            <w:r>
              <w:t xml:space="preserve"> afbreuk </w:t>
            </w:r>
            <w:r>
              <w:rPr>
                <w:b/>
                <w:i/>
              </w:rPr>
              <w:t>te</w:t>
            </w:r>
            <w:r>
              <w:t xml:space="preserve"> doen aan prudentiële normen, normen voor consumentenbescherming of stabiliteitsnormen;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onderstreept dat robuuste, consistente en tijdige financiële verslaglegging cruciaal is voor het toezicht en de stabiliteit; </w:t>
            </w:r>
            <w:r>
              <w:rPr>
                <w:b/>
                <w:i/>
              </w:rPr>
              <w:t>benadrukt dat vereenvoudiging geen afbreuk mag doen aan prudentiële normen, normen voor consumentenbescherming of stabiliteitsnormen;</w:t>
            </w:r>
            <w:r>
              <w:t xml:space="preserve"> dringt aan op een </w:t>
            </w:r>
            <w:r>
              <w:rPr>
                <w:b/>
                <w:i/>
              </w:rPr>
              <w:t>evenwichtige</w:t>
            </w:r>
            <w:r>
              <w:t xml:space="preserve"> en geïntegreerdere aanpak met een gemeenschappelijk gegevenswoordenboek en register van verzoeken, om onnodige complexiteit te verminderen en tegelijkertijd de robuustheid van het kader voor de bankenunie te behouden;</w:t>
            </w:r>
          </w:p>
        </w:tc>
        <w:tc>
          <w:tcPr>
            <w:tcW w:w="4876" w:type="dxa"/>
            <w:tcBorders>
              <w:top w:val="nil"/>
              <w:left w:val="nil"/>
              <w:bottom w:val="nil"/>
              <w:right w:val="nil"/>
            </w:tcBorders>
          </w:tcPr>
          <w:p>
            <w:pPr>
              <w:pStyle w:val="Normal6a"/>
            </w:pPr>
            <w:r>
              <w:t>9.</w:t>
            </w:r>
            <w:r>
              <w:tab/>
            </w:r>
            <w:r>
              <w:t xml:space="preserve">onderstreept dat robuuste, consistente en tijdige financiële verslaglegging cruciaal is voor het toezicht en de stabiliteit; dringt aan op een </w:t>
            </w:r>
            <w:r>
              <w:rPr>
                <w:b/>
                <w:i/>
              </w:rPr>
              <w:t>minder belastende</w:t>
            </w:r>
            <w:r>
              <w:t xml:space="preserve"> en geïntegreerdere aanpak </w:t>
            </w:r>
            <w:r>
              <w:rPr>
                <w:b/>
                <w:i/>
              </w:rPr>
              <w:t>van toezichtrapportage</w:t>
            </w:r>
            <w:r>
              <w:t xml:space="preserve"> met een gemeenschappelijk gegevenswoordenboek en register van verzoeken, om onnodige complexiteit te verminderen en tegelijkertijd de robuustheid van het kader voor de bankenunie te behouden;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onderstreept dat robuuste, consistente en tijdige financiële verslaglegging cruciaal is voor het toezicht en de stabiliteit; benadrukt dat vereenvoudiging geen afbreuk mag doen aan prudentiële </w:t>
            </w:r>
            <w:r>
              <w:rPr>
                <w:b/>
                <w:i/>
              </w:rPr>
              <w:t>normen</w:t>
            </w:r>
            <w:r>
              <w:t>, normen voor consumentenbescherming of stabiliteitsnormen; dringt aan op een evenwichtige en geïntegreerdere aanpak met een gemeenschappelijk gegevenswoordenboek en register van verzoeken, om onnodige complexiteit te verminderen en tegelijkertijd de robuustheid van het kader voor de bankenunie te behouden;</w:t>
            </w:r>
          </w:p>
        </w:tc>
        <w:tc>
          <w:tcPr>
            <w:tcW w:w="4876" w:type="dxa"/>
            <w:tcBorders>
              <w:top w:val="nil"/>
              <w:left w:val="nil"/>
              <w:bottom w:val="nil"/>
              <w:right w:val="nil"/>
            </w:tcBorders>
          </w:tcPr>
          <w:p>
            <w:pPr>
              <w:pStyle w:val="Normal6a"/>
            </w:pPr>
            <w:r>
              <w:t>9.</w:t>
            </w:r>
            <w:r>
              <w:tab/>
            </w:r>
            <w:r>
              <w:t xml:space="preserve">onderstreept dat robuuste, consistente en tijdige financiële verslaglegging cruciaal is voor het toezicht en de stabiliteit; benadrukt dat vereenvoudiging geen afbreuk mag doen aan prudentiële </w:t>
            </w:r>
            <w:r>
              <w:rPr>
                <w:b/>
                <w:i/>
              </w:rPr>
              <w:t>weerbaarheid</w:t>
            </w:r>
            <w:r>
              <w:t>, normen voor consumentenbescherming of stabiliteitsnormen; dringt aan op een evenwichtige en geïntegreerdere aanpak met een gemeenschappelijk gegevenswoordenboek en register van verzoeken, om onnodige complexiteit te verminderen en tegelijkertijd de robuustheid van het kader voor de bankenunie te behouden;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merkt op dat de banksector te maken heeft gehad met talrijke overlappende, gefragmenteerde en soms tegenstrijdige regels;</w:t>
            </w:r>
            <w:r>
              <w:t xml:space="preserve"> </w:t>
            </w:r>
            <w:r>
              <w:rPr>
                <w:b/>
                <w:i/>
              </w:rPr>
              <w:t>is ingenomen met de komende uitgebreide evaluatie door de Commissie van het concurrentievermogen van de banksector in de EU in 2026;</w:t>
            </w:r>
            <w:r>
              <w:t xml:space="preserve"> </w:t>
            </w:r>
            <w:r>
              <w:rPr>
                <w:b/>
                <w:i/>
              </w:rPr>
              <w:t>verzoekt de Commissie onnodige regeldruk voor de banksector te verminderen om het concurrentievermogen ervan niet te belemmeren;</w:t>
            </w:r>
            <w:r>
              <w:t xml:space="preserve"> </w:t>
            </w:r>
            <w:r>
              <w:rPr>
                <w:b/>
                <w:i/>
              </w:rPr>
              <w:t>verzoekt de Commissie in dit verband concurrentievermogenstoetsen in te voeren voor alle nieuwe wetgeving, wetgevingsprocessen te stroomlijnen, zoals het verminderen van het aantal automatische herzieningsclausules en een moratorium op niet-essentiële nieuwe regels, alsook de systematische afschaffing van overbodige rapportage- of openbaarmakingsverplichtingen;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dringt erop aan toezichthouders te helpen onnodige beperkingen op het gebruik van digitale innovatieve tools die de productiviteit en het concurrentievermogen in het algemeen kunnen stimuleren, te vermijden;</w:t>
            </w:r>
            <w:r>
              <w:t xml:space="preserve"> </w:t>
            </w:r>
            <w:r>
              <w:rPr>
                <w:b/>
                <w:i/>
              </w:rPr>
              <w:t>moedigt aan om een op beginselen gebaseerde, evenredige aanpak te hanteren waarmee belemmeringen voor innovatie worden vermeden;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is ingenomen met de taskforce op hoog niveau van de Europese Centrale Bank inzake vereenvoudiging;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benadrukt het belang van het waarborgen van evenredigheid in het regelgevingskader voor banken van de EU, waarbij rekening gehouden wordt met de omvang en complexiteit van de verschillende instellingen;</w:t>
            </w:r>
            <w:r>
              <w:t xml:space="preserve"> </w:t>
            </w:r>
            <w:r>
              <w:rPr>
                <w:b/>
                <w:i/>
              </w:rPr>
              <w:t>onderstreept het belang van kleine banken voor de ondersteuning van kmo’s en lokale economieën en verzoekt de Commissie ervoor te zorgen dat alle regelgeving risicogevoelig en evenwichtig blijft en een diverse en concurrerende banksector in de hele Unie ondersteunt;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erkent de </w:t>
            </w:r>
            <w:r>
              <w:rPr>
                <w:b/>
                <w:i/>
              </w:rPr>
              <w:t>vooruitgang op institutioneel en regelgevingsgebied die de</w:t>
            </w:r>
            <w:r>
              <w:t xml:space="preserve"> veerkracht </w:t>
            </w:r>
            <w:r>
              <w:rPr>
                <w:b/>
                <w:i/>
              </w:rPr>
              <w:t>van banken in de eurozone heeft versterkt</w:t>
            </w:r>
            <w:r>
              <w:t xml:space="preserve">; merkt op dat </w:t>
            </w:r>
            <w:r>
              <w:rPr>
                <w:b/>
                <w:i/>
              </w:rPr>
              <w:t>er nog steeds belemmeringen bestaan voor de ontgrendeling van het volledige</w:t>
            </w:r>
            <w:r>
              <w:t xml:space="preserve"> potentieel van de </w:t>
            </w:r>
            <w:r>
              <w:rPr>
                <w:b/>
                <w:i/>
              </w:rPr>
              <w:t>eengemaakte markt van de EU voor financiële diensten</w:t>
            </w:r>
            <w:r>
              <w:t xml:space="preserve">; </w:t>
            </w:r>
            <w:r>
              <w:rPr>
                <w:b/>
                <w:i/>
              </w:rPr>
              <w:t>verzoekt de Commissie, de lidstaten en de EU-organen hun ambities te vertalen naar concrete maatregelen om de spaar- en investeringsunie en de eengemaakte markt te voltooien en zo vereenvoudiging en het concurrentievermogen te bevorderen;</w:t>
            </w:r>
          </w:p>
        </w:tc>
        <w:tc>
          <w:tcPr>
            <w:tcW w:w="4876" w:type="dxa"/>
            <w:tcBorders>
              <w:top w:val="nil"/>
              <w:left w:val="nil"/>
              <w:bottom w:val="nil"/>
              <w:right w:val="nil"/>
            </w:tcBorders>
          </w:tcPr>
          <w:p>
            <w:pPr>
              <w:pStyle w:val="Normal6a"/>
            </w:pPr>
            <w:r>
              <w:t>10.</w:t>
            </w:r>
            <w:r>
              <w:tab/>
            </w:r>
            <w:r>
              <w:t xml:space="preserve">erkent de </w:t>
            </w:r>
            <w:r>
              <w:rPr>
                <w:b/>
                <w:i/>
              </w:rPr>
              <w:t>institutionele ontwikkelingen in</w:t>
            </w:r>
            <w:r>
              <w:t xml:space="preserve"> veerkracht; merkt op dat </w:t>
            </w:r>
            <w:r>
              <w:rPr>
                <w:b/>
                <w:i/>
              </w:rPr>
              <w:t>de voortdurende proliferatie van regelgeving het werkelijke</w:t>
            </w:r>
            <w:r>
              <w:t xml:space="preserve"> potentieel van de </w:t>
            </w:r>
            <w:r>
              <w:rPr>
                <w:b/>
                <w:i/>
              </w:rPr>
              <w:t>Europese banksector blijft ondermijnen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erkent de vooruitgang op institutioneel en regelgevingsgebied die de veerkracht van banken in de </w:t>
            </w:r>
            <w:r>
              <w:rPr>
                <w:b/>
                <w:i/>
              </w:rPr>
              <w:t>eurozone</w:t>
            </w:r>
            <w:r>
              <w:t xml:space="preserve"> heeft versterkt; merkt op dat er nog steeds belemmeringen bestaan voor de ontgrendeling van het volledige potentieel van de eengemaakte markt van de EU voor financiële diensten; verzoekt de Commissie, de lidstaten en de EU-organen hun ambities te vertalen naar concrete maatregelen om de spaar- en investeringsunie en de eengemaakte markt te voltooien </w:t>
            </w:r>
            <w:r>
              <w:rPr>
                <w:b/>
                <w:i/>
              </w:rPr>
              <w:t>en zo vereenvoudiging en het concurrentievermogen te bevorderen</w:t>
            </w:r>
            <w:r>
              <w:t>;</w:t>
            </w:r>
          </w:p>
        </w:tc>
        <w:tc>
          <w:tcPr>
            <w:tcW w:w="4876" w:type="dxa"/>
            <w:tcBorders>
              <w:top w:val="nil"/>
              <w:left w:val="nil"/>
              <w:bottom w:val="nil"/>
              <w:right w:val="nil"/>
            </w:tcBorders>
          </w:tcPr>
          <w:p>
            <w:pPr>
              <w:pStyle w:val="Normal6a"/>
            </w:pPr>
            <w:r>
              <w:t>10.</w:t>
            </w:r>
            <w:r>
              <w:tab/>
            </w:r>
            <w:r>
              <w:t xml:space="preserve">erkent de vooruitgang op institutioneel en regelgevingsgebied die de veerkracht van banken in de </w:t>
            </w:r>
            <w:r>
              <w:rPr>
                <w:b/>
                <w:i/>
              </w:rPr>
              <w:t>EU</w:t>
            </w:r>
            <w:r>
              <w:t xml:space="preserve"> heeft versterkt; merkt op dat er nog steeds belemmeringen bestaan voor de ontgrendeling van het volledige potentieel van de eengemaakte markt van de EU voor financiële diensten; verzoekt de Commissie, de lidstaten en de EU-organen hun ambities te vertalen naar concrete maatregelen om de spaar- en investeringsunie en de eengemaakte markt te voltooien </w:t>
            </w:r>
            <w:r>
              <w:rPr>
                <w:b/>
                <w:i/>
              </w:rPr>
              <w:t>teneinde de nodige investeringen voor een rechtvaardige groene transitie vrij te maken</w:t>
            </w:r>
            <w:r>
              <w:t xml:space="preserve">; </w:t>
            </w:r>
            <w:r>
              <w:rPr>
                <w:b/>
                <w:i/>
              </w:rPr>
              <w:t>beklemtoont dat de taxonomieverordening van belang is voor dat streven;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erkent de vooruitgang op institutioneel en regelgevingsgebied die de veerkracht van banken in de eurozone heeft versterkt; merkt op dat er nog steeds belemmeringen bestaan voor de ontgrendeling van het volledige potentieel van de eengemaakte markt van de EU voor financiële diensten; verzoekt de Commissie, de lidstaten en de EU-organen hun ambities te vertalen naar concrete maatregelen om de spaar- en investeringsunie en de eengemaakte markt te voltooien en zo vereenvoudiging en het concurrentievermogen te bevorderen;</w:t>
            </w:r>
          </w:p>
        </w:tc>
        <w:tc>
          <w:tcPr>
            <w:tcW w:w="4876" w:type="dxa"/>
            <w:tcBorders>
              <w:top w:val="nil"/>
              <w:left w:val="nil"/>
              <w:bottom w:val="nil"/>
              <w:right w:val="nil"/>
            </w:tcBorders>
          </w:tcPr>
          <w:p>
            <w:pPr>
              <w:pStyle w:val="Normal6a"/>
            </w:pPr>
            <w:r>
              <w:t>10.</w:t>
            </w:r>
            <w:r>
              <w:tab/>
            </w:r>
            <w:r>
              <w:t xml:space="preserve">erkent de vooruitgang op institutioneel en regelgevingsgebied die de veerkracht van banken in de eurozone heeft versterkt; merkt op dat er nog steeds </w:t>
            </w:r>
            <w:r>
              <w:rPr>
                <w:b/>
                <w:i/>
              </w:rPr>
              <w:t>aanzienlijke</w:t>
            </w:r>
            <w:r>
              <w:t xml:space="preserve"> belemmeringen bestaan voor de ontgrendeling van het volledige potentieel van de eengemaakte markt van de EU voor financiële diensten; verzoekt de Commissie, de lidstaten en de EU-organen hun ambities te vertalen naar concrete maatregelen om de spaar- en investeringsunie en de eengemaakte markt te voltooien en zo vereenvoudiging en het concurrentievermogen te bevorderen; </w:t>
            </w:r>
            <w:r>
              <w:rPr>
                <w:b/>
                <w:i/>
              </w:rPr>
              <w:t>verzoekt de Commissie in haar verslag van 2026 over het concurrentievermogen van de banksector in de EU ambitieus en doortastend te zijn en verder te gaan dan alleen vereenvoudiging en concrete en uitvoerbare voorstellen te doen om de marktintegratie, het internationale gelijke speelveld en het concurrentievermogen van de Europese banken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benadrukt dat toezichthouders, gezien de aanhoudende geopolitieke onzekerheid, de mogelijk overgewaardeerde aandelenmarkten en de recente onrust in de VS als gevolg van ondoorzichtige kredietverlening in de niet-bancaire sector (particulier krediet), toezichthouders een toekomstgericht perspectief moeten behouden en voldoende toezicht moeten houden op risico's, en dat banken toereikende kapitaalbuffers moeten aanhouden en operationeel veerkrachtig moeten zijn;</w:t>
            </w:r>
            <w:r>
              <w:t xml:space="preserve"> </w:t>
            </w:r>
            <w:r>
              <w:rPr>
                <w:b/>
                <w:i/>
              </w:rPr>
              <w:t>benadrukt in dit verband dat het toezicht op en de veerkracht van niet-bancaire financiële intermediairs moeten worden verbeterd;</w:t>
            </w:r>
            <w:r>
              <w:t xml:space="preserve"> </w:t>
            </w:r>
            <w:r>
              <w:rPr>
                <w:b/>
                <w:i/>
              </w:rPr>
              <w:t>benadrukt dat zorgvuldig toezicht vandaag belastingbetalers, depositogevers en de reële economie kan beschermen tegen verliezen morgen;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moedigt het toenemende gebruik van artificiële intelligentie door de banksector aan en erkent het potentieel ervan om de efficiëntie, innovatie en consumentendiensten te verbeteren en fraudepreventie te versterken;</w:t>
            </w:r>
            <w:r>
              <w:t xml:space="preserve"> </w:t>
            </w:r>
            <w:r>
              <w:rPr>
                <w:b/>
                <w:i/>
              </w:rPr>
              <w:t>onderstreept dat regelgeving op EU-niveau geen belemmering mag worden voor technologische innovatie en acceptatie in de banksector door onzekerheid en verwarring bij marktdeelnemers te creëren met betrekking tot met de regels overeenstemmend gebruik van 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is ingenomen met het verslag van de ECB van december 2025 over vereenvoudiging van het Europees prudentieel kader voor regelgeving, toezicht en verslaggeving en het verslag van de Europese Bankautoriteit over de efficiëntie van het regelgevings- en toezichtkader;</w:t>
            </w:r>
            <w:r>
              <w:t xml:space="preserve"> </w:t>
            </w:r>
            <w:r>
              <w:rPr>
                <w:b/>
                <w:i/>
              </w:rPr>
              <w:t>verzoekt de Commissie de voorstellen in deze verslagen op te volgen en verder te ontwikkelen in het kader van haar aanstaande evaluatie van het concurrentievermogen van de bankenunie;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verzoekt de ECB passende maatregelen te nemen om alle belemmeringen voor het herstel van de kortlopende ongedekte interbancaire markten, die sinds de grote financiële crisis sterk zijn gekrompen, weg te 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is van mening dat de fundamentele “too-big-to-fail”-kwestie niet naar behoren is aangepakt en dat een structurele hervorming nog steeds gerechtvaardigd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is ingenomen met de ambitie van de Commissie om in 2026 de balans op te maken van het concurrentievermogen van de Europese banksector;</w:t>
            </w:r>
            <w:r>
              <w:t xml:space="preserve"> </w:t>
            </w:r>
            <w:r>
              <w:rPr>
                <w:b/>
                <w:i/>
              </w:rPr>
              <w:t>verzoekt de Commissie een ambitieus verslag in te dienen dat vergezeld gaat van wetgevingsvoorstellen om het concurrentievermogen van de Europese banksector wezenlijk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moedigt de ECB aan om alle resterende belemmeringen voor grensoverschrijdende bankfusies weg te nemen, waarbij de financiële stabiliteit wordt gewaarborgd en de integratie van de Europese bankmarkt wordt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quater.</w:t>
            </w:r>
            <w:r>
              <w:tab/>
            </w:r>
            <w:r>
              <w:rPr>
                <w:b/>
                <w:i/>
              </w:rPr>
              <w:t>benadrukt dat de Europese bankregels beter moeten worden afgestemd op de omvang, het bedrijfsmodel, de complexiteit en het risicoprofiel van instellingen;</w:t>
            </w:r>
            <w:r>
              <w:t xml:space="preserve"> </w:t>
            </w:r>
            <w:r>
              <w:rPr>
                <w:b/>
                <w:i/>
              </w:rPr>
              <w:t>benadrukt dat andere belangrijke rechtsgebieden hebben gekozen voor een specifieke en meer evenredige regeling voor kleine banken;</w:t>
            </w:r>
            <w:r>
              <w:t xml:space="preserve"> </w:t>
            </w:r>
            <w:r>
              <w:rPr>
                <w:b/>
                <w:i/>
              </w:rPr>
              <w:t>verzoekt de Commissie de komende evaluatie van het concurrentievermogen van de banksector aan te grijpen als een kans om een echte regeling voor kleine banken die niet internationaal actief zijn te ontwikkelen die wezenlijk lichter is dan de zeer complexe prudentiële en toezichtregels die momenteel op alle Europese banken van toepassing zijn en die in de eerste plaats zijn ontworpen voor grote, internationaal actieve en systeemrelevante bankgroepen;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quater.</w:t>
            </w:r>
            <w:r>
              <w:tab/>
            </w:r>
            <w:r>
              <w:rPr>
                <w:b/>
                <w:i/>
              </w:rPr>
              <w:t>merkt op dat regelgeving die van invloed is op de banksector evenrediger zou kunnen zijn, en betreurt de overbelasting die kleine banken ondervinden waardoor zij niet kunnen groeien en concurrerender worden; moedigt aan om een volledig nieuwe reeks regels op te stellen voor kleine banken die ervoor kunnen kiezen om hieraan deel te nemen;</w:t>
            </w:r>
            <w:r>
              <w:t xml:space="preserve"> </w:t>
            </w:r>
            <w:r>
              <w:rPr>
                <w:b/>
                <w:i/>
              </w:rPr>
              <w:t>is van mening dat deze voorgestelde “regeling voor kleine banken” moet inspelen op de behoeften van deze banken door middel van een meer evenredige regelgeving, zoals andere rechtsgebieden en mondiale financiële centra al hebben ingevoerd;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quinquies.</w:t>
            </w:r>
            <w:r>
              <w:tab/>
            </w:r>
            <w:r>
              <w:rPr>
                <w:b/>
                <w:i/>
              </w:rPr>
              <w:t>stelt met bezorgdheid vast dat de blootstelling van banken aan binnenlandse staatsschulden nog steeds zeer hoog is;</w:t>
            </w:r>
            <w:r>
              <w:t xml:space="preserve"> </w:t>
            </w:r>
            <w:r>
              <w:rPr>
                <w:b/>
                <w:i/>
              </w:rPr>
              <w:t>wijst erop dat het verbreken van de koppeling tussen banken en soevereine risico's, een uitdaging blijft voor de bankenunie;</w:t>
            </w:r>
            <w:r>
              <w:t xml:space="preserve"> </w:t>
            </w:r>
            <w:r>
              <w:rPr>
                <w:b/>
                <w:i/>
              </w:rPr>
              <w:t>beklemtoont dat het risico op de balans van banken verder kan worden verminderd door een meer passende regelgevende behandeling van blootstellingen aan staatsschulden;</w:t>
            </w:r>
            <w:r>
              <w:t xml:space="preserve"> </w:t>
            </w:r>
            <w:r>
              <w:rPr>
                <w:b/>
                <w:i/>
              </w:rPr>
              <w:t>verzoekt de Commissie een wetgevingsvoorstel in te dienen om passende risicogewichten voor blootstellingen aan staatsschulden in te voeren;</w:t>
            </w:r>
            <w:r>
              <w:t xml:space="preserve"> </w:t>
            </w:r>
            <w:r>
              <w:rPr>
                <w:b/>
                <w:i/>
              </w:rPr>
              <w:t>benadrukt dat stijgende overheidsschulden een passende behandeling van blootstellingen aan soevereine risico's dringender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quinquies.</w:t>
            </w:r>
            <w:r>
              <w:tab/>
            </w:r>
            <w:r>
              <w:rPr>
                <w:b/>
                <w:i/>
              </w:rPr>
              <w:t>moedigt aan om door te gaan met een alomvattende stroomlijning van de financiële regels van de EU, waarbij overbodige rapportage- of openbaarmakingsverplichtingen worden afgeschaft.</w:t>
            </w:r>
            <w:r>
              <w:t xml:space="preserve"> </w:t>
            </w:r>
            <w:r>
              <w:rPr>
                <w:b/>
                <w:i/>
              </w:rPr>
              <w:t>dringt aan op een eenvoudigere kapitaalstructuur om het aantal overlappende buffers en opslagfactoren van toezichthouders te verminderen teneinde een duidelijkere en transparantere hiërarchie van kapitaalvereisten tot stand te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sexies.</w:t>
            </w:r>
            <w:r>
              <w:tab/>
            </w:r>
            <w:r>
              <w:rPr>
                <w:b/>
                <w:i/>
              </w:rPr>
              <w:t>wijst op de versnippering van de Europese markt voor banken, die de efficiëntie belemmert en leidt tot overlappende regelgeving en overlappende vereisten, ook op het gebied van consumentenbescherming;</w:t>
            </w:r>
            <w:r>
              <w:t xml:space="preserve"> </w:t>
            </w:r>
            <w:r>
              <w:rPr>
                <w:b/>
                <w:i/>
              </w:rPr>
              <w:t>benadrukt dat de interne markt voor banken moet worden voltooid en dat de huidige structurele afscherming die dochterondernemingen dwingt kapitaal en liquiditeit lokaal aan te houden, moet worden verminderd;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septies.</w:t>
            </w:r>
            <w:r>
              <w:tab/>
            </w:r>
            <w:r>
              <w:rPr>
                <w:b/>
                <w:i/>
              </w:rPr>
              <w:t>geeft de Commissie in overweging de rol en taken van de Europese Bankautoriteit verder te ontwikkelen om beter rekening te houden met het effect van regulerings- en toezichtnormen op innovatie en het internationale concurrentievermogen van de banksector in de EU, zonder afbreuk te doen aan haar belangrijkste prudentiële mandaat;</w:t>
            </w:r>
            <w:r>
              <w:t xml:space="preserve"> </w:t>
            </w:r>
            <w:r>
              <w:rPr>
                <w:b/>
                <w:i/>
              </w:rPr>
              <w:t>benadrukt dat het bevorderen van innovatievriendelijke en evenredige toezichtpraktijken van essentieel belang is om ervoor te zorgen dat de bankenunie veerkrachtig en concurrerend blijft en de groei in de reële economie kan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merkt op dat de geaggregeerde ratio van het tier 1-kernkapitaal (CET1) van GTM-banken in het </w:t>
            </w:r>
            <w:r>
              <w:rPr>
                <w:b/>
                <w:i/>
              </w:rPr>
              <w:t>tweede</w:t>
            </w:r>
            <w:r>
              <w:t xml:space="preserve"> kwartaal van 2025 uitkwam op </w:t>
            </w:r>
            <w:r>
              <w:rPr>
                <w:b/>
                <w:i/>
              </w:rPr>
              <w:t>16,12</w:t>
            </w:r>
            <w:r>
              <w:t xml:space="preserve"> %, met een rendement eigen vermogen (REV) van </w:t>
            </w:r>
            <w:r>
              <w:rPr>
                <w:b/>
                <w:i/>
              </w:rPr>
              <w:t>10,11</w:t>
            </w:r>
            <w:r>
              <w:t> %, terwijl het percentage niet-renderende leningen (NPL’s) daalde tot 2,22 % en het percentage fase 2-leningen 9,59 % bedroeg</w:t>
            </w:r>
            <w:r>
              <w:rPr>
                <w:vertAlign w:val="superscript"/>
              </w:rPr>
              <w:t>15</w:t>
            </w:r>
            <w:r>
              <w:t>; benadrukt dat het belangrijk is om het kredietrisico te monitoren en tegelijkertijd voldoende kapitaal en liquiditeit te behouden voor de veerkracht van de banksector;</w:t>
            </w:r>
          </w:p>
        </w:tc>
        <w:tc>
          <w:tcPr>
            <w:tcW w:w="4876" w:type="dxa"/>
            <w:tcBorders>
              <w:top w:val="nil"/>
              <w:left w:val="nil"/>
              <w:bottom w:val="nil"/>
              <w:right w:val="nil"/>
            </w:tcBorders>
          </w:tcPr>
          <w:p>
            <w:pPr>
              <w:pStyle w:val="Normal6a"/>
            </w:pPr>
            <w:r>
              <w:t>11.</w:t>
            </w:r>
            <w:r>
              <w:tab/>
            </w:r>
            <w:r>
              <w:t xml:space="preserve">merkt op dat de geaggregeerde ratio van het tier 1-kernkapitaal (CET1) van GTM-banken in het </w:t>
            </w:r>
            <w:r>
              <w:rPr>
                <w:b/>
                <w:i/>
              </w:rPr>
              <w:t>derde</w:t>
            </w:r>
            <w:r>
              <w:t xml:space="preserve"> kwartaal van 2025 uitkwam op </w:t>
            </w:r>
            <w:r>
              <w:rPr>
                <w:b/>
                <w:i/>
              </w:rPr>
              <w:t>16,10</w:t>
            </w:r>
            <w:r>
              <w:t xml:space="preserve"> %, met een rendement eigen vermogen (REV) van </w:t>
            </w:r>
            <w:r>
              <w:rPr>
                <w:b/>
                <w:i/>
              </w:rPr>
              <w:t>9,88</w:t>
            </w:r>
            <w:r>
              <w:t> %, terwijl het percentage niet-renderende leningen (NPL’s) daalde tot 2,22 % en het percentage fase 2-leningen 9,59 % bedroeg</w:t>
            </w:r>
            <w:r>
              <w:rPr>
                <w:vertAlign w:val="superscript"/>
              </w:rPr>
              <w:t>15</w:t>
            </w:r>
            <w:r>
              <w:t>; benadrukt dat het belangrijk is om het kredietrisico te monitoren en tegelijkertijd voldoende kapitaal en liquiditeit te behouden voor de veerkracht van de banksector;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ECB, statistieken over bancair toezicht (</w:t>
            </w:r>
            <w:r>
              <w:rPr>
                <w:b/>
                <w:i/>
              </w:rPr>
              <w:t>tweede</w:t>
            </w:r>
            <w:r>
              <w:t xml:space="preserve"> kwartaal 2025).</w:t>
            </w:r>
          </w:p>
        </w:tc>
        <w:tc>
          <w:tcPr>
            <w:tcW w:w="4876" w:type="dxa"/>
            <w:tcBorders>
              <w:top w:val="nil"/>
              <w:left w:val="nil"/>
              <w:bottom w:val="nil"/>
              <w:right w:val="nil"/>
            </w:tcBorders>
          </w:tcPr>
          <w:p>
            <w:pPr>
              <w:pStyle w:val="Normal6a"/>
            </w:pPr>
            <w:r>
              <w:rPr>
                <w:vertAlign w:val="superscript"/>
              </w:rPr>
              <w:t>15</w:t>
            </w:r>
            <w:r>
              <w:t xml:space="preserve"> </w:t>
            </w:r>
            <w:r>
              <w:t>ECB, statistieken over bancair toezicht (</w:t>
            </w:r>
            <w:r>
              <w:rPr>
                <w:b/>
                <w:i/>
              </w:rPr>
              <w:t>derde</w:t>
            </w:r>
            <w:r>
              <w:t xml:space="preserve"> kwartaal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merkt op dat de geaggregeerde ratio van het tier 1-kernkapitaal (CET1) van GTM-banken in het tweede kwartaal van 2025 uitkwam op 16,12 %, met een rendement eigen vermogen (REV) van 10,11 %, terwijl het percentage niet-renderende leningen (NPL’s) daalde tot 2,22 % en het percentage fase 2-leningen 9,59 % bedroeg</w:t>
            </w:r>
            <w:r>
              <w:rPr>
                <w:b/>
                <w:i/>
                <w:vertAlign w:val="superscript"/>
              </w:rPr>
              <w:t>15</w:t>
            </w:r>
            <w:r>
              <w:t>; benadrukt dat het belangrijk is om het kredietrisico te monitoren en tegelijkertijd voldoende kapitaal en liquiditeit te behouden voor de veerkracht van de banksector;</w:t>
            </w:r>
          </w:p>
        </w:tc>
        <w:tc>
          <w:tcPr>
            <w:tcW w:w="4876" w:type="dxa"/>
            <w:tcBorders>
              <w:top w:val="nil"/>
              <w:left w:val="nil"/>
              <w:bottom w:val="nil"/>
              <w:right w:val="nil"/>
            </w:tcBorders>
          </w:tcPr>
          <w:p>
            <w:pPr>
              <w:pStyle w:val="Normal6a"/>
            </w:pPr>
            <w:r>
              <w:t>11.</w:t>
            </w:r>
            <w:r>
              <w:tab/>
            </w:r>
            <w:r>
              <w:t>merkt op dat de geaggregeerde ratio van het tier 1-kernkapitaal (CET1) van GTM-banken in het tweede kwartaal van 2025 uitkwam op 16,12 %, met een rendement eigen vermogen (REV) van 10,11 %, terwijl het percentage niet-renderende leningen (NPL’s) daalde tot 2,22 % en het percentage fase 2-leningen 9,59 % bedroeg</w:t>
            </w:r>
            <w:r>
              <w:rPr>
                <w:vertAlign w:val="superscript"/>
              </w:rPr>
              <w:t>15</w:t>
            </w:r>
            <w:r>
              <w:t xml:space="preserve">; benadrukt dat het belangrijk is om het kredietrisico te monitoren en tegelijkertijd voldoende kapitaal en liquiditeit te behouden voor de veerkracht van de banksector; </w:t>
            </w:r>
            <w:r>
              <w:rPr>
                <w:b/>
                <w:i/>
              </w:rPr>
              <w:t>benadrukt dat deze vooruitgang op het gebied van risicobeperking niet gepaard is gegaan met evenredige vooruitgang op het gebied van risicodeling;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ECB, statistieken over bancair toezicht (tweede kwartaal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wijst op ongunstige macro-economische omstandigheden en geopolitieke tegenwind, die tot een verslechtering van de kwaliteit van activa kunnen leiden;</w:t>
            </w:r>
            <w:r>
              <w:t xml:space="preserve"> </w:t>
            </w:r>
            <w:r>
              <w:rPr>
                <w:b/>
                <w:i/>
              </w:rPr>
              <w:t>benadrukt derhalve het belang van prudent risicobeheer en passende voorzieningen;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benadrukt dat de blootstelling van banken in de eurozone aan nationale staatsschulden hoog blijft en vestigt de aandacht op de daaraan verbonden risico’s;</w:t>
            </w:r>
            <w:r>
              <w:t xml:space="preserve"> </w:t>
            </w:r>
            <w:r>
              <w:rPr>
                <w:b/>
                <w:i/>
              </w:rPr>
              <w:t>herinnert eraan dat een van de belangrijkste doelstellingen van de bankenunie is om de vicieuze cirkel tussen banken en staten te doorbreken;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onderstreept dat de Raad voor financiële stabiliteit, het Europees Comité voor systeemrisico’s (ESRB) en andere internationale en Europese instanties herhaaldelijk hebben gewezen op het risico dat de niet-bancaire financiële sector vormt, met name vanwege de toegenomen verwevenheid ervan met de traditionele banksector;</w:t>
            </w:r>
            <w:r>
              <w:t xml:space="preserve"> </w:t>
            </w:r>
            <w:r>
              <w:rPr>
                <w:b/>
                <w:i/>
              </w:rPr>
              <w:t>steunt de aanbeveling van het Eurosysteem om systeembrede stresstests voor het vaststellen en kwantificeren van risico’s voor de veerkracht van kernmarkten in te voeren;</w:t>
            </w:r>
            <w:r>
              <w:t xml:space="preserve"> </w:t>
            </w:r>
            <w:r>
              <w:rPr>
                <w:b/>
                <w:i/>
              </w:rPr>
              <w:t>dringt er bij de Commissie op aan te onderzoeken of er lacunes zijn in het toezichtinstrumentarium, onder meer met betrekking tot potentiële liquiditeitsproblemen en gevolgen voor systeemrisico’s;</w:t>
            </w:r>
            <w:r>
              <w:t xml:space="preserve"> </w:t>
            </w:r>
            <w:r>
              <w:rPr>
                <w:b/>
                <w:i/>
              </w:rPr>
              <w:t>verzoekt de Commissie passende wetgevingsvoorstellen in te dienen om de financiële stabiliteit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benadrukt </w:t>
            </w:r>
            <w:r>
              <w:rPr>
                <w:b/>
                <w:i/>
              </w:rPr>
              <w:t>de tijdige, volledige en getrouwe tenuitvoerlegging van</w:t>
            </w:r>
            <w:r>
              <w:t xml:space="preserve"> de Bazel III-normen </w:t>
            </w:r>
            <w:r>
              <w:rPr>
                <w:b/>
                <w:i/>
              </w:rPr>
              <w:t>om de veerkracht en het concurrentievermogen te vergroten;</w:t>
            </w:r>
            <w:r>
              <w:t xml:space="preserve"> </w:t>
            </w:r>
            <w:r>
              <w:rPr>
                <w:b/>
                <w:i/>
              </w:rPr>
              <w:t>betreurt dat er afwijkingen zijn en verzoekt de Commissie om een herziening</w:t>
            </w:r>
            <w:r>
              <w:t xml:space="preserve"> van de </w:t>
            </w:r>
            <w:r>
              <w:rPr>
                <w:b/>
                <w:i/>
              </w:rPr>
              <w:t>gelijkwaardigheidsbesluiten met betrekking tot de rechtsgebieden die de normen niet toepassen</w:t>
            </w:r>
            <w:r>
              <w:t>;</w:t>
            </w:r>
          </w:p>
        </w:tc>
        <w:tc>
          <w:tcPr>
            <w:tcW w:w="4876" w:type="dxa"/>
            <w:tcBorders>
              <w:top w:val="nil"/>
              <w:left w:val="nil"/>
              <w:bottom w:val="nil"/>
              <w:right w:val="nil"/>
            </w:tcBorders>
          </w:tcPr>
          <w:p>
            <w:pPr>
              <w:pStyle w:val="Normal6a"/>
            </w:pPr>
            <w:r>
              <w:t>12.</w:t>
            </w:r>
            <w:r>
              <w:tab/>
            </w:r>
            <w:r>
              <w:t xml:space="preserve">benadrukt </w:t>
            </w:r>
            <w:r>
              <w:rPr>
                <w:b/>
                <w:i/>
              </w:rPr>
              <w:t>dat</w:t>
            </w:r>
            <w:r>
              <w:t xml:space="preserve"> de Bazel III-normen </w:t>
            </w:r>
            <w:r>
              <w:rPr>
                <w:b/>
                <w:i/>
              </w:rPr>
              <w:t>moeten worden aangepast aan de specifieke kenmerken</w:t>
            </w:r>
            <w:r>
              <w:t xml:space="preserve"> van de </w:t>
            </w:r>
            <w:r>
              <w:rPr>
                <w:b/>
                <w:i/>
              </w:rPr>
              <w:t>Europese banksector en dat daarbij rekening moet worden gehouden met het evenredigheidscriterium en de invoering van vereenvoudigingen voor kleinere banken, wat in overeenstemming is met de resultaten van de taskforce op hoog niveau van de Europese Centrale Bank inzake vereenvoudiging en ondersteund wordt door de raad van bestuur van de ECB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benadrukt de </w:t>
            </w:r>
            <w:r>
              <w:rPr>
                <w:b/>
                <w:i/>
              </w:rPr>
              <w:t>tijdige, volledige en getrouwe tenuitvoerlegging van</w:t>
            </w:r>
            <w:r>
              <w:t xml:space="preserve"> de Bazel III-normen </w:t>
            </w:r>
            <w:r>
              <w:rPr>
                <w:b/>
                <w:i/>
              </w:rPr>
              <w:t>om de veerkracht en het</w:t>
            </w:r>
            <w:r>
              <w:t xml:space="preserve"> concurrentievermogen </w:t>
            </w:r>
            <w:r>
              <w:rPr>
                <w:b/>
                <w:i/>
              </w:rPr>
              <w:t>te vergroten;</w:t>
            </w:r>
            <w:r>
              <w:t xml:space="preserve"> </w:t>
            </w:r>
            <w:r>
              <w:rPr>
                <w:b/>
                <w:i/>
              </w:rPr>
              <w:t>betreurt dat er afwijkingen zijn en verzoekt de Commissie om een herziening van de gelijkwaardigheidsbesluiten met betrekking tot de</w:t>
            </w:r>
            <w:r>
              <w:t xml:space="preserve"> rechtsgebieden </w:t>
            </w:r>
            <w:r>
              <w:rPr>
                <w:b/>
                <w:i/>
              </w:rPr>
              <w:t>die de normen niet toepassen</w:t>
            </w:r>
            <w:r>
              <w:t>;</w:t>
            </w:r>
          </w:p>
        </w:tc>
        <w:tc>
          <w:tcPr>
            <w:tcW w:w="4876" w:type="dxa"/>
            <w:tcBorders>
              <w:top w:val="nil"/>
              <w:left w:val="nil"/>
              <w:bottom w:val="nil"/>
              <w:right w:val="nil"/>
            </w:tcBorders>
          </w:tcPr>
          <w:p>
            <w:pPr>
              <w:pStyle w:val="Normal6a"/>
            </w:pPr>
            <w:r>
              <w:t>12.</w:t>
            </w:r>
            <w:r>
              <w:tab/>
            </w:r>
            <w:r>
              <w:t xml:space="preserve">benadrukt de </w:t>
            </w:r>
            <w:r>
              <w:rPr>
                <w:b/>
                <w:i/>
              </w:rPr>
              <w:t>noodzaak om</w:t>
            </w:r>
            <w:r>
              <w:t xml:space="preserve"> de Bazel III-normen </w:t>
            </w:r>
            <w:r>
              <w:rPr>
                <w:b/>
                <w:i/>
              </w:rPr>
              <w:t>ten uitvoer te leggen op een manier die rekening houdt met mondiale ontwikkelingen en de noodzaak om het internationale</w:t>
            </w:r>
            <w:r>
              <w:t xml:space="preserve"> concurrentievermogen </w:t>
            </w:r>
            <w:r>
              <w:rPr>
                <w:b/>
                <w:i/>
              </w:rPr>
              <w:t>van Europese banken te waarborgen;</w:t>
            </w:r>
            <w:r>
              <w:t xml:space="preserve"> </w:t>
            </w:r>
            <w:r>
              <w:rPr>
                <w:b/>
                <w:i/>
              </w:rPr>
              <w:t>stelt bezorgd vast dat andere</w:t>
            </w:r>
            <w:r>
              <w:t xml:space="preserve"> rechtsgebieden </w:t>
            </w:r>
            <w:r>
              <w:rPr>
                <w:b/>
                <w:i/>
              </w:rPr>
              <w:t>een minder ambitieuze uitvoeringsagenda hebben nagestreefd;</w:t>
            </w:r>
            <w:r>
              <w:t xml:space="preserve"> </w:t>
            </w:r>
            <w:r>
              <w:rPr>
                <w:b/>
                <w:i/>
              </w:rPr>
              <w:t>benadrukt dat de Commissie zorgvuldig moet bekijken of een latere tenuitvoerlegging nodig is om het internationale concurrentievermogen van EU-banken te handhaven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benadrukt </w:t>
            </w:r>
            <w:r>
              <w:rPr>
                <w:b/>
                <w:i/>
              </w:rPr>
              <w:t>de tijdige, volledige en getrouwe tenuitvoerlegging van</w:t>
            </w:r>
            <w:r>
              <w:t xml:space="preserve"> de Bazel III-normen om de veerkracht en het concurrentievermogen te vergroten; </w:t>
            </w:r>
            <w:r>
              <w:rPr>
                <w:b/>
                <w:i/>
              </w:rPr>
              <w:t>betreurt dat er afwijkingen zijn en verzoekt de Commissie om een herziening van de gelijkwaardigheidsbesluiten met betrekking tot de</w:t>
            </w:r>
            <w:r>
              <w:t xml:space="preserve"> rechtsgebieden </w:t>
            </w:r>
            <w:r>
              <w:rPr>
                <w:b/>
                <w:i/>
              </w:rPr>
              <w:t>die de normen niet toepassen</w:t>
            </w:r>
            <w:r>
              <w:t>;</w:t>
            </w:r>
          </w:p>
        </w:tc>
        <w:tc>
          <w:tcPr>
            <w:tcW w:w="4876" w:type="dxa"/>
            <w:tcBorders>
              <w:top w:val="nil"/>
              <w:left w:val="nil"/>
              <w:bottom w:val="nil"/>
              <w:right w:val="nil"/>
            </w:tcBorders>
          </w:tcPr>
          <w:p>
            <w:pPr>
              <w:pStyle w:val="Normal6a"/>
            </w:pPr>
            <w:r>
              <w:t>12.</w:t>
            </w:r>
            <w:r>
              <w:tab/>
            </w:r>
            <w:r>
              <w:t xml:space="preserve">benadrukt </w:t>
            </w:r>
            <w:r>
              <w:rPr>
                <w:b/>
                <w:i/>
              </w:rPr>
              <w:t>dat</w:t>
            </w:r>
            <w:r>
              <w:t xml:space="preserve"> de Bazel III-normen </w:t>
            </w:r>
            <w:r>
              <w:rPr>
                <w:b/>
                <w:i/>
              </w:rPr>
              <w:t>ten uitvoer moeten worden gelegd</w:t>
            </w:r>
            <w:r>
              <w:t xml:space="preserve"> om de veerkracht en het </w:t>
            </w:r>
            <w:r>
              <w:rPr>
                <w:b/>
                <w:i/>
              </w:rPr>
              <w:t>mondiale</w:t>
            </w:r>
            <w:r>
              <w:t xml:space="preserve"> concurrentievermogen te vergroten; </w:t>
            </w:r>
            <w:r>
              <w:rPr>
                <w:b/>
                <w:i/>
              </w:rPr>
              <w:t>wijst op het aanhoudende gebrek aan duidelijkheid over de tenuitvoerlegging in een aantal belangrijke</w:t>
            </w:r>
            <w:r>
              <w:t xml:space="preserve"> rechtsgebieden </w:t>
            </w:r>
            <w:r>
              <w:rPr>
                <w:b/>
                <w:i/>
              </w:rPr>
              <w:t>buiten de EU en benadrukt dat het behoud van de financiële stabiliteit, de integriteit van het Bazel-kader en een gelijk speelveld van essentieel belang zijn om het concurrentievermogen op lange termijn in een internationale context te waarborgen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benadrukt de tijdige, volledige en getrouwe tenuitvoerlegging van de Bazel III-normen </w:t>
            </w:r>
            <w:r>
              <w:rPr>
                <w:b/>
                <w:i/>
              </w:rPr>
              <w:t>om</w:t>
            </w:r>
            <w:r>
              <w:t xml:space="preserve"> de veerkracht en het concurrentievermogen </w:t>
            </w:r>
            <w:r>
              <w:rPr>
                <w:b/>
                <w:i/>
              </w:rPr>
              <w:t>te</w:t>
            </w:r>
            <w:r>
              <w:t xml:space="preserve"> vergroten; </w:t>
            </w:r>
            <w:r>
              <w:rPr>
                <w:b/>
                <w:i/>
              </w:rPr>
              <w:t>betreurt dat er afwijkingen zijn en</w:t>
            </w:r>
            <w:r>
              <w:t xml:space="preserve"> verzoekt de Commissie </w:t>
            </w:r>
            <w:r>
              <w:rPr>
                <w:b/>
                <w:i/>
              </w:rPr>
              <w:t>om een herziening van de gelijkwaardigheidsbesluiten met betrekking tot de rechtsgebieden die de normen niet toepassen</w:t>
            </w:r>
            <w:r>
              <w:t>;</w:t>
            </w:r>
          </w:p>
        </w:tc>
        <w:tc>
          <w:tcPr>
            <w:tcW w:w="4876" w:type="dxa"/>
            <w:tcBorders>
              <w:top w:val="nil"/>
              <w:left w:val="nil"/>
              <w:bottom w:val="nil"/>
              <w:right w:val="nil"/>
            </w:tcBorders>
          </w:tcPr>
          <w:p>
            <w:pPr>
              <w:pStyle w:val="Normal6a"/>
            </w:pPr>
            <w:r>
              <w:t>12.</w:t>
            </w:r>
            <w:r>
              <w:tab/>
            </w:r>
            <w:r>
              <w:t xml:space="preserve">benadrukt de tijdige, volledige en getrouwe tenuitvoerlegging van de Bazel III-normen </w:t>
            </w:r>
            <w:r>
              <w:rPr>
                <w:b/>
                <w:i/>
              </w:rPr>
              <w:t>voor zover die normen</w:t>
            </w:r>
            <w:r>
              <w:t xml:space="preserve"> de veerkracht en het concurrentievermogen vergroten; </w:t>
            </w:r>
            <w:r>
              <w:rPr>
                <w:b/>
                <w:i/>
              </w:rPr>
              <w:t>stelt met bezorgdheid vast dat andere rechtsgebieden een minder ambitieuze agenda hebben nagestreefd, waardoor het internationale gelijke speelveld mogelijk wordt ondermijnd;</w:t>
            </w:r>
            <w:r>
              <w:t xml:space="preserve"> verzoekt de Commissie </w:t>
            </w:r>
            <w:r>
              <w:rPr>
                <w:b/>
                <w:i/>
              </w:rPr>
              <w:t>het internationale concurrentievermogen van EU-banken te evalueren en te waarborgen zonder hun veerkracht te verzwakken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benadrukt de tijdige, volledige en getrouwe tenuitvoerlegging van de Bazel III-normen om de veerkracht en het concurrentievermogen te vergroten; betreurt dat er afwijkingen zijn </w:t>
            </w:r>
            <w:r>
              <w:rPr>
                <w:b/>
                <w:i/>
              </w:rPr>
              <w:t>en verzoekt de Commissie om een herziening van de gelijkwaardigheidsbesluiten met betrekking tot de rechtsgebieden die de normen niet toepassen</w:t>
            </w:r>
            <w:r>
              <w:t>;</w:t>
            </w:r>
          </w:p>
        </w:tc>
        <w:tc>
          <w:tcPr>
            <w:tcW w:w="4876" w:type="dxa"/>
            <w:tcBorders>
              <w:top w:val="nil"/>
              <w:left w:val="nil"/>
              <w:bottom w:val="nil"/>
              <w:right w:val="nil"/>
            </w:tcBorders>
          </w:tcPr>
          <w:p>
            <w:pPr>
              <w:pStyle w:val="Normal6a"/>
            </w:pPr>
            <w:r>
              <w:t>12.</w:t>
            </w:r>
            <w:r>
              <w:tab/>
            </w:r>
            <w:r>
              <w:t xml:space="preserve">benadrukt de tijdige, volledige en getrouwe tenuitvoerlegging van de Bazel III-normen </w:t>
            </w:r>
            <w:r>
              <w:rPr>
                <w:b/>
                <w:i/>
              </w:rPr>
              <w:t>door uitsluitend internationaal actieve banken voor wie deze normen zijn ontworpen,</w:t>
            </w:r>
            <w:r>
              <w:t xml:space="preserve"> om de veerkracht en het concurrentievermogen te vergroten;</w:t>
            </w:r>
            <w:r>
              <w:rPr>
                <w:b/>
                <w:i/>
              </w:rPr>
              <w:t> </w:t>
            </w:r>
            <w:r>
              <w:t xml:space="preserve"> betreurt dat er afwijkingen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benadrukt de tijdige</w:t>
            </w:r>
            <w:r>
              <w:rPr>
                <w:b/>
                <w:i/>
              </w:rPr>
              <w:t>, volledige</w:t>
            </w:r>
            <w:r>
              <w:t xml:space="preserve"> en getrouwe tenuitvoerlegging van de Bazel III-normen om de veerkracht en het concurrentievermogen te vergroten; </w:t>
            </w:r>
            <w:r>
              <w:rPr>
                <w:b/>
                <w:i/>
              </w:rPr>
              <w:t>betreurt dat er afwijkingen zijn en</w:t>
            </w:r>
            <w:r>
              <w:t xml:space="preserve"> verzoekt de Commissie </w:t>
            </w:r>
            <w:r>
              <w:rPr>
                <w:b/>
                <w:i/>
              </w:rPr>
              <w:t>om een herziening van</w:t>
            </w:r>
            <w:r>
              <w:t xml:space="preserve"> de gelijkwaardigheidsbesluiten met betrekking tot de rechtsgebieden die de </w:t>
            </w:r>
            <w:r>
              <w:rPr>
                <w:b/>
                <w:i/>
              </w:rPr>
              <w:t>normen</w:t>
            </w:r>
            <w:r>
              <w:t xml:space="preserve"> niet toepassen;</w:t>
            </w:r>
          </w:p>
        </w:tc>
        <w:tc>
          <w:tcPr>
            <w:tcW w:w="4876" w:type="dxa"/>
            <w:tcBorders>
              <w:top w:val="nil"/>
              <w:left w:val="nil"/>
              <w:bottom w:val="nil"/>
              <w:right w:val="nil"/>
            </w:tcBorders>
          </w:tcPr>
          <w:p>
            <w:pPr>
              <w:pStyle w:val="Normal6a"/>
            </w:pPr>
            <w:r>
              <w:t>12.</w:t>
            </w:r>
            <w:r>
              <w:tab/>
            </w:r>
            <w:r>
              <w:t xml:space="preserve">benadrukt de tijdige en getrouwe tenuitvoerlegging van de Bazel III-normen om de veerkracht en het concurrentievermogen te vergroten; </w:t>
            </w:r>
            <w:r>
              <w:rPr>
                <w:b/>
                <w:i/>
              </w:rPr>
              <w:t>wijst op het huidige gebrek aan duidelijkheid over de toepassing van de Bazel III-normen in sommige andere rechtsgebieden en het mogelijke risico voor het internationale gelijke speelveld;</w:t>
            </w:r>
            <w:r>
              <w:t xml:space="preserve"> </w:t>
            </w:r>
            <w:r>
              <w:rPr>
                <w:b/>
                <w:i/>
              </w:rPr>
              <w:t>benadrukt dat de Commissie moet beoordelen of gerichte veranderingen kunnen bijdragen tot het behoud van het internationale concurrentievermogen van EU-banken zonder hun veerkracht te verzwakken;</w:t>
            </w:r>
            <w:r>
              <w:t xml:space="preserve"> verzoekt de Commissie </w:t>
            </w:r>
            <w:r>
              <w:rPr>
                <w:b/>
                <w:i/>
              </w:rPr>
              <w:t>na te gaan of</w:t>
            </w:r>
            <w:r>
              <w:t xml:space="preserve"> de gelijkwaardigheidsbesluiten </w:t>
            </w:r>
            <w:r>
              <w:rPr>
                <w:b/>
                <w:i/>
              </w:rPr>
              <w:t>die zijn genomen</w:t>
            </w:r>
            <w:r>
              <w:t xml:space="preserve"> met betrekking tot de rechtsgebieden die de </w:t>
            </w:r>
            <w:r>
              <w:rPr>
                <w:b/>
                <w:i/>
              </w:rPr>
              <w:t>Bazel III-normen</w:t>
            </w:r>
            <w:r>
              <w:t xml:space="preserve"> niet toepassen</w:t>
            </w:r>
            <w:r>
              <w:rPr>
                <w:b/>
                <w:i/>
              </w:rPr>
              <w:t>, moeten worden herzien om de financiële stabiliteit van de financiële sector in de EU te vrijwaren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benadrukt de tijdige, volledige en getrouwe tenuitvoerlegging van de Bazel III-normen </w:t>
            </w:r>
            <w:r>
              <w:rPr>
                <w:b/>
                <w:i/>
              </w:rPr>
              <w:t>om</w:t>
            </w:r>
            <w:r>
              <w:t xml:space="preserve"> de veerkracht en het concurrentievermogen </w:t>
            </w:r>
            <w:r>
              <w:rPr>
                <w:b/>
                <w:i/>
              </w:rPr>
              <w:t>te</w:t>
            </w:r>
            <w:r>
              <w:t xml:space="preserve"> vergroten; betreurt dat er afwijkingen zijn en verzoekt de Commissie om een herziening van de gelijkwaardigheidsbesluiten met </w:t>
            </w:r>
            <w:r>
              <w:rPr>
                <w:b/>
                <w:i/>
              </w:rPr>
              <w:t>betrekking tot de</w:t>
            </w:r>
            <w:r>
              <w:t xml:space="preserve"> rechtsgebieden die de normen niet toepassen;</w:t>
            </w:r>
          </w:p>
        </w:tc>
        <w:tc>
          <w:tcPr>
            <w:tcW w:w="4876" w:type="dxa"/>
            <w:tcBorders>
              <w:top w:val="nil"/>
              <w:left w:val="nil"/>
              <w:bottom w:val="nil"/>
              <w:right w:val="nil"/>
            </w:tcBorders>
          </w:tcPr>
          <w:p>
            <w:pPr>
              <w:pStyle w:val="Normal6a"/>
            </w:pPr>
            <w:r>
              <w:t>12.</w:t>
            </w:r>
            <w:r>
              <w:tab/>
            </w:r>
            <w:r>
              <w:t xml:space="preserve">benadrukt </w:t>
            </w:r>
            <w:r>
              <w:rPr>
                <w:b/>
                <w:i/>
              </w:rPr>
              <w:t>dat</w:t>
            </w:r>
            <w:r>
              <w:t xml:space="preserve"> de tijdige, volledige en getrouwe tenuitvoerlegging van de Bazel III-normen de veerkracht en het concurrentievermogen </w:t>
            </w:r>
            <w:r>
              <w:rPr>
                <w:b/>
                <w:i/>
              </w:rPr>
              <w:t>zal</w:t>
            </w:r>
            <w:r>
              <w:t xml:space="preserve"> vergroten; betreurt dat er afwijkingen zijn en verzoekt de Commissie om een herziening van de gelijkwaardigheidsbesluiten met rechtsgebieden die de normen niet toepassen; </w:t>
            </w:r>
            <w:r>
              <w:rPr>
                <w:b/>
                <w:i/>
              </w:rPr>
              <w:t>benadrukt tegelijkertijd dat de tenuitvoerlegging van de Bazel III-normen een wereldwijd gelijk speelveld in stand moet houden, waarbij overregulering door nationale autoriteiten bij de tenuitvoerlegging van de EU-regels van niveau 3 moet worden vermeden en onbedoelde gevolgen voor het vermogen van EU-banken om de reële economie te financieren, moeten worden voorkomen;</w:t>
            </w:r>
            <w:r>
              <w:t xml:space="preserve"> </w:t>
            </w:r>
            <w:r>
              <w:rPr>
                <w:b/>
                <w:i/>
              </w:rPr>
              <w:t>is in dit verband ingenomen met het initiatief van de Commissie om een verslag te publiceren over het concurrentievermogen en de integratie van de banksector in de EU en dringt aan op concrete voorstellen ter ondersteuning van de kredietverleningscapaciteit van banken, met name voor gezinnen, kmo’s en productieve particuliere en publieke investeringen, waar passend met inbegrip van maatregelen ter ondersteuning van het efficiënte gebruik van financieringsinstrumenten met een laag risico en op korte termijn, zoals factoring en handelsfinanciering;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benadrukt </w:t>
            </w:r>
            <w:r>
              <w:rPr>
                <w:b/>
                <w:i/>
              </w:rPr>
              <w:t>de tijdige, volledige en getrouwe tenuitvoerlegging van de</w:t>
            </w:r>
            <w:r>
              <w:t xml:space="preserve"> Bazel </w:t>
            </w:r>
            <w:r>
              <w:rPr>
                <w:b/>
                <w:i/>
              </w:rPr>
              <w:t>III-normen om</w:t>
            </w:r>
            <w:r>
              <w:t xml:space="preserve"> de veerkracht en het concurrentievermogen </w:t>
            </w:r>
            <w:r>
              <w:rPr>
                <w:b/>
                <w:i/>
              </w:rPr>
              <w:t>te vergroten;</w:t>
            </w:r>
            <w:r>
              <w:t xml:space="preserve"> </w:t>
            </w:r>
            <w:r>
              <w:rPr>
                <w:b/>
                <w:i/>
              </w:rPr>
              <w:t>betreurt dat er afwijkingen zijn en verzoekt de Commissie om een herziening</w:t>
            </w:r>
            <w:r>
              <w:t xml:space="preserve"> van de </w:t>
            </w:r>
            <w:r>
              <w:rPr>
                <w:b/>
                <w:i/>
              </w:rPr>
              <w:t>gelijkwaardigheidsbesluiten</w:t>
            </w:r>
            <w:r>
              <w:t xml:space="preserve"> met betrekking tot </w:t>
            </w:r>
            <w:r>
              <w:rPr>
                <w:b/>
                <w:i/>
              </w:rPr>
              <w:t>de</w:t>
            </w:r>
            <w:r>
              <w:t xml:space="preserve"> rechtsgebieden </w:t>
            </w:r>
            <w:r>
              <w:rPr>
                <w:b/>
                <w:i/>
              </w:rPr>
              <w:t>die de normen niet toepassen</w:t>
            </w:r>
            <w:r>
              <w:t>;</w:t>
            </w:r>
          </w:p>
        </w:tc>
        <w:tc>
          <w:tcPr>
            <w:tcW w:w="4876" w:type="dxa"/>
            <w:tcBorders>
              <w:top w:val="nil"/>
              <w:left w:val="nil"/>
              <w:bottom w:val="nil"/>
              <w:right w:val="nil"/>
            </w:tcBorders>
          </w:tcPr>
          <w:p>
            <w:pPr>
              <w:pStyle w:val="Normal6a"/>
            </w:pPr>
            <w:r>
              <w:t>12.</w:t>
            </w:r>
            <w:r>
              <w:tab/>
            </w:r>
            <w:r>
              <w:t xml:space="preserve">benadrukt </w:t>
            </w:r>
            <w:r>
              <w:rPr>
                <w:b/>
                <w:i/>
              </w:rPr>
              <w:t>dat financiële stabiliteit een randvoorwaarde is voor een doeltreffend monetair beleid en een veerkrachtig financieel stelsel;</w:t>
            </w:r>
            <w:r>
              <w:t xml:space="preserve"> </w:t>
            </w:r>
            <w:r>
              <w:rPr>
                <w:b/>
                <w:i/>
              </w:rPr>
              <w:t>is ingenomen met de voltooiing en uitvoering van het</w:t>
            </w:r>
            <w:r>
              <w:t xml:space="preserve"> Bazel </w:t>
            </w:r>
            <w:r>
              <w:rPr>
                <w:b/>
                <w:i/>
              </w:rPr>
              <w:t>III-kader, dat</w:t>
            </w:r>
            <w:r>
              <w:t xml:space="preserve"> de veerkracht en het concurrentievermogen </w:t>
            </w:r>
            <w:r>
              <w:rPr>
                <w:b/>
                <w:i/>
              </w:rPr>
              <w:t>in de EU zal versterken;</w:t>
            </w:r>
            <w:r>
              <w:t xml:space="preserve"> </w:t>
            </w:r>
            <w:r>
              <w:rPr>
                <w:b/>
                <w:i/>
              </w:rPr>
              <w:t>benadrukt het voortdurende gebrek aan duidelijkheid over de tenuitvoerlegging</w:t>
            </w:r>
            <w:r>
              <w:t xml:space="preserve"> van de </w:t>
            </w:r>
            <w:r>
              <w:rPr>
                <w:b/>
                <w:i/>
              </w:rPr>
              <w:t>Bazel III-normen in sommige andere rechtsgebieden en het risico van problemen</w:t>
            </w:r>
            <w:r>
              <w:t xml:space="preserve"> met betrekking tot </w:t>
            </w:r>
            <w:r>
              <w:rPr>
                <w:b/>
                <w:i/>
              </w:rPr>
              <w:t>het wereldwijde gelijke speelveld die hierdoor zouden kunnen ontstaan;</w:t>
            </w:r>
            <w:r>
              <w:t xml:space="preserve"> </w:t>
            </w:r>
            <w:r>
              <w:rPr>
                <w:b/>
                <w:i/>
              </w:rPr>
              <w:t>wijst erop dat het belangrijk is het juiste evenwicht te vinden tussen financiële stabiliteit, naleving van de internationale kaders en een internationaal gelijk speelveld, om ervoor te zorgen dat Europese banken op gelijke voet kunnen concurreren met banken uit andere</w:t>
            </w:r>
            <w:r>
              <w:t xml:space="preserve"> rechtsgebieden</w:t>
            </w:r>
            <w:r>
              <w:rPr>
                <w:b/>
                <w:i/>
              </w:rPr>
              <w:t>;</w:t>
            </w:r>
            <w:r>
              <w:t xml:space="preserve"> </w:t>
            </w:r>
            <w:r>
              <w:rPr>
                <w:b/>
                <w:i/>
              </w:rPr>
              <w:t>onderstreept dat het belangrijk is rekening te houden met Europese bijzonderheden om te zorgen voor een concurrerende Europese bankensector;</w:t>
            </w:r>
            <w:r>
              <w:t xml:space="preserve"> </w:t>
            </w:r>
            <w:r>
              <w:rPr>
                <w:b/>
                <w:i/>
              </w:rPr>
              <w:t>onderstreept het belang van een consistente en internationaal afgestemde uitvoering van de fundamentele herziening van de handelsportefeuille (Fundamental Review of the Trading Book, “FRTB”)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benadrukt de tijdige, volledige en getrouwe tenuitvoerlegging van de Bazel III-normen om de veerkracht en het concurrentievermogen te vergroten; </w:t>
            </w:r>
            <w:r>
              <w:rPr>
                <w:b/>
                <w:i/>
              </w:rPr>
              <w:t>betreurt dat er afwijkingen zijn en</w:t>
            </w:r>
            <w:r>
              <w:t xml:space="preserve"> verzoekt de Commissie </w:t>
            </w:r>
            <w:r>
              <w:rPr>
                <w:b/>
                <w:i/>
              </w:rPr>
              <w:t>om een herziening van de</w:t>
            </w:r>
            <w:r>
              <w:t xml:space="preserve"> gelijkwaardigheidsbesluiten met betrekking tot de rechtsgebieden die de normen niet toepassen;</w:t>
            </w:r>
          </w:p>
        </w:tc>
        <w:tc>
          <w:tcPr>
            <w:tcW w:w="4876" w:type="dxa"/>
            <w:tcBorders>
              <w:top w:val="nil"/>
              <w:left w:val="nil"/>
              <w:bottom w:val="nil"/>
              <w:right w:val="nil"/>
            </w:tcBorders>
          </w:tcPr>
          <w:p>
            <w:pPr>
              <w:pStyle w:val="Normal6a"/>
            </w:pPr>
            <w:r>
              <w:t>12.</w:t>
            </w:r>
            <w:r>
              <w:tab/>
            </w:r>
            <w:r>
              <w:t xml:space="preserve">benadrukt de tijdige, volledige en getrouwe tenuitvoerlegging van de Bazel III-normen om de veerkracht en het concurrentievermogen te vergroten; verzoekt de Commissie </w:t>
            </w:r>
            <w:r>
              <w:rPr>
                <w:b/>
                <w:i/>
              </w:rPr>
              <w:t>een consistente, risicogebaseerde beoordeling uit te voeren van</w:t>
            </w:r>
            <w:r>
              <w:t xml:space="preserve"> gelijkwaardigheidsbesluiten met betrekking tot de rechtsgebieden die de normen niet toepassen</w:t>
            </w:r>
            <w:r>
              <w:rPr>
                <w:b/>
                <w:i/>
              </w:rPr>
              <w:t>, en daarbij de mondiale concurrentievoorwaarden te waarborgen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benadrukt de tijdige, volledige en getrouwe tenuitvoerlegging van de Bazel III-normen om de veerkracht en het concurrentievermogen te vergroten; betreurt dat er afwijkingen zijn en verzoekt de Commissie om een herziening van de gelijkwaardigheidsbesluiten met betrekking tot de rechtsgebieden die de normen niet toepassen;</w:t>
            </w:r>
          </w:p>
        </w:tc>
        <w:tc>
          <w:tcPr>
            <w:tcW w:w="4876" w:type="dxa"/>
            <w:tcBorders>
              <w:top w:val="nil"/>
              <w:left w:val="nil"/>
              <w:bottom w:val="nil"/>
              <w:right w:val="nil"/>
            </w:tcBorders>
          </w:tcPr>
          <w:p>
            <w:pPr>
              <w:pStyle w:val="Normal6a"/>
            </w:pPr>
            <w:r>
              <w:t>12.</w:t>
            </w:r>
            <w:r>
              <w:tab/>
            </w:r>
            <w:r>
              <w:t>benadrukt de tijdige, volledige en getrouwe tenuitvoerlegging van de Bazel III-normen om de veerkracht en het concurrentievermogen te vergroten</w:t>
            </w:r>
            <w:r>
              <w:rPr>
                <w:b/>
                <w:i/>
              </w:rPr>
              <w:t>, met inbegrip van de fundamentele herziening van de handelsportefeuille (Fundamental Review of the Trading Book, “FRTB”);</w:t>
            </w:r>
            <w:r>
              <w:t xml:space="preserve"> </w:t>
            </w:r>
            <w:r>
              <w:rPr>
                <w:b/>
                <w:i/>
              </w:rPr>
              <w:t>herinnert eraan dat het GTM meermaals heeft herhaald dat de uitvoering van de FRTB de veerkracht van de banken in de EU zou versterken en hun concurrentievermogen niet zou ondermijnen</w:t>
            </w:r>
            <w:r>
              <w:t xml:space="preserve">; betreurt dat er afwijkingen zijn en verzoekt de Commissie om een herziening van de gelijkwaardigheidsbesluiten met betrekking tot de rechtsgebieden die de normen niet toepassen; </w:t>
            </w:r>
            <w:r>
              <w:rPr>
                <w:b/>
                <w:i/>
              </w:rPr>
              <w:t>benadrukt dat de EU zich tot dusver minder aan de Bazel-normen heeft gehouden dan sommige van haar internationale tegenhangers;</w:t>
            </w:r>
            <w:r>
              <w:t xml:space="preserve"> </w:t>
            </w:r>
            <w:r>
              <w:rPr>
                <w:b/>
                <w:i/>
              </w:rPr>
              <w:t>is van mening dat een gebrekkige tenuitvoerlegging in andere internationale rechtsgebieden de risico’s voor EU-banken vergroot en dat hiermee in het toezichtkader naar behoren rekening moet worden gehouden;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benadrukt de tijdige, volledige en getrouwe tenuitvoerlegging van de Bazel III-normen om de veerkracht en het concurrentievermogen te vergroten; betreurt dat er afwijkingen zijn en verzoekt de Commissie om een herziening van de gelijkwaardigheidsbesluiten met betrekking tot de rechtsgebieden die de normen niet toepassen;</w:t>
            </w:r>
          </w:p>
        </w:tc>
        <w:tc>
          <w:tcPr>
            <w:tcW w:w="4876" w:type="dxa"/>
            <w:tcBorders>
              <w:top w:val="nil"/>
              <w:left w:val="nil"/>
              <w:bottom w:val="nil"/>
              <w:right w:val="nil"/>
            </w:tcBorders>
          </w:tcPr>
          <w:p>
            <w:pPr>
              <w:pStyle w:val="Normal6a"/>
            </w:pPr>
            <w:r>
              <w:t>12.</w:t>
            </w:r>
            <w:r>
              <w:tab/>
            </w:r>
            <w:r>
              <w:t xml:space="preserve">benadrukt de tijdige, volledige en getrouwe tenuitvoerlegging van de Bazel III-normen om de veerkracht en het concurrentievermogen te vergroten; betreurt dat er afwijkingen zijn en verzoekt de Commissie om een herziening van de gelijkwaardigheidsbesluiten met betrekking tot de rechtsgebieden die de normen niet toepassen; </w:t>
            </w:r>
            <w:r>
              <w:rPr>
                <w:b/>
                <w:i/>
              </w:rPr>
              <w:t>onderstreept dat afwijkingen door de EU van de volledige tenuitvoerlegging van Bazel III, zoals gefaseerde aanpassingen en uitgestelde regels inzake marktrisico, zowel het concurrentievermogen als de financiële stabiliteit schaden, omdat deze regelgevingsarbitrage en inconsistente risicoweging mogelijk maken;</w:t>
            </w:r>
            <w:r>
              <w:t xml:space="preserve"> </w:t>
            </w:r>
            <w:r>
              <w:rPr>
                <w:b/>
                <w:i/>
              </w:rPr>
              <w:t>is van mening dat er snel een einde moet komen aan deze afwijkingen, zodat de banken in de EU op één lijn worden gebracht met die in de rest van de wereld;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merkt op dat banken steeds vaker te maken krijgen met niet-bancaire financiële intermediairs, wat leidt tot een breed scala aan risico’s, variërend van liquiditeits- tot tegenpartijrisico’s;</w:t>
            </w:r>
            <w:r>
              <w:t xml:space="preserve"> </w:t>
            </w:r>
            <w:r>
              <w:rPr>
                <w:b/>
                <w:i/>
              </w:rPr>
              <w:t>benadrukt de noodzaak van uitgebreid Europees toezicht op de sector van niet-bancaire financiële bemiddeling;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neemt nota van de bevindingen van de ECB, waaruit naar voren komt dat hoge kapitaalvereisten het concurrentievermogen van banken niet afremmen, maar eerder de veerkracht en het vermogen van banken waarborgen zodat deze de economie gedurende de hele cyclus kunnen financieren;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betreurt het feit dat steeds meer bankfilialen worden gesloten, wat gevolgen heeft voor kwetsbare en perifere gemeenschappen;</w:t>
            </w:r>
            <w:r>
              <w:t xml:space="preserve"> </w:t>
            </w:r>
            <w:r>
              <w:rPr>
                <w:b/>
                <w:i/>
              </w:rPr>
              <w:t>onderstreept de rol van kleinere banken bij de toegang tot diensten voor huishoudens;</w:t>
            </w:r>
            <w:r>
              <w:t xml:space="preserve"> </w:t>
            </w:r>
            <w:r>
              <w:rPr>
                <w:b/>
                <w:i/>
              </w:rPr>
              <w:t>merkt met bezorgdheid op dat er banen verloren gaan als gevolg van AI;</w:t>
            </w:r>
            <w:r>
              <w:t xml:space="preserve"> </w:t>
            </w:r>
            <w:r>
              <w:rPr>
                <w:b/>
                <w:i/>
              </w:rPr>
              <w:t>benadrukt dat het nodig is om de kwaliteit van banen, eerlijke voorwaarden en gelijke toegang tot banken te waarborgen;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betreurt</w:t>
            </w:r>
            <w:r>
              <w:t xml:space="preserve"> het feit dat steeds meer bankfilialen worden gesloten</w:t>
            </w:r>
            <w:r>
              <w:rPr>
                <w:b/>
                <w:i/>
              </w:rPr>
              <w:t>, wat gevolgen heeft voor kwetsbare en perifere gemeenschappen</w:t>
            </w:r>
            <w:r>
              <w:t>; onderstreept de rol van kleinere banken bij de toegang tot diensten voor huishoudens</w:t>
            </w:r>
            <w:r>
              <w:rPr>
                <w:b/>
                <w:i/>
              </w:rPr>
              <w:t>;</w:t>
            </w:r>
            <w:r>
              <w:t xml:space="preserve"> </w:t>
            </w:r>
            <w:r>
              <w:rPr>
                <w:b/>
                <w:i/>
              </w:rPr>
              <w:t>merkt met bezorgdheid op dat er banen verloren gaan als gevolg van AI</w:t>
            </w:r>
            <w:r>
              <w:t xml:space="preserve">; benadrukt dat het nodig is </w:t>
            </w:r>
            <w:r>
              <w:rPr>
                <w:b/>
                <w:i/>
              </w:rPr>
              <w:t>om de kwaliteit van banen, eerlijke voorwaarden en gelijke toegang tot</w:t>
            </w:r>
            <w:r>
              <w:t xml:space="preserve"> banken </w:t>
            </w:r>
            <w:r>
              <w:rPr>
                <w:b/>
                <w:i/>
              </w:rPr>
              <w:t>te waarborgen</w:t>
            </w:r>
            <w:r>
              <w:t>;</w:t>
            </w:r>
          </w:p>
        </w:tc>
        <w:tc>
          <w:tcPr>
            <w:tcW w:w="4876" w:type="dxa"/>
            <w:tcBorders>
              <w:top w:val="nil"/>
              <w:left w:val="nil"/>
              <w:bottom w:val="nil"/>
              <w:right w:val="nil"/>
            </w:tcBorders>
          </w:tcPr>
          <w:p>
            <w:pPr>
              <w:pStyle w:val="Normal6a"/>
            </w:pPr>
            <w:r>
              <w:t>13.</w:t>
            </w:r>
            <w:r>
              <w:tab/>
            </w:r>
            <w:r>
              <w:rPr>
                <w:b/>
                <w:i/>
              </w:rPr>
              <w:t>neemt nota van</w:t>
            </w:r>
            <w:r>
              <w:t xml:space="preserve"> het feit dat steeds meer bankfilialen worden gesloten; onderstreept de rol van kleinere banken bij de toegang tot diensten voor huishoudens </w:t>
            </w:r>
            <w:r>
              <w:rPr>
                <w:b/>
                <w:i/>
              </w:rPr>
              <w:t>en lokale bedrijven</w:t>
            </w:r>
            <w:r>
              <w:t xml:space="preserve">; benadrukt dat het nodig is </w:t>
            </w:r>
            <w:r>
              <w:rPr>
                <w:b/>
                <w:i/>
              </w:rPr>
              <w:t>de toezichts- en prudentiële regelgeving af te stemmen op de omvang, de complexiteit en het risicoprofiel van kleinere</w:t>
            </w:r>
            <w:r>
              <w:t xml:space="preserve"> banken</w:t>
            </w:r>
            <w:r>
              <w:rPr>
                <w:b/>
                <w:i/>
              </w:rPr>
              <w:t>, in overeenstemming met het evenredigheidsbeginsel, om de onnodige regeldruk weg te nemen die ze eraan hindert te groeien, te concurreren en de reële economie te blijven dienen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betreurt</w:t>
            </w:r>
            <w:r>
              <w:t xml:space="preserve"> het feit dat steeds meer bankfilialen worden gesloten, </w:t>
            </w:r>
            <w:r>
              <w:rPr>
                <w:b/>
                <w:i/>
              </w:rPr>
              <w:t>wat</w:t>
            </w:r>
            <w:r>
              <w:t xml:space="preserve"> gevolgen </w:t>
            </w:r>
            <w:r>
              <w:rPr>
                <w:b/>
                <w:i/>
              </w:rPr>
              <w:t>heeft</w:t>
            </w:r>
            <w:r>
              <w:t xml:space="preserve"> voor kwetsbare en perifere gemeenschappen; onderstreept de rol van kleinere banken bij de toegang tot diensten voor huishoudens; merkt met bezorgdheid op dat er banen verloren gaan als gevolg van AI; benadrukt dat het nodig is om de kwaliteit van banen, eerlijke voorwaarden en gelijke toegang tot banken te waarborgen;</w:t>
            </w:r>
          </w:p>
        </w:tc>
        <w:tc>
          <w:tcPr>
            <w:tcW w:w="4876" w:type="dxa"/>
            <w:tcBorders>
              <w:top w:val="nil"/>
              <w:left w:val="nil"/>
              <w:bottom w:val="nil"/>
              <w:right w:val="nil"/>
            </w:tcBorders>
          </w:tcPr>
          <w:p>
            <w:pPr>
              <w:pStyle w:val="Normal6a"/>
            </w:pPr>
            <w:r>
              <w:t>13.</w:t>
            </w:r>
            <w:r>
              <w:tab/>
            </w:r>
            <w:r>
              <w:rPr>
                <w:b/>
                <w:i/>
              </w:rPr>
              <w:t>neemt nota van</w:t>
            </w:r>
            <w:r>
              <w:t xml:space="preserve"> het feit dat steeds meer bankfilialen worden gesloten, </w:t>
            </w:r>
            <w:r>
              <w:rPr>
                <w:b/>
                <w:i/>
              </w:rPr>
              <w:t>dat in verschillende lidstaten in uiteenlopende mate gebeurt;</w:t>
            </w:r>
            <w:r>
              <w:t xml:space="preserve"> </w:t>
            </w:r>
            <w:r>
              <w:rPr>
                <w:b/>
                <w:i/>
              </w:rPr>
              <w:t>erkent de mogelijke aanzienlijke</w:t>
            </w:r>
            <w:r>
              <w:t xml:space="preserve"> gevolgen </w:t>
            </w:r>
            <w:r>
              <w:rPr>
                <w:b/>
                <w:i/>
              </w:rPr>
              <w:t>die deze sluitingen kunnen hebben</w:t>
            </w:r>
            <w:r>
              <w:t xml:space="preserve"> voor kwetsbare en perifere gemeenschappen</w:t>
            </w:r>
            <w:r>
              <w:rPr>
                <w:b/>
                <w:i/>
              </w:rPr>
              <w:t>, maar wijst ook op voorbeelden van innovatie die sommige gebruikers in staat stelt dankzij technologische ontwikkelingen op afstand betere diensten te krijgen;</w:t>
            </w:r>
            <w:r>
              <w:t xml:space="preserve"> </w:t>
            </w:r>
            <w:r>
              <w:rPr>
                <w:b/>
                <w:i/>
              </w:rPr>
              <w:t>haalt voorbeelden van verschillende banken aan die zowel in plattelands- als stedelijke gebieden samenwerken om fysieke bankdiensten aan klanten te verlenen ondanks het feit dat sommige bankfilialen zijn gesloten</w:t>
            </w:r>
            <w:r>
              <w:t xml:space="preserve">; onderstreept de rol van kleinere banken bij de toegang tot diensten voor huishoudens; </w:t>
            </w:r>
            <w:r>
              <w:rPr>
                <w:b/>
                <w:i/>
              </w:rPr>
              <w:t>wijst op de bijdragen van grotere banken aan het concurrentievermogen en de financiering van de Europese economie;</w:t>
            </w:r>
            <w:r>
              <w:t xml:space="preserve"> merkt met bezorgdheid op dat er banen verloren gaan als gevolg van AI </w:t>
            </w:r>
            <w:r>
              <w:rPr>
                <w:b/>
                <w:i/>
              </w:rPr>
              <w:t>en neemt nota van de potentiële gevaren in verband met AI die leiden tot risicoconcentratie op de balans van banken</w:t>
            </w:r>
            <w:r>
              <w:t xml:space="preserve">; benadrukt dat het nodig is om </w:t>
            </w:r>
            <w:r>
              <w:rPr>
                <w:b/>
                <w:i/>
              </w:rPr>
              <w:t>hoogwaardig risicobeheer,</w:t>
            </w:r>
            <w:r>
              <w:t xml:space="preserve"> de kwaliteit van banen, eerlijke voorwaarden en gelijke toegang tot banken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betreurt het feit dat steeds meer bankfilialen worden gesloten, wat gevolgen heeft voor kwetsbare en perifere gemeenschappen; onderstreept de rol van kleinere banken bij </w:t>
            </w:r>
            <w:r>
              <w:rPr>
                <w:b/>
                <w:i/>
              </w:rPr>
              <w:t>de</w:t>
            </w:r>
            <w:r>
              <w:t xml:space="preserve"> toegang tot diensten voor huishoudens</w:t>
            </w:r>
            <w:r>
              <w:rPr>
                <w:b/>
                <w:i/>
              </w:rPr>
              <w:t>;</w:t>
            </w:r>
            <w:r>
              <w:t xml:space="preserve"> </w:t>
            </w:r>
            <w:r>
              <w:rPr>
                <w:b/>
                <w:i/>
              </w:rPr>
              <w:t>merkt met bezorgdheid op dat er banen verloren gaan als gevolg van AI;</w:t>
            </w:r>
            <w:r>
              <w:t xml:space="preserve"> benadrukt dat het nodig is om de </w:t>
            </w:r>
            <w:r>
              <w:rPr>
                <w:b/>
                <w:i/>
              </w:rPr>
              <w:t>kwaliteit van banen, eerlijke voorwaarden en gelijke toegang tot</w:t>
            </w:r>
            <w:r>
              <w:t xml:space="preserve"> banken </w:t>
            </w:r>
            <w:r>
              <w:rPr>
                <w:b/>
                <w:i/>
              </w:rPr>
              <w:t>te waarborgen</w:t>
            </w:r>
            <w:r>
              <w:t>;</w:t>
            </w:r>
          </w:p>
        </w:tc>
        <w:tc>
          <w:tcPr>
            <w:tcW w:w="4876" w:type="dxa"/>
            <w:tcBorders>
              <w:top w:val="nil"/>
              <w:left w:val="nil"/>
              <w:bottom w:val="nil"/>
              <w:right w:val="nil"/>
            </w:tcBorders>
          </w:tcPr>
          <w:p>
            <w:pPr>
              <w:pStyle w:val="Normal6a"/>
            </w:pPr>
            <w:r>
              <w:t>13.</w:t>
            </w:r>
            <w:r>
              <w:tab/>
            </w:r>
            <w:r>
              <w:t xml:space="preserve">betreurt het feit dat steeds meer bankfilialen worden gesloten, wat gevolgen heeft voor kwetsbare en perifere gemeenschappen; </w:t>
            </w:r>
            <w:r>
              <w:rPr>
                <w:b/>
                <w:i/>
              </w:rPr>
              <w:t>wijst erop dat deze trend ten minste gedeeltelijk te wijten is aan buitensporige regeldruk;</w:t>
            </w:r>
            <w:r>
              <w:t xml:space="preserve"> onderstreept de rol van kleinere banken bij </w:t>
            </w:r>
            <w:r>
              <w:rPr>
                <w:b/>
                <w:i/>
              </w:rPr>
              <w:t>het bieden van</w:t>
            </w:r>
            <w:r>
              <w:t xml:space="preserve"> toegang tot diensten voor huishoudens </w:t>
            </w:r>
            <w:r>
              <w:rPr>
                <w:b/>
                <w:i/>
              </w:rPr>
              <w:t>en</w:t>
            </w:r>
            <w:r>
              <w:t xml:space="preserve"> benadrukt dat het nodig is om de </w:t>
            </w:r>
            <w:r>
              <w:rPr>
                <w:b/>
                <w:i/>
              </w:rPr>
              <w:t>regeling voor kleine</w:t>
            </w:r>
            <w:r>
              <w:t xml:space="preserve"> banken </w:t>
            </w:r>
            <w:r>
              <w:rPr>
                <w:b/>
                <w:i/>
              </w:rPr>
              <w:t>verder te ontwikkelen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betreurt het feit dat steeds meer bankfilialen worden gesloten, wat gevolgen heeft voor kwetsbare en perifere gemeenschappen; onderstreept de rol van kleinere banken bij de toegang tot diensten voor huishoudens; merkt met bezorgdheid op dat er banen verloren gaan als gevolg van AI; benadrukt dat het nodig is om de kwaliteit van banen, eerlijke voorwaarden en gelijke toegang tot banken te waarborgen;</w:t>
            </w:r>
          </w:p>
        </w:tc>
        <w:tc>
          <w:tcPr>
            <w:tcW w:w="4876" w:type="dxa"/>
            <w:tcBorders>
              <w:top w:val="nil"/>
              <w:left w:val="nil"/>
              <w:bottom w:val="nil"/>
              <w:right w:val="nil"/>
            </w:tcBorders>
          </w:tcPr>
          <w:p>
            <w:pPr>
              <w:pStyle w:val="Normal6a"/>
            </w:pPr>
            <w:r>
              <w:t>13.</w:t>
            </w:r>
            <w:r>
              <w:tab/>
            </w:r>
            <w:r>
              <w:t xml:space="preserve">betreurt het feit dat steeds meer bankfilialen worden gesloten, wat gevolgen heeft voor kwetsbare en perifere gemeenschappen; </w:t>
            </w:r>
            <w:r>
              <w:rPr>
                <w:b/>
                <w:i/>
              </w:rPr>
              <w:t>herinnert aan het recht van burgers op toegang tot financiële basisdiensten;</w:t>
            </w:r>
            <w:r>
              <w:t xml:space="preserve"> onderstreept de rol van kleinere banken bij de toegang tot diensten voor huishoudens; </w:t>
            </w:r>
            <w:r>
              <w:rPr>
                <w:b/>
                <w:i/>
              </w:rPr>
              <w:t>benadrukt dat de diversiteit van de bedrijfsmodellen van banken de veerkracht van het financiële stelsel vergroot;</w:t>
            </w:r>
            <w:r>
              <w:t xml:space="preserve"> merkt met bezorgdheid op dat er banen verloren gaan als gevolg van AI</w:t>
            </w:r>
            <w:r>
              <w:rPr>
                <w:b/>
                <w:i/>
              </w:rPr>
              <w:t>;</w:t>
            </w:r>
            <w:r>
              <w:t xml:space="preserve"> </w:t>
            </w:r>
            <w:r>
              <w:rPr>
                <w:b/>
                <w:i/>
              </w:rPr>
              <w:t>verzoekt kredietinstellingen een omscholingsbeleid uit te voeren en te zorgen voor menselijk toezicht bij geautomatiseerde besluiten</w:t>
            </w:r>
            <w:r>
              <w:t>; benadrukt dat het nodig is om de kwaliteit van banen, eerlijke voorwaarden en gelijke toegang tot banken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betreurt het feit dat steeds meer bankfilialen worden gesloten, wat gevolgen heeft voor kwetsbare </w:t>
            </w:r>
            <w:r>
              <w:rPr>
                <w:b/>
                <w:i/>
              </w:rPr>
              <w:t>en perifere</w:t>
            </w:r>
            <w:r>
              <w:t xml:space="preserve"> gemeenschappen; onderstreept de rol van kleinere banken bij de toegang tot diensten voor huishoudens; </w:t>
            </w:r>
            <w:r>
              <w:rPr>
                <w:b/>
                <w:i/>
              </w:rPr>
              <w:t>merkt met bezorgdheid op dat er banen verloren gaan als gevolg van AI;</w:t>
            </w:r>
            <w:r>
              <w:t xml:space="preserve"> benadrukt </w:t>
            </w:r>
            <w:r>
              <w:rPr>
                <w:b/>
                <w:i/>
              </w:rPr>
              <w:t>dat het nodig is om</w:t>
            </w:r>
            <w:r>
              <w:t xml:space="preserve"> de kwaliteit van banen, eerlijke voorwaarden en gelijke toegang tot banken te waarborgen;</w:t>
            </w:r>
          </w:p>
        </w:tc>
        <w:tc>
          <w:tcPr>
            <w:tcW w:w="4876" w:type="dxa"/>
            <w:tcBorders>
              <w:top w:val="nil"/>
              <w:left w:val="nil"/>
              <w:bottom w:val="nil"/>
              <w:right w:val="nil"/>
            </w:tcBorders>
          </w:tcPr>
          <w:p>
            <w:pPr>
              <w:pStyle w:val="Normal6a"/>
            </w:pPr>
            <w:r>
              <w:t>13.</w:t>
            </w:r>
            <w:r>
              <w:tab/>
            </w:r>
            <w:r>
              <w:t xml:space="preserve">betreurt het feit dat </w:t>
            </w:r>
            <w:r>
              <w:rPr>
                <w:b/>
                <w:i/>
              </w:rPr>
              <w:t>in plattelandsgebieden</w:t>
            </w:r>
            <w:r>
              <w:t xml:space="preserve"> steeds meer bankfilialen worden gesloten, wat gevolgen heeft voor kwetsbare gemeenschappen; onderstreept de rol van kleinere banken bij de toegang tot diensten voor huishoudens; benadrukt </w:t>
            </w:r>
            <w:r>
              <w:rPr>
                <w:b/>
                <w:i/>
              </w:rPr>
              <w:t>het belang van digitalisering en artificiële intelligentie voor het versterken van de doeltreffendheid van de banksector, zoals het stroomlijnen van activiteiten, het verlagen van kosten en het verbeteren van de snelheid en kwaliteit van de klantenservice, en tegelijkertijd</w:t>
            </w:r>
            <w:r>
              <w:t xml:space="preserve"> de kwaliteit van banen, eerlijke voorwaarden en gelijke toegang tot banken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betreurt het feit dat steeds meer bankfilialen worden gesloten, wat gevolgen heeft voor kwetsbare en perifere gemeenschappen; onderstreept de rol van kleinere banken bij de toegang tot diensten voor huishoudens; merkt met bezorgdheid op dat er banen verloren gaan als gevolg van AI; benadrukt dat het nodig is om de kwaliteit van banen, eerlijke voorwaarden en gelijke toegang tot banken te waarborgen;</w:t>
            </w:r>
          </w:p>
        </w:tc>
        <w:tc>
          <w:tcPr>
            <w:tcW w:w="4876" w:type="dxa"/>
            <w:tcBorders>
              <w:top w:val="nil"/>
              <w:left w:val="nil"/>
              <w:bottom w:val="nil"/>
              <w:right w:val="nil"/>
            </w:tcBorders>
          </w:tcPr>
          <w:p>
            <w:pPr>
              <w:pStyle w:val="Normal6a"/>
            </w:pPr>
            <w:r>
              <w:t>13.</w:t>
            </w:r>
            <w:r>
              <w:tab/>
            </w:r>
            <w:r>
              <w:t>betreurt het feit dat steeds meer bankfilialen worden gesloten, wat gevolgen heeft voor kwetsbare en perifere gemeenschappen</w:t>
            </w:r>
            <w:r>
              <w:rPr>
                <w:b/>
                <w:i/>
              </w:rPr>
              <w:t>, onder meer als gevolg van toenemende regeldruk</w:t>
            </w:r>
            <w:r>
              <w:t xml:space="preserve">; onderstreept de rol van kleinere banken bij de toegang tot diensten voor huishoudens; merkt met bezorgdheid op dat er banen verloren gaan als gevolg van AI; benadrukt dat het nodig is om de kwaliteit van banen, eerlijke voorwaarden en gelijke toegang tot banken te waarborgen; </w:t>
            </w:r>
            <w:r>
              <w:rPr>
                <w:b/>
                <w:i/>
              </w:rPr>
              <w:t>is ingenomen met de benadering om een regeling voor kleine banken in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betreurt het feit dat steeds meer bankfilialen worden gesloten, wat gevolgen heeft voor kwetsbare en perifere gemeenschappen; onderstreept de rol van kleinere banken bij de toegang tot diensten voor huishoudens; merkt met bezorgdheid op dat er banen verloren gaan als gevolg van AI; benadrukt dat het nodig is om de kwaliteit van banen, eerlijke voorwaarden en gelijke toegang tot banken te waarborgen;</w:t>
            </w:r>
          </w:p>
        </w:tc>
        <w:tc>
          <w:tcPr>
            <w:tcW w:w="4876" w:type="dxa"/>
            <w:tcBorders>
              <w:top w:val="nil"/>
              <w:left w:val="nil"/>
              <w:bottom w:val="nil"/>
              <w:right w:val="nil"/>
            </w:tcBorders>
          </w:tcPr>
          <w:p>
            <w:pPr>
              <w:pStyle w:val="Normal6a"/>
            </w:pPr>
            <w:r>
              <w:t>13.</w:t>
            </w:r>
            <w:r>
              <w:tab/>
            </w:r>
            <w:r>
              <w:t>betreurt het feit dat steeds meer bankfilialen worden gesloten, wat gevolgen heeft voor kwetsbare en perifere gemeenschappen</w:t>
            </w:r>
            <w:r>
              <w:rPr>
                <w:b/>
                <w:i/>
              </w:rPr>
              <w:t>, deels als gevolg van toenemende regeldruk</w:t>
            </w:r>
            <w:r>
              <w:t xml:space="preserve">; onderstreept de rol van kleinere banken bij de toegang tot diensten voor huishoudens; merkt met bezorgdheid op dat er banen verloren gaan als gevolg van AI; benadrukt dat het nodig is om de kwaliteit van banen, eerlijke voorwaarden en gelijke toegang tot banken te waarborgen; </w:t>
            </w:r>
            <w:r>
              <w:rPr>
                <w:b/>
                <w:i/>
              </w:rPr>
              <w:t>is ingenomen met de benadering om een regeling voor kleine banken in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betreurt het feit dat steeds meer bankfilialen worden gesloten, </w:t>
            </w:r>
            <w:r>
              <w:rPr>
                <w:b/>
                <w:i/>
              </w:rPr>
              <w:t>wat gevolgen heeft voor</w:t>
            </w:r>
            <w:r>
              <w:t xml:space="preserve"> kwetsbare en perifere gemeenschappen; onderstreept de rol van kleinere banken bij de toegang tot diensten voor huishoudens; merkt met bezorgdheid op dat er banen verloren gaan als gevolg van AI; benadrukt dat het nodig is om de kwaliteit van banen, eerlijke voorwaarden en gelijke toegang tot banken te waarborgen;</w:t>
            </w:r>
          </w:p>
        </w:tc>
        <w:tc>
          <w:tcPr>
            <w:tcW w:w="4876" w:type="dxa"/>
            <w:tcBorders>
              <w:top w:val="nil"/>
              <w:left w:val="nil"/>
              <w:bottom w:val="nil"/>
              <w:right w:val="nil"/>
            </w:tcBorders>
          </w:tcPr>
          <w:p>
            <w:pPr>
              <w:pStyle w:val="Normal6a"/>
            </w:pPr>
            <w:r>
              <w:t>13.</w:t>
            </w:r>
            <w:r>
              <w:tab/>
            </w:r>
            <w:r>
              <w:t xml:space="preserve">betreurt het feit dat steeds meer bankfilialen worden gesloten, </w:t>
            </w:r>
            <w:r>
              <w:rPr>
                <w:b/>
                <w:i/>
              </w:rPr>
              <w:t>deels als gevolg van toenemende regeldruk;</w:t>
            </w:r>
            <w:r>
              <w:t xml:space="preserve"> </w:t>
            </w:r>
            <w:r>
              <w:rPr>
                <w:b/>
                <w:i/>
              </w:rPr>
              <w:t>is in dit verband ingenomen met de benadering om een regeling voor kleine banken in te voeren;</w:t>
            </w:r>
            <w:r>
              <w:t xml:space="preserve"> </w:t>
            </w:r>
            <w:r>
              <w:rPr>
                <w:b/>
                <w:i/>
              </w:rPr>
              <w:t>merkt tevens op dat deze sluitingen</w:t>
            </w:r>
            <w:r>
              <w:t xml:space="preserve"> kwetsbare en perifere gemeenschappen </w:t>
            </w:r>
            <w:r>
              <w:rPr>
                <w:b/>
                <w:i/>
              </w:rPr>
              <w:t>onevenredig hard treffen</w:t>
            </w:r>
            <w:r>
              <w:t>; onderstreept de rol van kleinere banken bij de toegang tot diensten voor huishoudens; merkt met bezorgdheid op dat er banen verloren gaan als gevolg van AI; benadrukt dat het nodig is om de kwaliteit van banen, eerlijke voorwaarden en gelijke toegang tot banken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benadrukt de ernst van het probleem dat steeds meer bankfilialen sluiten en het daaruit voortvloeiende risico van “bankwoestijnvorming”, dat met name de meest kwetsbare burgers treft evenals de gebieden in de EU die het zwaarst door de digitale kloof worden getroffen;</w:t>
            </w:r>
            <w:r>
              <w:t xml:space="preserve"> </w:t>
            </w:r>
            <w:r>
              <w:rPr>
                <w:b/>
                <w:i/>
              </w:rPr>
              <w:t>benadrukt dat middelgrote en kleine banken van essentieel belang zijn om basisbankdiensten te waarborgen, met name in landelijke, bergachtige, landinwaarts gelegen, insulaire en ultraperifere gebieden van de EU, ter ondersteuning van gezinnen, kmo’s en lokale economieën;</w:t>
            </w:r>
            <w:r>
              <w:t xml:space="preserve"> </w:t>
            </w:r>
            <w:r>
              <w:rPr>
                <w:b/>
                <w:i/>
              </w:rPr>
              <w:t>benadrukt dat voor dergelijke instellingen, die een belangrijke sociaal-economische functie vervullen, de regeldruk moet worden verminderd, door bij het bankentoezicht het evenredigheidsbeginsel toe te passen;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neemt kennis van de structurele veranderingen in de bedrijfsmodellen van banken, waaronder die welke voortvloeien uit de digitalisering, en benadrukt hoe belangrijk het is ervoor te zorgen dat gezinnen en kmo’s toegang tot fundamentele financiële diensten behouden; </w:t>
            </w:r>
            <w:r>
              <w:t xml:space="preserve"> </w:t>
            </w:r>
            <w:r>
              <w:rPr>
                <w:b/>
                <w:i/>
              </w:rPr>
              <w:t>wijst op de rol die kleinere instellingen en nieuwe digitale kanalen in dit verband kunnen spelen;</w:t>
            </w:r>
            <w:r>
              <w:t xml:space="preserve"> </w:t>
            </w:r>
            <w:r>
              <w:rPr>
                <w:b/>
                <w:i/>
              </w:rPr>
              <w:t>wijst erop dat de invoering van nieuwe technologieën, waaronder kunstmatige intelligentie, op verantwoorde wijze moet worden beheerd, waarbij de aanpassing van vaardigheden en de productiviteit moeten worden bevorderd zonder de innovatie en het concurrentievermogen van de Europese financiële sector te belemmeren;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verzoekt de Europese Commissie te onderzoeken of het wenselijk is om initiatieven in te voeren om een minimale fysieke toegang tot financiële diensten te waarborgen, op uniforme wijze op het gehele grondgebied van de lidstaten, waarbij moet worden beoordeeld of de grotere winstgevendheid gedeeltelijk kan worden ingezet om netwerken van bankfilialen te ondersteunen, als reactie op het verschijnsel van bankwoestijnvorming;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erkent de risico’s en kansen in verband met </w:t>
            </w:r>
            <w:r>
              <w:rPr>
                <w:b/>
                <w:i/>
              </w:rPr>
              <w:t>cryptoactiva</w:t>
            </w:r>
            <w:r>
              <w:t xml:space="preserve">; dringt aan op </w:t>
            </w:r>
            <w:r>
              <w:rPr>
                <w:b/>
                <w:i/>
              </w:rPr>
              <w:t>consistent</w:t>
            </w:r>
            <w:r>
              <w:t xml:space="preserve"> toezicht </w:t>
            </w:r>
            <w:r>
              <w:rPr>
                <w:b/>
                <w:i/>
              </w:rPr>
              <w:t>om ervoor te zorgen dat</w:t>
            </w:r>
            <w:r>
              <w:t xml:space="preserve"> innovatie </w:t>
            </w:r>
            <w:r>
              <w:rPr>
                <w:b/>
                <w:i/>
              </w:rPr>
              <w:t>in het belang van het publiek is</w:t>
            </w:r>
            <w:r>
              <w:t>; verzoekt de EU en de nationale autoriteiten blootstellingen te monitoren, speculatieve risico’s aan te pakken, financiële criminaliteit te bestrijden en consumenten te beschermen;</w:t>
            </w:r>
          </w:p>
        </w:tc>
        <w:tc>
          <w:tcPr>
            <w:tcW w:w="4876" w:type="dxa"/>
            <w:tcBorders>
              <w:top w:val="nil"/>
              <w:left w:val="nil"/>
              <w:bottom w:val="nil"/>
              <w:right w:val="nil"/>
            </w:tcBorders>
          </w:tcPr>
          <w:p>
            <w:pPr>
              <w:pStyle w:val="Normal6a"/>
            </w:pPr>
            <w:r>
              <w:t>14.</w:t>
            </w:r>
            <w:r>
              <w:tab/>
            </w:r>
            <w:r>
              <w:t xml:space="preserve">erkent </w:t>
            </w:r>
            <w:r>
              <w:rPr>
                <w:b/>
                <w:i/>
              </w:rPr>
              <w:t>de tokenisering van</w:t>
            </w:r>
            <w:r>
              <w:t xml:space="preserve"> de risico’s en kansen in verband met </w:t>
            </w:r>
            <w:r>
              <w:rPr>
                <w:b/>
                <w:i/>
              </w:rPr>
              <w:t>financiële activa</w:t>
            </w:r>
            <w:r>
              <w:t xml:space="preserve">; dringt aan op </w:t>
            </w:r>
            <w:r>
              <w:rPr>
                <w:b/>
                <w:i/>
              </w:rPr>
              <w:t>een op beginselen gebaseerde en evenredige benadering van regelgeving en</w:t>
            </w:r>
            <w:r>
              <w:t xml:space="preserve"> toezicht </w:t>
            </w:r>
            <w:r>
              <w:rPr>
                <w:b/>
                <w:i/>
              </w:rPr>
              <w:t>die</w:t>
            </w:r>
            <w:r>
              <w:t xml:space="preserve"> innovatie </w:t>
            </w:r>
            <w:r>
              <w:rPr>
                <w:b/>
                <w:i/>
              </w:rPr>
              <w:t>niet in de weg staat</w:t>
            </w:r>
            <w:r>
              <w:t>; verzoekt de EU en de nationale autoriteiten blootstellingen te monitoren, speculatieve risico’s aan te pakken, financiële criminaliteit te bestrijden en consumenten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erkent</w:t>
            </w:r>
            <w:r>
              <w:t xml:space="preserve"> de risico’s </w:t>
            </w:r>
            <w:r>
              <w:rPr>
                <w:b/>
                <w:i/>
              </w:rPr>
              <w:t>en kansen</w:t>
            </w:r>
            <w:r>
              <w:t xml:space="preserve"> in verband met cryptoactiva; dringt aan op consistent toezicht om ervoor te zorgen dat innovatie in het belang van het publiek is; verzoekt de EU en de nationale autoriteiten blootstellingen te monitoren, </w:t>
            </w:r>
            <w:r>
              <w:rPr>
                <w:b/>
                <w:i/>
              </w:rPr>
              <w:t>speculatieve</w:t>
            </w:r>
            <w:r>
              <w:t xml:space="preserve"> risico’s aan te pakken, financiële criminaliteit te bestrijden en consumenten te beschermen;</w:t>
            </w:r>
          </w:p>
        </w:tc>
        <w:tc>
          <w:tcPr>
            <w:tcW w:w="4876" w:type="dxa"/>
            <w:tcBorders>
              <w:top w:val="nil"/>
              <w:left w:val="nil"/>
              <w:bottom w:val="nil"/>
              <w:right w:val="nil"/>
            </w:tcBorders>
          </w:tcPr>
          <w:p>
            <w:pPr>
              <w:pStyle w:val="Normal6a"/>
            </w:pPr>
            <w:r>
              <w:t>14.</w:t>
            </w:r>
            <w:r>
              <w:tab/>
            </w:r>
            <w:r>
              <w:rPr>
                <w:b/>
                <w:i/>
              </w:rPr>
              <w:t>benadrukt</w:t>
            </w:r>
            <w:r>
              <w:t xml:space="preserve"> de risico’s in verband met cryptoactiva; dringt aan op consistent toezicht om ervoor te zorgen dat innovatie in het belang van het publiek is; verzoekt de EU en de nationale autoriteiten blootstellingen te monitoren, risico’s aan te pakken</w:t>
            </w:r>
            <w:r>
              <w:rPr>
                <w:b/>
                <w:i/>
              </w:rPr>
              <w:t>, speculatief gedrag tegen te gaan</w:t>
            </w:r>
            <w:r>
              <w:t>, financiële criminaliteit te bestrijden en consumenten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erkent de</w:t>
            </w:r>
            <w:r>
              <w:t xml:space="preserve"> risico’s </w:t>
            </w:r>
            <w:r>
              <w:rPr>
                <w:b/>
                <w:i/>
              </w:rPr>
              <w:t>en kansen in verband met</w:t>
            </w:r>
            <w:r>
              <w:t xml:space="preserve"> cryptoactiva; dringt aan op consistent toezicht om ervoor te zorgen dat innovatie in het belang van het publiek is; verzoekt de EU en de nationale autoriteiten blootstellingen te monitoren, speculatieve risico’s aan te pakken, financiële criminaliteit te bestrijden en consumenten te beschermen;</w:t>
            </w:r>
          </w:p>
        </w:tc>
        <w:tc>
          <w:tcPr>
            <w:tcW w:w="4876" w:type="dxa"/>
            <w:tcBorders>
              <w:top w:val="nil"/>
              <w:left w:val="nil"/>
              <w:bottom w:val="nil"/>
              <w:right w:val="nil"/>
            </w:tcBorders>
          </w:tcPr>
          <w:p>
            <w:pPr>
              <w:pStyle w:val="Normal6a"/>
            </w:pPr>
            <w:r>
              <w:t>14.</w:t>
            </w:r>
            <w:r>
              <w:tab/>
            </w:r>
            <w:r>
              <w:rPr>
                <w:b/>
                <w:i/>
              </w:rPr>
              <w:t>onderstreept de specifieke</w:t>
            </w:r>
            <w:r>
              <w:t xml:space="preserve"> risico’s </w:t>
            </w:r>
            <w:r>
              <w:rPr>
                <w:b/>
                <w:i/>
              </w:rPr>
              <w:t>die uitgaan van</w:t>
            </w:r>
            <w:r>
              <w:t xml:space="preserve"> cryptoactiva</w:t>
            </w:r>
            <w:r>
              <w:rPr>
                <w:b/>
                <w:i/>
              </w:rPr>
              <w:t>;</w:t>
            </w:r>
            <w:r>
              <w:t xml:space="preserve"> </w:t>
            </w:r>
            <w:r>
              <w:rPr>
                <w:b/>
                <w:i/>
              </w:rPr>
              <w:t>herinnert eraan dat cryptoactiva zeer volatiele en onproductieve activa zijn die voornamelijk voor speculatieve doeleinden worden gebruikt</w:t>
            </w:r>
            <w:r>
              <w:t>; dringt aan op consistent toezicht om ervoor te zorgen dat innovatie in het belang van het publiek is; verzoekt de EU en de nationale autoriteiten blootstellingen te monitoren, speculatieve risico’s aan te pakken, financiële criminaliteit te bestrijden en consumenten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erkent de risico’s en kansen in verband met cryptoactiva; dringt aan op consistent toezicht </w:t>
            </w:r>
            <w:r>
              <w:rPr>
                <w:b/>
                <w:i/>
              </w:rPr>
              <w:t>om ervoor te zorgen dat innovatie in het belang van het publiek is</w:t>
            </w:r>
            <w:r>
              <w:t>; verzoekt de EU en de nationale autoriteiten blootstellingen te monitoren, speculatieve risico’s aan te pakken, financiële criminaliteit te bestrijden en consumenten te beschermen;</w:t>
            </w:r>
          </w:p>
        </w:tc>
        <w:tc>
          <w:tcPr>
            <w:tcW w:w="4876" w:type="dxa"/>
            <w:tcBorders>
              <w:top w:val="nil"/>
              <w:left w:val="nil"/>
              <w:bottom w:val="nil"/>
              <w:right w:val="nil"/>
            </w:tcBorders>
          </w:tcPr>
          <w:p>
            <w:pPr>
              <w:pStyle w:val="Normal6a"/>
            </w:pPr>
            <w:r>
              <w:t>14.</w:t>
            </w:r>
            <w:r>
              <w:tab/>
            </w:r>
            <w:r>
              <w:t xml:space="preserve">erkent de risico’s en kansen in verband met cryptoactiva; dringt aan op consistent </w:t>
            </w:r>
            <w:r>
              <w:rPr>
                <w:b/>
                <w:i/>
              </w:rPr>
              <w:t>en innovatievriendelijk</w:t>
            </w:r>
            <w:r>
              <w:t xml:space="preserve"> toezicht; verzoekt de EU en de nationale autoriteiten blootstellingen te monitoren, speculatieve risico’s aan te pakken, financiële criminaliteit te bestrijden en consumenten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erkent de risico’s en kansen in verband met cryptoactiva; dringt aan op </w:t>
            </w:r>
            <w:r>
              <w:rPr>
                <w:b/>
                <w:i/>
              </w:rPr>
              <w:t>consistent</w:t>
            </w:r>
            <w:r>
              <w:t xml:space="preserve"> toezicht om ervoor te zorgen dat innovatie in het belang van het publiek is; verzoekt de EU en de nationale autoriteiten blootstellingen te monitoren, speculatieve risico’s aan te pakken, financiële criminaliteit te bestrijden en consumenten te beschermen;</w:t>
            </w:r>
          </w:p>
        </w:tc>
        <w:tc>
          <w:tcPr>
            <w:tcW w:w="4876" w:type="dxa"/>
            <w:tcBorders>
              <w:top w:val="nil"/>
              <w:left w:val="nil"/>
              <w:bottom w:val="nil"/>
              <w:right w:val="nil"/>
            </w:tcBorders>
          </w:tcPr>
          <w:p>
            <w:pPr>
              <w:pStyle w:val="Normal6a"/>
            </w:pPr>
            <w:r>
              <w:t>14.</w:t>
            </w:r>
            <w:r>
              <w:tab/>
            </w:r>
            <w:r>
              <w:t xml:space="preserve">erkent de risico’s en kansen in verband met cryptoactiva; dringt aan op </w:t>
            </w:r>
            <w:r>
              <w:rPr>
                <w:b/>
                <w:i/>
              </w:rPr>
              <w:t>behoorlijk</w:t>
            </w:r>
            <w:r>
              <w:t xml:space="preserve"> toezicht om ervoor te zorgen dat innovatie in het belang van het publiek is; verzoekt de EU en de nationale autoriteiten blootstellingen te monitoren, speculatieve risico’s aan te pakken, financiële criminaliteit te bestrijden en consumenten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erkent de risico’s en kansen in verband met cryptoactiva; dringt aan op consistent toezicht om ervoor te zorgen dat innovatie in het belang van het publiek is; verzoekt de EU en de nationale autoriteiten blootstellingen te monitoren, speculatieve risico’s aan te pakken, financiële criminaliteit te bestrijden en consumenten te beschermen;</w:t>
            </w:r>
          </w:p>
        </w:tc>
        <w:tc>
          <w:tcPr>
            <w:tcW w:w="4876" w:type="dxa"/>
            <w:tcBorders>
              <w:top w:val="nil"/>
              <w:left w:val="nil"/>
              <w:bottom w:val="nil"/>
              <w:right w:val="nil"/>
            </w:tcBorders>
          </w:tcPr>
          <w:p>
            <w:pPr>
              <w:pStyle w:val="Normal6a"/>
            </w:pPr>
            <w:r>
              <w:t>14.</w:t>
            </w:r>
            <w:r>
              <w:tab/>
            </w:r>
            <w:r>
              <w:t xml:space="preserve">erkent de risico’s en kansen in verband met cryptoactiva; dringt aan op consistent toezicht om ervoor te zorgen dat innovatie in het belang van het publiek is; verzoekt de EU en de nationale autoriteiten blootstellingen te monitoren, speculatieve risico’s aan te pakken, financiële criminaliteit te bestrijden en consumenten te beschermen; </w:t>
            </w:r>
            <w:r>
              <w:rPr>
                <w:b/>
                <w:i/>
              </w:rPr>
              <w:t>onderstreept het belang van mondiale normen op dit gebied en de noodzaak om na te gaan hoe de ontwikkeling van in euro luidende stablecoins kan worden bevorderd om de monetaire soevereiniteit van de EU te behouden;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verzoekt de Commissie, de EBA en de nationale bevoegde autoriteiten binnen de bankenunie te zorgen voor de strikte, consistente en getrouwe uitvoering en handhaving van Verordening (EU) 2023/1114 (MiCA) als noodzakelijke aanvulling op het op banken gebaseerde kader voor financiële stabiliteit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erkent de risico’s die meervoudig uitgegeven stablecoins uit derde landen met zich meebrengen voor EU-banken en dat regelgevingsarbitrage tussen rechtsgebieden kan leiden tot runs op banken in de EU en overloopeffecten kan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ter.</w:t>
            </w:r>
            <w:r>
              <w:tab/>
            </w:r>
            <w:r>
              <w:rPr>
                <w:b/>
                <w:i/>
              </w:rPr>
              <w:t>verzoekt de Commissie, de EBA en de nationale bevoegde autoriteiten naar behoren rekening te houden met de adviezen en aanbevelingen van de ECB en het ESRB;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quater.</w:t>
            </w:r>
            <w:r>
              <w:tab/>
            </w:r>
            <w:r>
              <w:rPr>
                <w:b/>
                <w:i/>
              </w:rPr>
              <w:t>benadrukt dat mildheid op het gebied van het toezicht op, de versnippering van of vrijstellingen bij de toepassing van MiCA het risico op runs op stablecoins en de besmetting van banken, overheidsschuldmarkten en betalingssystemen binnen de bankenunie zou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is ingenomen met</w:t>
            </w:r>
            <w:r>
              <w:t xml:space="preserve"> de hervorming van het </w:t>
            </w:r>
            <w:r>
              <w:rPr>
                <w:b/>
                <w:i/>
              </w:rPr>
              <w:t>kader voor crisisbeheer en depositoverzekering (CMDI) met het oog op coherente crisisbeheersing en depositoverzekering, de versterking</w:t>
            </w:r>
            <w:r>
              <w:t xml:space="preserve"> van de </w:t>
            </w:r>
            <w:r>
              <w:rPr>
                <w:b/>
                <w:i/>
              </w:rPr>
              <w:t>stabiliteit</w:t>
            </w:r>
            <w:r>
              <w:t xml:space="preserve"> en de </w:t>
            </w:r>
            <w:r>
              <w:rPr>
                <w:b/>
                <w:i/>
              </w:rPr>
              <w:t>bescherming van spaargelden en belastingbetalers;</w:t>
            </w:r>
            <w:r>
              <w:t xml:space="preserve"> </w:t>
            </w:r>
            <w:r>
              <w:rPr>
                <w:b/>
                <w:i/>
              </w:rPr>
              <w:t>benadrukt dat kleinere banken flexibiliteit nodig hebben en dat de autoriteiten over doeltreffende instrumenten moeten beschikken, om een veerkrachtige en maatschappelijk verantwoorde bankenunie te waarborgen</w:t>
            </w:r>
            <w:r>
              <w:t>;</w:t>
            </w:r>
          </w:p>
        </w:tc>
        <w:tc>
          <w:tcPr>
            <w:tcW w:w="4876" w:type="dxa"/>
            <w:tcBorders>
              <w:top w:val="nil"/>
              <w:left w:val="nil"/>
              <w:bottom w:val="nil"/>
              <w:right w:val="nil"/>
            </w:tcBorders>
          </w:tcPr>
          <w:p>
            <w:pPr>
              <w:pStyle w:val="Normal6a"/>
            </w:pPr>
            <w:r>
              <w:t>15.</w:t>
            </w:r>
            <w:r>
              <w:tab/>
            </w:r>
            <w:r>
              <w:rPr>
                <w:b/>
                <w:i/>
              </w:rPr>
              <w:t>uit zijn bezorgdheid over</w:t>
            </w:r>
            <w:r>
              <w:t xml:space="preserve"> de hervorming van het </w:t>
            </w:r>
            <w:r>
              <w:rPr>
                <w:b/>
                <w:i/>
              </w:rPr>
              <w:t>CMDI in zijn huidige vorm;</w:t>
            </w:r>
            <w:r>
              <w:t xml:space="preserve"> </w:t>
            </w:r>
            <w:r>
              <w:rPr>
                <w:b/>
                <w:i/>
              </w:rPr>
              <w:t>verwerpt elk ontwerp dat onderliggende insolventierisico’s maskeert door middel van complexe achtervangmechanismen en risicodeling, en bekritiseert het concept</w:t>
            </w:r>
            <w:r>
              <w:t xml:space="preserve"> van de </w:t>
            </w:r>
            <w:r>
              <w:rPr>
                <w:b/>
                <w:i/>
              </w:rPr>
              <w:t>mutualisatie van verliezen in alle lidstaten zelf, wat in wezen bankrisico’s zou socialiseren</w:t>
            </w:r>
            <w:r>
              <w:t xml:space="preserve"> en de </w:t>
            </w:r>
            <w:r>
              <w:rPr>
                <w:b/>
                <w:i/>
              </w:rPr>
              <w:t>marktdiscipline zou verminderen;</w:t>
            </w:r>
            <w:r>
              <w:t xml:space="preserve"> </w:t>
            </w:r>
            <w:r>
              <w:rPr>
                <w:b/>
                <w:i/>
              </w:rPr>
              <w:t>is van mening dat het huidige CMDI-kader geen rechtvaardiging mag vormen voor een voortijdige uitbreiding van grensoverschrijdende risicodeling zonder duidelijke uitstap- en verantwoordingsmechanismen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is ingenomen met</w:t>
            </w:r>
            <w:r>
              <w:t xml:space="preserve"> de hervorming van het kader voor crisisbeheer en depositoverzekering (CMDI) </w:t>
            </w:r>
            <w:r>
              <w:rPr>
                <w:b/>
                <w:i/>
              </w:rPr>
              <w:t>met het oog op coherente</w:t>
            </w:r>
            <w:r>
              <w:t xml:space="preserve"> crisisbeheersing en depositoverzekering, </w:t>
            </w:r>
            <w:r>
              <w:rPr>
                <w:b/>
                <w:i/>
              </w:rPr>
              <w:t>de</w:t>
            </w:r>
            <w:r>
              <w:t xml:space="preserve"> versterking van de stabiliteit en </w:t>
            </w:r>
            <w:r>
              <w:rPr>
                <w:b/>
                <w:i/>
              </w:rPr>
              <w:t>de</w:t>
            </w:r>
            <w:r>
              <w:t xml:space="preserve"> bescherming van spaargelden en belastingbetalers; benadrukt dat </w:t>
            </w:r>
            <w:r>
              <w:rPr>
                <w:b/>
                <w:i/>
              </w:rPr>
              <w:t>kleinere</w:t>
            </w:r>
            <w:r>
              <w:t xml:space="preserve"> banken flexibiliteit nodig hebben en dat de autoriteiten over doeltreffende instrumenten moeten beschikken, om een veerkrachtige </w:t>
            </w:r>
            <w:r>
              <w:rPr>
                <w:b/>
                <w:i/>
              </w:rPr>
              <w:t>en maatschappelijk verantwoorde</w:t>
            </w:r>
            <w:r>
              <w:t xml:space="preserve"> bankenunie te waarborgen;</w:t>
            </w:r>
          </w:p>
        </w:tc>
        <w:tc>
          <w:tcPr>
            <w:tcW w:w="4876" w:type="dxa"/>
            <w:tcBorders>
              <w:top w:val="nil"/>
              <w:left w:val="nil"/>
              <w:bottom w:val="nil"/>
              <w:right w:val="nil"/>
            </w:tcBorders>
          </w:tcPr>
          <w:p>
            <w:pPr>
              <w:pStyle w:val="Normal6a"/>
            </w:pPr>
            <w:r>
              <w:t>15.</w:t>
            </w:r>
            <w:r>
              <w:tab/>
            </w:r>
            <w:r>
              <w:rPr>
                <w:b/>
                <w:i/>
              </w:rPr>
              <w:t>neemt kennis van</w:t>
            </w:r>
            <w:r>
              <w:t xml:space="preserve"> de hervorming van het kader voor crisisbeheer en depositoverzekering (CMDI) </w:t>
            </w:r>
            <w:r>
              <w:rPr>
                <w:b/>
                <w:i/>
              </w:rPr>
              <w:t>ter verbetering van</w:t>
            </w:r>
            <w:r>
              <w:t xml:space="preserve"> crisisbeheersing en depositoverzekering, versterking van de stabiliteit en bescherming van spaargelden en belastingbetalers; benadrukt dat </w:t>
            </w:r>
            <w:r>
              <w:rPr>
                <w:b/>
                <w:i/>
              </w:rPr>
              <w:t>kleine en middelgrote</w:t>
            </w:r>
            <w:r>
              <w:t xml:space="preserve"> banken flexibiliteit nodig hebben en dat de autoriteiten over doeltreffende instrumenten moeten beschikken, om een veerkrachtige bankenunie te waarborgen; </w:t>
            </w:r>
            <w:r>
              <w:rPr>
                <w:b/>
                <w:i/>
              </w:rPr>
              <w:t>benadrukt dat afwikkeling alleen de standaardoptie mag zijn voor banken waarvan het falen gevolgen zou hebben voor de financiële stabiliteit en dat insolventie derhalve de standaard blijft voor kleine en middelgrote banken;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is ingenomen met de hervorming van het kader voor crisisbeheer en depositoverzekering (CMDI) met het oog op coherente crisisbeheersing en depositoverzekering, de versterking van de stabiliteit en de bescherming van spaargelden en belastingbetalers; benadrukt dat kleinere banken flexibiliteit nodig hebben en dat de autoriteiten over doeltreffende instrumenten moeten beschikken</w:t>
            </w:r>
            <w:r>
              <w:rPr>
                <w:b/>
                <w:i/>
              </w:rPr>
              <w:t>, om een veerkrachtige en maatschappelijk verantwoorde bankenunie</w:t>
            </w:r>
            <w:r>
              <w:t xml:space="preserve"> te waarborgen;</w:t>
            </w:r>
          </w:p>
        </w:tc>
        <w:tc>
          <w:tcPr>
            <w:tcW w:w="4876" w:type="dxa"/>
            <w:tcBorders>
              <w:top w:val="nil"/>
              <w:left w:val="nil"/>
              <w:bottom w:val="nil"/>
              <w:right w:val="nil"/>
            </w:tcBorders>
          </w:tcPr>
          <w:p>
            <w:pPr>
              <w:pStyle w:val="Normal6a"/>
            </w:pPr>
            <w:r>
              <w:t>15.</w:t>
            </w:r>
            <w:r>
              <w:tab/>
            </w:r>
            <w:r>
              <w:t>is ingenomen met de hervorming van het kader voor crisisbeheer en depositoverzekering (CMDI) met het oog op coherente crisisbeheersing en depositoverzekering, de versterking van de stabiliteit en de bescherming van spaargelden en belastingbetalers; benadrukt dat kleinere banken flexibiliteit nodig hebben en dat de autoriteiten over doeltreffende instrumenten moeten beschikken</w:t>
            </w:r>
            <w:r>
              <w:rPr>
                <w:b/>
                <w:i/>
              </w:rPr>
              <w:t> om op bankfalen te reageren en de financiële stabiliteit</w:t>
            </w:r>
            <w:r>
              <w:t xml:space="preserve"> te waarborgen</w:t>
            </w:r>
            <w:r>
              <w:rPr>
                <w:b/>
                <w:i/>
              </w:rPr>
              <w:t>, ook in een systeemscenario</w:t>
            </w:r>
            <w:r>
              <w:t xml:space="preserve">; </w:t>
            </w:r>
            <w:r>
              <w:rPr>
                <w:b/>
                <w:i/>
              </w:rPr>
              <w:t>herhaalt dat met de afwikkeling van banken wordt beoogd de financiële stabiliteit te beschermen en de kritieke functies van banken te waarborgen, niet crediteuren of aandeelhouders te redden;</w:t>
            </w:r>
            <w:r>
              <w:t xml:space="preserve"> </w:t>
            </w:r>
            <w:r>
              <w:rPr>
                <w:b/>
                <w:i/>
              </w:rPr>
              <w:t>benadrukt dat het afwikkelen van een falende bank via normale insolventieprocedures de norm moet blijven voor banken die niet systeemrelevant zijn en als dit de kritieke functies van een bank het doeltreffendst beschermt;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 ingenomen met de hervorming van het kader voor crisisbeheer en depositoverzekering (CMDI) met het oog op coherente crisisbeheersing en depositoverzekering, de versterking van de stabiliteit en de bescherming van spaargelden en belastingbetalers; benadrukt dat </w:t>
            </w:r>
            <w:r>
              <w:rPr>
                <w:b/>
                <w:i/>
              </w:rPr>
              <w:t>kleinere banken flexibiliteit nodig hebben en dat</w:t>
            </w:r>
            <w:r>
              <w:t xml:space="preserve"> de autoriteiten over doeltreffende instrumenten moeten beschikken, om een veerkrachtige en maatschappelijk verantwoorde bankenunie te waarborgen;</w:t>
            </w:r>
          </w:p>
        </w:tc>
        <w:tc>
          <w:tcPr>
            <w:tcW w:w="4876" w:type="dxa"/>
            <w:tcBorders>
              <w:top w:val="nil"/>
              <w:left w:val="nil"/>
              <w:bottom w:val="nil"/>
              <w:right w:val="nil"/>
            </w:tcBorders>
          </w:tcPr>
          <w:p>
            <w:pPr>
              <w:pStyle w:val="Normal6a"/>
            </w:pPr>
            <w:r>
              <w:t>15.</w:t>
            </w:r>
            <w:r>
              <w:tab/>
            </w:r>
            <w:r>
              <w:t xml:space="preserve">is ingenomen met de hervorming van het kader voor crisisbeheer en depositoverzekering (CMDI) met het oog op coherente crisisbeheersing en depositoverzekering, de versterking van de stabiliteit en de bescherming van spaargelden en belastingbetalers; benadrukt dat de autoriteiten over doeltreffende </w:t>
            </w:r>
            <w:r>
              <w:rPr>
                <w:b/>
                <w:i/>
              </w:rPr>
              <w:t>en proportionele</w:t>
            </w:r>
            <w:r>
              <w:t xml:space="preserve"> instrumenten moeten beschikken, om een veerkrachtige en maatschappelijk verantwoorde bankenunie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 ingenomen met de hervorming van het kader voor crisisbeheer en depositoverzekering (CMDI) met het oog op coherente crisisbeheersing en depositoverzekering, de versterking van de stabiliteit en de bescherming van spaargelden en belastingbetalers; benadrukt dat kleinere banken flexibiliteit nodig hebben en dat de autoriteiten over doeltreffende instrumenten moeten beschikken, </w:t>
            </w:r>
            <w:r>
              <w:rPr>
                <w:b/>
                <w:i/>
              </w:rPr>
              <w:t>om</w:t>
            </w:r>
            <w:r>
              <w:t xml:space="preserve"> een veerkrachtige en </w:t>
            </w:r>
            <w:r>
              <w:rPr>
                <w:b/>
                <w:i/>
              </w:rPr>
              <w:t>maatschappelijk verantwoorde</w:t>
            </w:r>
            <w:r>
              <w:t xml:space="preserve"> bankenunie </w:t>
            </w:r>
            <w:r>
              <w:rPr>
                <w:b/>
                <w:i/>
              </w:rPr>
              <w:t>te waarborgen</w:t>
            </w:r>
            <w:r>
              <w:t>;</w:t>
            </w:r>
          </w:p>
        </w:tc>
        <w:tc>
          <w:tcPr>
            <w:tcW w:w="4876" w:type="dxa"/>
            <w:tcBorders>
              <w:top w:val="nil"/>
              <w:left w:val="nil"/>
              <w:bottom w:val="nil"/>
              <w:right w:val="nil"/>
            </w:tcBorders>
          </w:tcPr>
          <w:p>
            <w:pPr>
              <w:pStyle w:val="Normal6a"/>
            </w:pPr>
            <w:r>
              <w:t>15.</w:t>
            </w:r>
            <w:r>
              <w:tab/>
            </w:r>
            <w:r>
              <w:t xml:space="preserve">is ingenomen met de hervorming van het kader voor crisisbeheer en depositoverzekering (CMDI) met het oog op coherente crisisbeheersing en depositoverzekering, de versterking van de stabiliteit en de bescherming van spaargelden en belastingbetalers; benadrukt dat kleinere banken flexibiliteit nodig hebben en dat de autoriteiten over doeltreffende instrumenten moeten beschikken, </w:t>
            </w:r>
            <w:r>
              <w:rPr>
                <w:b/>
                <w:i/>
              </w:rPr>
              <w:t>geschraagd door een regelgevend kader dat de ontwikkeling van banken bevordert en bijdraagt aan</w:t>
            </w:r>
            <w:r>
              <w:t xml:space="preserve"> een veerkrachtige en </w:t>
            </w:r>
            <w:r>
              <w:rPr>
                <w:b/>
                <w:i/>
              </w:rPr>
              <w:t>financieel stabiele</w:t>
            </w:r>
            <w:r>
              <w:t xml:space="preserve"> bankenunie;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is ingenomen met de hervorming van het kader voor crisisbeheer en depositoverzekering (CMDI) met het oog op coherente crisisbeheersing en depositoverzekering, de versterking van de stabiliteit en de bescherming van spaargelden en belastingbetalers; benadrukt dat kleinere banken flexibiliteit nodig hebben en dat de autoriteiten over doeltreffende instrumenten moeten beschikken</w:t>
            </w:r>
            <w:r>
              <w:rPr>
                <w:b/>
                <w:i/>
              </w:rPr>
              <w:t>,</w:t>
            </w:r>
            <w:r>
              <w:t xml:space="preserve"> om een veerkrachtige </w:t>
            </w:r>
            <w:r>
              <w:rPr>
                <w:b/>
                <w:i/>
              </w:rPr>
              <w:t>en maatschappelijk verantwoorde</w:t>
            </w:r>
            <w:r>
              <w:t xml:space="preserve"> bankenunie te waarborgen;</w:t>
            </w:r>
          </w:p>
        </w:tc>
        <w:tc>
          <w:tcPr>
            <w:tcW w:w="4876" w:type="dxa"/>
            <w:tcBorders>
              <w:top w:val="nil"/>
              <w:left w:val="nil"/>
              <w:bottom w:val="nil"/>
              <w:right w:val="nil"/>
            </w:tcBorders>
          </w:tcPr>
          <w:p>
            <w:pPr>
              <w:pStyle w:val="Normal6a"/>
            </w:pPr>
            <w:r>
              <w:t>15.</w:t>
            </w:r>
            <w:r>
              <w:tab/>
            </w:r>
            <w:r>
              <w:t>is ingenomen met de hervorming van het kader voor crisisbeheer en depositoverzekering (CMDI) met het oog op coherente crisisbeheersing en depositoverzekering, de versterking van de stabiliteit en de bescherming van spaargelden en belastingbetalers; benadrukt dat kleinere banken flexibiliteit nodig hebben en dat de autoriteiten over doeltreffende instrumenten moeten beschikken om een veerkrachtige bankenunie te waarborgen;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 ingenomen met de hervorming van het kader voor crisisbeheer en depositoverzekering (CMDI) met het oog op coherente crisisbeheersing en depositoverzekering, de versterking van de stabiliteit en de bescherming van spaargelden en belastingbetalers; benadrukt dat </w:t>
            </w:r>
            <w:r>
              <w:rPr>
                <w:b/>
                <w:i/>
              </w:rPr>
              <w:t>kleinere banken flexibiliteit nodig hebben</w:t>
            </w:r>
            <w:r>
              <w:t xml:space="preserve"> en dat de autoriteiten over doeltreffende instrumenten moeten beschikken, om een veerkrachtige en maatschappelijk verantwoorde bankenunie te waarborgen;</w:t>
            </w:r>
          </w:p>
        </w:tc>
        <w:tc>
          <w:tcPr>
            <w:tcW w:w="4876" w:type="dxa"/>
            <w:tcBorders>
              <w:top w:val="nil"/>
              <w:left w:val="nil"/>
              <w:bottom w:val="nil"/>
              <w:right w:val="nil"/>
            </w:tcBorders>
          </w:tcPr>
          <w:p>
            <w:pPr>
              <w:pStyle w:val="Normal6a"/>
            </w:pPr>
            <w:r>
              <w:t>15.</w:t>
            </w:r>
            <w:r>
              <w:tab/>
            </w:r>
            <w:r>
              <w:t xml:space="preserve">is ingenomen met de hervorming van het kader voor crisisbeheer en depositoverzekering (CMDI) met het oog op coherente crisisbeheersing en depositoverzekering, de versterking van de stabiliteit en de bescherming van spaargelden en belastingbetalers </w:t>
            </w:r>
            <w:r>
              <w:rPr>
                <w:b/>
                <w:i/>
              </w:rPr>
              <w:t>en het waarborgen van een beter gebruik van overheidsgeld voor afwikkeling wanneer dit in het algemeen belang is</w:t>
            </w:r>
            <w:r>
              <w:t xml:space="preserve">; benadrukt dat </w:t>
            </w:r>
            <w:r>
              <w:rPr>
                <w:b/>
                <w:i/>
              </w:rPr>
              <w:t>het belang van een duidelijk regelgevingskader</w:t>
            </w:r>
            <w:r>
              <w:t xml:space="preserve"> en dat de autoriteiten over doeltreffende instrumenten</w:t>
            </w:r>
            <w:r>
              <w:rPr>
                <w:b/>
                <w:i/>
              </w:rPr>
              <w:t>, gegevens en besluitvormingsmechanismen</w:t>
            </w:r>
            <w:r>
              <w:t xml:space="preserve"> moeten beschikken, om een veerkrachtige en maatschappelijk verantwoorde bankenunie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is ingenomen met de hervorming van het kader voor crisisbeheer en depositoverzekering (CMDI) met het oog op coherente crisisbeheersing en depositoverzekering, de versterking van de stabiliteit en de bescherming van spaargelden en belastingbetalers; benadrukt dat kleinere banken flexibiliteit nodig hebben en dat de autoriteiten over doeltreffende instrumenten moeten beschikken, om een veerkrachtige en maatschappelijk verantwoorde bankenunie te waarborgen;</w:t>
            </w:r>
          </w:p>
        </w:tc>
        <w:tc>
          <w:tcPr>
            <w:tcW w:w="4876" w:type="dxa"/>
            <w:tcBorders>
              <w:top w:val="nil"/>
              <w:left w:val="nil"/>
              <w:bottom w:val="nil"/>
              <w:right w:val="nil"/>
            </w:tcBorders>
          </w:tcPr>
          <w:p>
            <w:pPr>
              <w:pStyle w:val="Normal6a"/>
            </w:pPr>
            <w:r>
              <w:t>15.</w:t>
            </w:r>
            <w:r>
              <w:tab/>
            </w:r>
            <w:r>
              <w:t xml:space="preserve">is ingenomen met de hervorming van het kader voor crisisbeheer en depositoverzekering (CMDI) met het oog op coherente crisisbeheersing en depositoverzekering, de versterking van de stabiliteit en de bescherming van spaargelden en belastingbetalers; benadrukt dat kleinere </w:t>
            </w:r>
            <w:r>
              <w:rPr>
                <w:b/>
                <w:i/>
              </w:rPr>
              <w:t>en middelgrote</w:t>
            </w:r>
            <w:r>
              <w:t xml:space="preserve"> banken</w:t>
            </w:r>
            <w:r>
              <w:rPr>
                <w:b/>
                <w:i/>
              </w:rPr>
              <w:t>, waarvoor het afwikkelingskader vaak niet het meest geschikte instrument is en waarvoor liquidatie in een reguliere insolventieprocedure nog steeds de voorkeursoptie is,</w:t>
            </w:r>
            <w:r>
              <w:t xml:space="preserve"> flexibiliteit nodig hebben en dat de autoriteiten over doeltreffende instrumenten moeten beschikken, om een veerkrachtige en maatschappelijk verantwoorde bankenunie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is ingenomen met de hervorming van het kader voor crisisbeheer en depositoverzekering (CMDI) met het oog op coherente crisisbeheersing en depositoverzekering, de versterking van de stabiliteit en de bescherming van spaargelden en belastingbetalers; benadrukt dat kleinere banken flexibiliteit nodig hebben en dat de autoriteiten over doeltreffende instrumenten moeten beschikken, om een veerkrachtige en maatschappelijk verantwoorde bankenunie te waarborgen;</w:t>
            </w:r>
          </w:p>
        </w:tc>
        <w:tc>
          <w:tcPr>
            <w:tcW w:w="4876" w:type="dxa"/>
            <w:tcBorders>
              <w:top w:val="nil"/>
              <w:left w:val="nil"/>
              <w:bottom w:val="nil"/>
              <w:right w:val="nil"/>
            </w:tcBorders>
          </w:tcPr>
          <w:p>
            <w:pPr>
              <w:pStyle w:val="Normal6a"/>
            </w:pPr>
            <w:r>
              <w:t>15.</w:t>
            </w:r>
            <w:r>
              <w:tab/>
            </w:r>
            <w:r>
              <w:t>is ingenomen met de hervorming van het kader voor crisisbeheer en depositoverzekering (CMDI) met het oog op coherente crisisbeheersing en depositoverzekering, de versterking van de stabiliteit en de bescherming van spaargelden en belastingbetalers; benadrukt dat kleinere </w:t>
            </w:r>
            <w:r>
              <w:rPr>
                <w:b/>
                <w:i/>
              </w:rPr>
              <w:t>en middelgrote </w:t>
            </w:r>
            <w:r>
              <w:t>banken</w:t>
            </w:r>
            <w:r>
              <w:rPr>
                <w:b/>
                <w:i/>
              </w:rPr>
              <w:t>, waarvoor het afwikkelingskader vaak niet het meest geschikte instrument is en waarvoor liquidatie in een reguliere insolventieprocedure nog steeds de voorkeursoptie is,</w:t>
            </w:r>
            <w:r>
              <w:t> flexibiliteit nodig hebben en dat de autoriteiten over doeltreffende instrumenten moeten beschikken, om een veerkrachtige en maatschappelijk verantwoorde bankenunie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is ingenomen met de hervorming van het kader voor crisisbeheer en depositoverzekering (CMDI) met het oog op coherente crisisbeheersing en depositoverzekering, de versterking van de stabiliteit en de bescherming van spaargelden en belastingbetalers; benadrukt dat kleinere banken flexibiliteit nodig hebben en dat de autoriteiten over doeltreffende instrumenten moeten beschikken, om een veerkrachtige en maatschappelijk verantwoorde bankenunie te waarborgen;</w:t>
            </w:r>
          </w:p>
        </w:tc>
        <w:tc>
          <w:tcPr>
            <w:tcW w:w="4876" w:type="dxa"/>
            <w:tcBorders>
              <w:top w:val="nil"/>
              <w:left w:val="nil"/>
              <w:bottom w:val="nil"/>
              <w:right w:val="nil"/>
            </w:tcBorders>
          </w:tcPr>
          <w:p>
            <w:pPr>
              <w:pStyle w:val="Normal6a"/>
            </w:pPr>
            <w:r>
              <w:t>15.</w:t>
            </w:r>
            <w:r>
              <w:tab/>
            </w:r>
            <w:r>
              <w:t xml:space="preserve">is ingenomen met de hervorming van het kader voor crisisbeheer en depositoverzekering (CMDI) met het oog op coherente crisisbeheersing en depositoverzekering, de versterking van de stabiliteit en de bescherming van spaargelden en belastingbetalers; benadrukt dat kleinere banken flexibiliteit nodig hebben en dat de autoriteiten over doeltreffende instrumenten moeten beschikken, om een veerkrachtige en maatschappelijk verantwoorde bankenunie te waarborgen; </w:t>
            </w:r>
            <w:r>
              <w:rPr>
                <w:b/>
                <w:i/>
              </w:rPr>
              <w:t>benadrukt dat het makkelijker moet worden om depositoverzekeringsfondsen voor afwikkeling te gebruiken;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is ingenomen met het voorstel voor een richtlijn van het Europees Parlement en de Raad tot harmonisatie van bepaalde aspecten van het insolventierecht, omdat een verdere aanpassing van de insolventiewetgeving en herstructureringsprocedures de voltooiing van de bankenunie zou kunnen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wijst erop dat </w:t>
            </w:r>
            <w:r>
              <w:rPr>
                <w:b/>
                <w:i/>
              </w:rPr>
              <w:t>de primaire verantwoordelijkheid</w:t>
            </w:r>
            <w:r>
              <w:t xml:space="preserve"> in geval van bankfalen </w:t>
            </w:r>
            <w:r>
              <w:rPr>
                <w:b/>
                <w:i/>
              </w:rPr>
              <w:t>toevalt aan aandeelhouders, schuldeisers of door de sector gefinancierde mechanismen en dat</w:t>
            </w:r>
            <w:r>
              <w:t xml:space="preserve"> overheidsmiddelen </w:t>
            </w:r>
            <w:r>
              <w:rPr>
                <w:b/>
                <w:i/>
              </w:rPr>
              <w:t>slechts als</w:t>
            </w:r>
            <w:r>
              <w:t xml:space="preserve"> laatste redmiddel </w:t>
            </w:r>
            <w:r>
              <w:rPr>
                <w:b/>
                <w:i/>
              </w:rPr>
              <w:t>mogen worden gebruikt, in overeenstemming met</w:t>
            </w:r>
            <w:r>
              <w:t xml:space="preserve"> budgettaire verantwoordelijkheid</w:t>
            </w:r>
            <w:r>
              <w:rPr>
                <w:b/>
                <w:i/>
              </w:rPr>
              <w:t>, sociale rechtvaardigheid en</w:t>
            </w:r>
            <w:r>
              <w:t xml:space="preserve"> marktdiscipline;</w:t>
            </w:r>
          </w:p>
        </w:tc>
        <w:tc>
          <w:tcPr>
            <w:tcW w:w="4876" w:type="dxa"/>
            <w:tcBorders>
              <w:top w:val="nil"/>
              <w:left w:val="nil"/>
              <w:bottom w:val="nil"/>
              <w:right w:val="nil"/>
            </w:tcBorders>
          </w:tcPr>
          <w:p>
            <w:pPr>
              <w:pStyle w:val="Normal6a"/>
            </w:pPr>
            <w:r>
              <w:t>16.</w:t>
            </w:r>
            <w:r>
              <w:tab/>
            </w:r>
            <w:r>
              <w:t xml:space="preserve">wijst erop dat </w:t>
            </w:r>
            <w:r>
              <w:rPr>
                <w:b/>
                <w:i/>
              </w:rPr>
              <w:t>er voortdurend en doeltreffend toezicht nodig is op de naleving van de prudentiële en afwikkelingsregels die de geloofwaardigheid en doeltreffende uitvoering van bail-in-instrumenten</w:t>
            </w:r>
            <w:r>
              <w:t xml:space="preserve"> in geval van bankfalen </w:t>
            </w:r>
            <w:r>
              <w:rPr>
                <w:b/>
                <w:i/>
              </w:rPr>
              <w:t>waarborgen;</w:t>
            </w:r>
            <w:r>
              <w:t xml:space="preserve"> </w:t>
            </w:r>
            <w:r>
              <w:rPr>
                <w:b/>
                <w:i/>
              </w:rPr>
              <w:t>benadrukt dat het redden van financiële instellingen met</w:t>
            </w:r>
            <w:r>
              <w:t xml:space="preserve"> overheidsmiddelen </w:t>
            </w:r>
            <w:r>
              <w:rPr>
                <w:b/>
                <w:i/>
              </w:rPr>
              <w:t>strikt een</w:t>
            </w:r>
            <w:r>
              <w:t xml:space="preserve"> laatste redmiddel </w:t>
            </w:r>
            <w:r>
              <w:rPr>
                <w:b/>
                <w:i/>
              </w:rPr>
              <w:t>moet blijven om de</w:t>
            </w:r>
            <w:r>
              <w:t xml:space="preserve"> budgettaire verantwoordelijkheid </w:t>
            </w:r>
            <w:r>
              <w:rPr>
                <w:b/>
                <w:i/>
              </w:rPr>
              <w:t>te behouden, de belastingbetaler te beschermen en de</w:t>
            </w:r>
            <w:r>
              <w:t xml:space="preserve"> marktdiscipline </w:t>
            </w:r>
            <w:r>
              <w:rPr>
                <w:b/>
                <w:i/>
              </w:rPr>
              <w:t>te handhaven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wijst erop dat </w:t>
            </w:r>
            <w:r>
              <w:rPr>
                <w:b/>
                <w:i/>
              </w:rPr>
              <w:t>de primaire verantwoordelijkheid</w:t>
            </w:r>
            <w:r>
              <w:t xml:space="preserve"> in geval van bankfalen </w:t>
            </w:r>
            <w:r>
              <w:rPr>
                <w:b/>
                <w:i/>
              </w:rPr>
              <w:t>toevalt aan</w:t>
            </w:r>
            <w:r>
              <w:t xml:space="preserve"> aandeelhouders, schuldeisers </w:t>
            </w:r>
            <w:r>
              <w:rPr>
                <w:b/>
                <w:i/>
              </w:rPr>
              <w:t>of</w:t>
            </w:r>
            <w:r>
              <w:t xml:space="preserve"> door de sector gefinancierde mechanismen </w:t>
            </w:r>
            <w:r>
              <w:rPr>
                <w:b/>
                <w:i/>
              </w:rPr>
              <w:t>en</w:t>
            </w:r>
            <w:r>
              <w:t xml:space="preserve"> dat overheidsmiddelen slechts als laatste redmiddel mogen worden </w:t>
            </w:r>
            <w:r>
              <w:rPr>
                <w:b/>
                <w:i/>
              </w:rPr>
              <w:t>gebruikt, in overeenstemming met budgettaire verantwoordelijkheid, sociale rechtvaardigheid en marktdiscipline</w:t>
            </w:r>
            <w:r>
              <w:t>;</w:t>
            </w:r>
          </w:p>
        </w:tc>
        <w:tc>
          <w:tcPr>
            <w:tcW w:w="4876" w:type="dxa"/>
            <w:tcBorders>
              <w:top w:val="nil"/>
              <w:left w:val="nil"/>
              <w:bottom w:val="nil"/>
              <w:right w:val="nil"/>
            </w:tcBorders>
          </w:tcPr>
          <w:p>
            <w:pPr>
              <w:pStyle w:val="Normal6a"/>
            </w:pPr>
            <w:r>
              <w:t>16.</w:t>
            </w:r>
            <w:r>
              <w:tab/>
            </w:r>
            <w:r>
              <w:t>wijst erop dat in geval van bankfalen </w:t>
            </w:r>
            <w:r>
              <w:rPr>
                <w:b/>
                <w:i/>
              </w:rPr>
              <w:t>de verliezen in de eerste plaats moeten worden gedragen door</w:t>
            </w:r>
            <w:r>
              <w:t xml:space="preserve"> aandeelhouders, schuldeisers </w:t>
            </w:r>
            <w:r>
              <w:rPr>
                <w:b/>
                <w:i/>
              </w:rPr>
              <w:t>en</w:t>
            </w:r>
            <w:r>
              <w:t xml:space="preserve"> door de sector gefinancierde mechanismen</w:t>
            </w:r>
            <w:r>
              <w:rPr>
                <w:b/>
                <w:i/>
              </w:rPr>
              <w:t>, in overeenstemming met het verantwoordingsbeginsel en marktdiscipline;</w:t>
            </w:r>
            <w:r>
              <w:t xml:space="preserve"> </w:t>
            </w:r>
            <w:r>
              <w:rPr>
                <w:b/>
                <w:i/>
              </w:rPr>
              <w:t>benadrukt</w:t>
            </w:r>
            <w:r>
              <w:t xml:space="preserve"> dat overheidsmiddelen slechts </w:t>
            </w:r>
            <w:r>
              <w:rPr>
                <w:b/>
                <w:i/>
              </w:rPr>
              <w:t>in uitzonderlijke omstandigheden</w:t>
            </w:r>
            <w:r>
              <w:t xml:space="preserve"> als laatste redmiddel mogen worden </w:t>
            </w:r>
            <w:r>
              <w:rPr>
                <w:b/>
                <w:i/>
              </w:rPr>
              <w:t>overwogen, teneinde belastingbetalers te beschermen en de financiële stabiliteit te bewaren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wijst erop dat de primaire verantwoordelijkheid in geval van bankfalen toevalt aan aandeelhouders</w:t>
            </w:r>
            <w:r>
              <w:rPr>
                <w:b/>
                <w:i/>
              </w:rPr>
              <w:t>,</w:t>
            </w:r>
            <w:r>
              <w:t xml:space="preserve"> schuldeisers </w:t>
            </w:r>
            <w:r>
              <w:rPr>
                <w:b/>
                <w:i/>
              </w:rPr>
              <w:t>of</w:t>
            </w:r>
            <w:r>
              <w:t xml:space="preserve"> door de sector gefinancierde mechanismen en dat overheidsmiddelen slechts als laatste redmiddel mogen worden gebruikt, in overeenstemming met budgettaire verantwoordelijkheid, sociale rechtvaardigheid en marktdiscipline;</w:t>
            </w:r>
          </w:p>
        </w:tc>
        <w:tc>
          <w:tcPr>
            <w:tcW w:w="4876" w:type="dxa"/>
            <w:tcBorders>
              <w:top w:val="nil"/>
              <w:left w:val="nil"/>
              <w:bottom w:val="nil"/>
              <w:right w:val="nil"/>
            </w:tcBorders>
          </w:tcPr>
          <w:p>
            <w:pPr>
              <w:pStyle w:val="Normal6a"/>
            </w:pPr>
            <w:r>
              <w:t>16.</w:t>
            </w:r>
            <w:r>
              <w:tab/>
            </w:r>
            <w:r>
              <w:t xml:space="preserve">wijst erop dat de primaire verantwoordelijkheid in geval van bankfalen toevalt aan </w:t>
            </w:r>
            <w:r>
              <w:rPr>
                <w:b/>
                <w:i/>
              </w:rPr>
              <w:t>de bail-in van</w:t>
            </w:r>
            <w:r>
              <w:t xml:space="preserve"> aandeelhouders </w:t>
            </w:r>
            <w:r>
              <w:rPr>
                <w:b/>
                <w:i/>
              </w:rPr>
              <w:t>en</w:t>
            </w:r>
            <w:r>
              <w:t xml:space="preserve"> schuldeisers</w:t>
            </w:r>
            <w:r>
              <w:rPr>
                <w:b/>
                <w:i/>
              </w:rPr>
              <w:t>, aangezien dit de belangrijkste bron voor afwikkelingsfinanciering is, vóór het gebruik van</w:t>
            </w:r>
            <w:r>
              <w:t xml:space="preserve"> door de sector gefinancierde mechanismen </w:t>
            </w:r>
            <w:r>
              <w:rPr>
                <w:b/>
                <w:i/>
              </w:rPr>
              <w:t>als tweede verdedigingslinie,</w:t>
            </w:r>
            <w:r>
              <w:t xml:space="preserve"> en dat overheidsmiddelen slechts als laatste redmiddel mogen worden gebruikt, in overeenstemming met budgettaire verantwoordelijkheid, sociale rechtvaardigheid en marktdiscipline;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wijst erop dat de primaire verantwoordelijkheid in geval van bankfalen toevalt aan aandeelhouders, schuldeisers of door de sector gefinancierde mechanismen en dat overheidsmiddelen slechts als laatste redmiddel mogen worden gebruikt, in overeenstemming met budgettaire verantwoordelijkheid</w:t>
            </w:r>
            <w:r>
              <w:rPr>
                <w:b/>
                <w:i/>
              </w:rPr>
              <w:t>, sociale rechtvaardigheid</w:t>
            </w:r>
            <w:r>
              <w:t xml:space="preserve"> en marktdiscipline;</w:t>
            </w:r>
          </w:p>
        </w:tc>
        <w:tc>
          <w:tcPr>
            <w:tcW w:w="4876" w:type="dxa"/>
            <w:tcBorders>
              <w:top w:val="nil"/>
              <w:left w:val="nil"/>
              <w:bottom w:val="nil"/>
              <w:right w:val="nil"/>
            </w:tcBorders>
          </w:tcPr>
          <w:p>
            <w:pPr>
              <w:pStyle w:val="Normal6a"/>
            </w:pPr>
            <w:r>
              <w:t>16.</w:t>
            </w:r>
            <w:r>
              <w:tab/>
            </w:r>
            <w:r>
              <w:t xml:space="preserve">wijst erop dat de primaire verantwoordelijkheid in geval van bankfalen toevalt aan aandeelhouders, schuldeisers of door de sector gefinancierde mechanismen en dat overheidsmiddelen slechts als laatste redmiddel mogen worden gebruikt </w:t>
            </w:r>
            <w:r>
              <w:rPr>
                <w:b/>
                <w:i/>
              </w:rPr>
              <w:t>omdat afhankelijkheid van belastinggeld voor de afwikkeling van banken vermeden moet worden</w:t>
            </w:r>
            <w:r>
              <w:t>, in overeenstemming met budgettaire verantwoordelijkheid en marktdiscipline;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wijst erop dat de primaire verantwoordelijkheid in geval van bankfalen toevalt aan aandeelhouders, schuldeisers of door de sector gefinancierde mechanismen en dat overheidsmiddelen slechts als laatste redmiddel mogen worden gebruikt, in overeenstemming met budgettaire verantwoordelijkheid</w:t>
            </w:r>
            <w:r>
              <w:rPr>
                <w:b/>
                <w:i/>
              </w:rPr>
              <w:t>, sociale rechtvaardigheid</w:t>
            </w:r>
            <w:r>
              <w:t xml:space="preserve"> en marktdiscipline;</w:t>
            </w:r>
          </w:p>
        </w:tc>
        <w:tc>
          <w:tcPr>
            <w:tcW w:w="4876" w:type="dxa"/>
            <w:tcBorders>
              <w:top w:val="nil"/>
              <w:left w:val="nil"/>
              <w:bottom w:val="nil"/>
              <w:right w:val="nil"/>
            </w:tcBorders>
          </w:tcPr>
          <w:p>
            <w:pPr>
              <w:pStyle w:val="Normal6a"/>
            </w:pPr>
            <w:r>
              <w:t>16.</w:t>
            </w:r>
            <w:r>
              <w:tab/>
            </w:r>
            <w:r>
              <w:t>wijst erop dat de primaire verantwoordelijkheid in geval van bankfalen toevalt aan aandeelhouders, schuldeisers of door de sector gefinancierde mechanismen en dat overheidsmiddelen slechts als laatste redmiddel mogen worden gebruikt, in overeenstemming met budgettaire verantwoordelijkheid en marktdiscipline;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wijst erop dat de primaire verantwoordelijkheid in geval van bankfalen toevalt aan aandeelhouders, schuldeisers of door de sector gefinancierde mechanismen en dat overheidsmiddelen slechts als laatste redmiddel mogen worden gebruikt, in overeenstemming met budgettaire verantwoordelijkheid, sociale rechtvaardigheid en marktdiscipline;</w:t>
            </w:r>
          </w:p>
        </w:tc>
        <w:tc>
          <w:tcPr>
            <w:tcW w:w="4876" w:type="dxa"/>
            <w:tcBorders>
              <w:top w:val="nil"/>
              <w:left w:val="nil"/>
              <w:bottom w:val="nil"/>
              <w:right w:val="nil"/>
            </w:tcBorders>
          </w:tcPr>
          <w:p>
            <w:pPr>
              <w:pStyle w:val="Normal6a"/>
            </w:pPr>
            <w:r>
              <w:rPr>
                <w:i/>
              </w:rPr>
              <w:t>(Niet van toepassing op de Nederlandse versie)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herinnert eraan dat een afdoend minimumvereiste voor eigen vermogen en in aanmerking komende passiva (MREL) essentieel is voor een geloofwaardig afwikkelingskader en om autoriteiten de flexibiliteit te bieden om </w:t>
            </w:r>
            <w:r>
              <w:rPr>
                <w:b/>
                <w:i/>
              </w:rPr>
              <w:t>in een crisissituatie passende</w:t>
            </w:r>
            <w:r>
              <w:t xml:space="preserve"> afwikkelingsstrategieën toe te passen;</w:t>
            </w:r>
          </w:p>
        </w:tc>
        <w:tc>
          <w:tcPr>
            <w:tcW w:w="4876" w:type="dxa"/>
            <w:tcBorders>
              <w:top w:val="nil"/>
              <w:left w:val="nil"/>
              <w:bottom w:val="nil"/>
              <w:right w:val="nil"/>
            </w:tcBorders>
          </w:tcPr>
          <w:p>
            <w:pPr>
              <w:pStyle w:val="Normal6a"/>
            </w:pPr>
            <w:r>
              <w:t>17.</w:t>
            </w:r>
            <w:r>
              <w:tab/>
            </w:r>
            <w:r>
              <w:t>herinnert eraan dat een afdoend minimumvereiste voor eigen vermogen en in aanmerking komende passiva (MREL) essentieel is voor een geloofwaardig afwikkelingskader en om autoriteiten de flexibiliteit te bieden om afwikkelingsstrategieën </w:t>
            </w:r>
            <w:r>
              <w:rPr>
                <w:b/>
                <w:i/>
              </w:rPr>
              <w:t>doeltreffend</w:t>
            </w:r>
            <w:r>
              <w:t xml:space="preserve"> toe te passen</w:t>
            </w:r>
            <w:r>
              <w:rPr>
                <w:b/>
                <w:i/>
              </w:rPr>
              <w:t> in crisissituaties, en zo marktdiscipline te waarborgen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herinnert eraan dat een afdoend minimumvereiste voor eigen vermogen en in aanmerking komende passiva (MREL) essentieel is voor een geloofwaardig afwikkelingskader en om autoriteiten de flexibiliteit te bieden om in een crisissituatie passende afwikkelingsstrategieën toe te passen;</w:t>
            </w:r>
          </w:p>
        </w:tc>
        <w:tc>
          <w:tcPr>
            <w:tcW w:w="4876" w:type="dxa"/>
            <w:tcBorders>
              <w:top w:val="nil"/>
              <w:left w:val="nil"/>
              <w:bottom w:val="nil"/>
              <w:right w:val="nil"/>
            </w:tcBorders>
          </w:tcPr>
          <w:p>
            <w:pPr>
              <w:pStyle w:val="Normal6a"/>
            </w:pPr>
            <w:r>
              <w:t>17.</w:t>
            </w:r>
            <w:r>
              <w:tab/>
            </w:r>
            <w:r>
              <w:t xml:space="preserve">herinnert eraan dat een afdoend minimumvereiste voor eigen vermogen en in aanmerking komende passiva (MREL) essentieel is voor een geloofwaardig afwikkelingskader en om autoriteiten de flexibiliteit te bieden om in een crisissituatie passende afwikkelingsstrategieën toe te passen; </w:t>
            </w:r>
            <w:r>
              <w:rPr>
                <w:b/>
                <w:i/>
              </w:rPr>
              <w:t>benadrukt dat de MREL-vereisten moeten worden afgestemd op de daadwerkelijke afwikkelingsstrategie van elke bank, met name wanneer overdrachtsinstrumenten naast bail-in-mechanismen worden gebruikt, teneinde juridische duidelijkheid te verschaffen en evenredigheid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herinnert eraan dat een afdoend minimumvereiste voor eigen vermogen en in aanmerking komende passiva (MREL) essentieel is voor een geloofwaardig afwikkelingskader en om autoriteiten de flexibiliteit te bieden om in een crisissituatie passende afwikkelingsstrategieën toe te passen;</w:t>
            </w:r>
          </w:p>
        </w:tc>
        <w:tc>
          <w:tcPr>
            <w:tcW w:w="4876" w:type="dxa"/>
            <w:tcBorders>
              <w:top w:val="nil"/>
              <w:left w:val="nil"/>
              <w:bottom w:val="nil"/>
              <w:right w:val="nil"/>
            </w:tcBorders>
          </w:tcPr>
          <w:p>
            <w:pPr>
              <w:pStyle w:val="Normal6a"/>
            </w:pPr>
            <w:r>
              <w:t>17.</w:t>
            </w:r>
            <w:r>
              <w:tab/>
            </w:r>
            <w:r>
              <w:t xml:space="preserve">herinnert eraan dat een afdoend minimumvereiste voor eigen vermogen en in aanmerking komende passiva (MREL) essentieel is voor een geloofwaardig afwikkelingskader en om autoriteiten de flexibiliteit te bieden om in een crisissituatie passende afwikkelingsstrategieën toe te passen; </w:t>
            </w:r>
            <w:r>
              <w:rPr>
                <w:b/>
                <w:i/>
              </w:rPr>
              <w:t>onderstreept dat de beschikbaarheid van een afdoend MREL en zekerheden bij afwikkeling een voorwaarde is voor de afwikkelbaarheid van banken en dat de MREL op zeer voorzichtige wijze moet worden vastgesteld;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herinnert eraan dat een afdoend minimumvereiste voor eigen vermogen en in aanmerking komende passiva (MREL) essentieel is voor een geloofwaardig afwikkelingskader en om autoriteiten de flexibiliteit te bieden om in een crisissituatie passende afwikkelingsstrategieën toe te passen;</w:t>
            </w:r>
          </w:p>
        </w:tc>
        <w:tc>
          <w:tcPr>
            <w:tcW w:w="4876" w:type="dxa"/>
            <w:tcBorders>
              <w:top w:val="nil"/>
              <w:left w:val="nil"/>
              <w:bottom w:val="nil"/>
              <w:right w:val="nil"/>
            </w:tcBorders>
          </w:tcPr>
          <w:p>
            <w:pPr>
              <w:pStyle w:val="Normal6a"/>
            </w:pPr>
            <w:r>
              <w:t>17.</w:t>
            </w:r>
            <w:r>
              <w:tab/>
            </w:r>
            <w:r>
              <w:t xml:space="preserve">herinnert eraan dat een afdoend minimumvereiste voor eigen vermogen en in aanmerking komende passiva (MREL) essentieel is voor een geloofwaardig afwikkelingskader en om autoriteiten de flexibiliteit te bieden om in een crisissituatie passende afwikkelingsstrategieën toe te passen; </w:t>
            </w:r>
            <w:r>
              <w:rPr>
                <w:b/>
                <w:i/>
              </w:rPr>
              <w:t>benadrukt dat dit minimumvereiste voldoende moet zijn voor een doeltreffende uitvoering van de afwikkelingsstrategieën die in het afwikkelingsplan van een bank zijn opgenomen;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wijst erop dat, indien de in aanmerking komende passiva van een bank aan niet-EU-beleggers worden uitgegeven, de afschrijving of omzetting van deze passiva met volledige zekerheid afdwingbaar moet zijn, om de doeltreffende toepassing van afwikkelingsinstrumenten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herinnert eraan dat banken na afwikkeling essentiële diensten moeten blijven verlenen; benadrukt hoe belangrijk een duidelijk, voorspelbaar kader is dat depositohouders beschermt en </w:t>
            </w:r>
            <w:r>
              <w:rPr>
                <w:b/>
                <w:i/>
              </w:rPr>
              <w:t>kleinere</w:t>
            </w:r>
            <w:r>
              <w:t xml:space="preserve"> klanten en </w:t>
            </w:r>
            <w:r>
              <w:rPr>
                <w:b/>
                <w:i/>
              </w:rPr>
              <w:t>kmo’s</w:t>
            </w:r>
            <w:r>
              <w:t xml:space="preserve"> ondersteunt;</w:t>
            </w:r>
          </w:p>
        </w:tc>
        <w:tc>
          <w:tcPr>
            <w:tcW w:w="4876" w:type="dxa"/>
            <w:tcBorders>
              <w:top w:val="nil"/>
              <w:left w:val="nil"/>
              <w:bottom w:val="nil"/>
              <w:right w:val="nil"/>
            </w:tcBorders>
          </w:tcPr>
          <w:p>
            <w:pPr>
              <w:pStyle w:val="Normal6a"/>
            </w:pPr>
            <w:r>
              <w:t>18.</w:t>
            </w:r>
            <w:r>
              <w:tab/>
            </w:r>
            <w:r>
              <w:t xml:space="preserve">herinnert eraan dat banken na afwikkeling essentiële diensten moeten blijven verlenen; benadrukt hoe belangrijk een duidelijk, voorspelbaar kader is dat depositohouders beschermt en klanten en </w:t>
            </w:r>
            <w:r>
              <w:rPr>
                <w:b/>
                <w:i/>
              </w:rPr>
              <w:t>bedrijven, waaronder kmo’s,</w:t>
            </w:r>
            <w:r>
              <w:t xml:space="preserve"> ondersteunt;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herinnert eraan dat banken </w:t>
            </w:r>
            <w:r>
              <w:rPr>
                <w:b/>
                <w:i/>
              </w:rPr>
              <w:t>na</w:t>
            </w:r>
            <w:r>
              <w:t xml:space="preserve"> afwikkeling essentiële diensten moeten blijven verlenen; benadrukt hoe belangrijk een duidelijk, voorspelbaar kader is dat depositohouders beschermt en kleinere klanten en kmo’s ondersteunt;</w:t>
            </w:r>
          </w:p>
        </w:tc>
        <w:tc>
          <w:tcPr>
            <w:tcW w:w="4876" w:type="dxa"/>
            <w:tcBorders>
              <w:top w:val="nil"/>
              <w:left w:val="nil"/>
              <w:bottom w:val="nil"/>
              <w:right w:val="nil"/>
            </w:tcBorders>
          </w:tcPr>
          <w:p>
            <w:pPr>
              <w:pStyle w:val="Normal6a"/>
            </w:pPr>
            <w:r>
              <w:t>18.</w:t>
            </w:r>
            <w:r>
              <w:tab/>
            </w:r>
            <w:r>
              <w:t xml:space="preserve">herinnert eraan dat banken </w:t>
            </w:r>
            <w:r>
              <w:rPr>
                <w:b/>
                <w:i/>
              </w:rPr>
              <w:t>tijdens</w:t>
            </w:r>
            <w:r>
              <w:t xml:space="preserve"> afwikkeling essentiële diensten moeten blijven verlenen; benadrukt hoe belangrijk een duidelijk, voorspelbaar kader is dat depositohouders beschermt en kleinere klanten en kmo’s ondersteunt;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is ingenomen met</w:t>
            </w:r>
            <w:r>
              <w:t xml:space="preserve"> het gemeenschappelijk afwikkelingsfonds als </w:t>
            </w:r>
            <w:r>
              <w:rPr>
                <w:b/>
                <w:i/>
              </w:rPr>
              <w:t>een volledig gemutualiseerd, door de sector gefinancierd</w:t>
            </w:r>
            <w:r>
              <w:t xml:space="preserve"> vangnet</w:t>
            </w:r>
            <w:r>
              <w:rPr>
                <w:b/>
                <w:i/>
              </w:rPr>
              <w:t>;</w:t>
            </w:r>
            <w:r>
              <w:t xml:space="preserve"> </w:t>
            </w:r>
            <w:r>
              <w:rPr>
                <w:b/>
                <w:i/>
              </w:rPr>
              <w:t>roept nogmaals op tot volledige</w:t>
            </w:r>
            <w:r>
              <w:t xml:space="preserve"> ratificatie van </w:t>
            </w:r>
            <w:r>
              <w:rPr>
                <w:b/>
                <w:i/>
              </w:rPr>
              <w:t>de wijziging van</w:t>
            </w:r>
            <w:r>
              <w:t xml:space="preserve"> het ESM-verdrag </w:t>
            </w:r>
            <w:r>
              <w:rPr>
                <w:b/>
                <w:i/>
              </w:rPr>
              <w:t>om de geloofwaardigheid, de afwikkelbaarheid en de veerkracht van de eurozone te vergroten</w:t>
            </w:r>
            <w:r>
              <w:t>;</w:t>
            </w:r>
          </w:p>
        </w:tc>
        <w:tc>
          <w:tcPr>
            <w:tcW w:w="4876" w:type="dxa"/>
            <w:tcBorders>
              <w:top w:val="nil"/>
              <w:left w:val="nil"/>
              <w:bottom w:val="nil"/>
              <w:right w:val="nil"/>
            </w:tcBorders>
          </w:tcPr>
          <w:p>
            <w:pPr>
              <w:pStyle w:val="Normal6a"/>
            </w:pPr>
            <w:r>
              <w:t>19.</w:t>
            </w:r>
            <w:r>
              <w:tab/>
            </w:r>
            <w:r>
              <w:rPr>
                <w:b/>
                <w:i/>
              </w:rPr>
              <w:t>merkt kritisch op dat</w:t>
            </w:r>
            <w:r>
              <w:t xml:space="preserve"> het gemeenschappelijk afwikkelingsfonds</w:t>
            </w:r>
            <w:r>
              <w:rPr>
                <w:b/>
                <w:i/>
              </w:rPr>
              <w:t>, dat bedoeld is</w:t>
            </w:r>
            <w:r>
              <w:t xml:space="preserve"> als vangnet</w:t>
            </w:r>
            <w:r>
              <w:rPr>
                <w:b/>
                <w:i/>
              </w:rPr>
              <w:t>, momenteel echter ondoorzichtige bijdragemethoden oplegt en onvoldoende transparant is, waardoor er kosten bijkomen zonder aantoonbare efficiëntiewinst;</w:t>
            </w:r>
            <w:r>
              <w:t xml:space="preserve"> </w:t>
            </w:r>
            <w:r>
              <w:rPr>
                <w:b/>
                <w:i/>
              </w:rPr>
              <w:t>is van mening dat de middelen in plaats daarvan beter ingezet kunnen worden via nationale noodplannen en marktdiscipline;</w:t>
            </w:r>
            <w:r>
              <w:t xml:space="preserve"> </w:t>
            </w:r>
            <w:r>
              <w:rPr>
                <w:b/>
                <w:i/>
              </w:rPr>
              <w:t>eerbiedigt de prerogatieven van de nationale parlementen met betrekking tot de</w:t>
            </w:r>
            <w:r>
              <w:t xml:space="preserve"> ratificatie van het </w:t>
            </w:r>
            <w:r>
              <w:rPr>
                <w:b/>
                <w:i/>
              </w:rPr>
              <w:t>intergouvernementele</w:t>
            </w:r>
            <w:r>
              <w:t xml:space="preserve"> ESM-verdrag;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is ingenomen met</w:t>
            </w:r>
            <w:r>
              <w:t xml:space="preserve"> het gemeenschappelijk afwikkelingsfonds als een volledig gemutualiseerd, door de sector gefinancierd vangnet; </w:t>
            </w:r>
            <w:r>
              <w:rPr>
                <w:b/>
                <w:i/>
              </w:rPr>
              <w:t>roept nogmaals op tot volledige ratificatie van de wijziging van het ESM-verdrag om de geloofwaardigheid, de afwikkelbaarheid en de veerkracht van de eurozone te vergroten;</w:t>
            </w:r>
          </w:p>
        </w:tc>
        <w:tc>
          <w:tcPr>
            <w:tcW w:w="4876" w:type="dxa"/>
            <w:tcBorders>
              <w:top w:val="nil"/>
              <w:left w:val="nil"/>
              <w:bottom w:val="nil"/>
              <w:right w:val="nil"/>
            </w:tcBorders>
          </w:tcPr>
          <w:p>
            <w:pPr>
              <w:pStyle w:val="Normal6a"/>
            </w:pPr>
            <w:r>
              <w:t>19.</w:t>
            </w:r>
            <w:r>
              <w:tab/>
            </w:r>
            <w:r>
              <w:rPr>
                <w:b/>
                <w:i/>
              </w:rPr>
              <w:t>neemt kennis van</w:t>
            </w:r>
            <w:r>
              <w:t xml:space="preserve"> het gemeenschappelijk afwikkelingsfonds als een volledig gemutualiseerd, door de sector gefinancierd vangnet;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is ingenomen met het gemeenschappelijk afwikkelingsfonds als </w:t>
            </w:r>
            <w:r>
              <w:rPr>
                <w:b/>
                <w:i/>
              </w:rPr>
              <w:t>een volledig gemutualiseerd, door de sector gefinancierd vangnet</w:t>
            </w:r>
            <w:r>
              <w:t>; roept nogmaals op tot volledige ratificatie van de wijziging van het ESM-verdrag om de geloofwaardigheid, de afwikkelbaarheid en de veerkracht van de eurozone te vergroten;</w:t>
            </w:r>
          </w:p>
        </w:tc>
        <w:tc>
          <w:tcPr>
            <w:tcW w:w="4876" w:type="dxa"/>
            <w:tcBorders>
              <w:top w:val="nil"/>
              <w:left w:val="nil"/>
              <w:bottom w:val="nil"/>
              <w:right w:val="nil"/>
            </w:tcBorders>
          </w:tcPr>
          <w:p>
            <w:pPr>
              <w:pStyle w:val="Normal6a"/>
            </w:pPr>
            <w:r>
              <w:t>19.</w:t>
            </w:r>
            <w:r>
              <w:tab/>
            </w:r>
            <w:r>
              <w:t xml:space="preserve">is ingenomen met het gemeenschappelijk afwikkelingsfonds als </w:t>
            </w:r>
            <w:r>
              <w:rPr>
                <w:b/>
                <w:i/>
              </w:rPr>
              <w:t>ondersteuningsmechanisme voor een ordelijk beheer van bankencrises</w:t>
            </w:r>
            <w:r>
              <w:t xml:space="preserve">; roept nogmaals op tot volledige ratificatie van de wijziging van het ESM-verdrag om de geloofwaardigheid, de afwikkelbaarheid en de veerkracht van de eurozone te vergroten </w:t>
            </w:r>
            <w:r>
              <w:rPr>
                <w:b/>
                <w:i/>
              </w:rPr>
              <w:t>en tegelijkertijd de marktdiscipline te handhaven en belastingbetalers te beschermen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is ingenomen met het gemeenschappelijk afwikkelingsfonds als een volledig gemutualiseerd, door de sector gefinancierd vangnet; roept nogmaals op tot volledige ratificatie van de wijziging van het ESM-verdrag om de geloofwaardigheid, de afwikkelbaarheid en de veerkracht van de eurozone te vergroten;</w:t>
            </w:r>
          </w:p>
        </w:tc>
        <w:tc>
          <w:tcPr>
            <w:tcW w:w="4876" w:type="dxa"/>
            <w:tcBorders>
              <w:top w:val="nil"/>
              <w:left w:val="nil"/>
              <w:bottom w:val="nil"/>
              <w:right w:val="nil"/>
            </w:tcBorders>
          </w:tcPr>
          <w:p>
            <w:pPr>
              <w:pStyle w:val="Normal6a"/>
            </w:pPr>
            <w:r>
              <w:t>19.</w:t>
            </w:r>
            <w:r>
              <w:tab/>
            </w:r>
            <w:r>
              <w:t xml:space="preserve">is ingenomen met het gemeenschappelijk afwikkelingsfonds als een volledig gemutualiseerd, door de sector gefinancierd vangnet; roept nogmaals op tot volledige ratificatie van de wijziging van het ESM-verdrag om de geloofwaardigheid, de afwikkelbaarheid en de veerkracht van de eurozone te vergroten; </w:t>
            </w:r>
            <w:r>
              <w:rPr>
                <w:b/>
                <w:i/>
              </w:rPr>
              <w:t>benadrukt het doel de belastingbetaler in geval van afwikkeling te beschermen en herinnert eraan dat er naast het overeengekomen gemeenschappelijk achtervangmechanisme geen extra belastinggeld mag worden gebruikt voor falende banken;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dringt erop aan dat alle lidstaten de overeenkomst tot wijziging van het ESM-verdrag volledig ratificeren, met inbegrip van de invoering van een gemeenschappelijk achtervangmechanisme voor het gemeenschappelijk afwikkelingsfonds;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herinnert eraan dat het beleid inzake het risicogewicht van 0 % voor de staatsschuld een probleem is dat moet worden aangepakt;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betreurt het gebrek aan genderevenwicht in de directie van de 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benadrukt dat het voorstel van de Commissie voor de oprichting van een Europese depositoverzekeringsregeling uit 2015 dateert en dat het landschap sindsdien aanzienlijk is veranderd;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herhaalt zijn krachtige steun voor de totstandkoming van een volwaardig EDIS als de derde en laatste essentiële pijler van de bankenunie;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herhaalt zijn krachtige steun voor de totstandkoming van een volwaardig EDIS als de derde en laatste essentiële pijler van de bankenunie;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herhaalt zijn krachtige steun voor de totstandkoming van een volwaardig EDIS als de derde en laatste essentiële pijler van de bankenunie</w:t>
            </w:r>
            <w:r>
              <w:t>;</w:t>
            </w:r>
          </w:p>
        </w:tc>
        <w:tc>
          <w:tcPr>
            <w:tcW w:w="4876" w:type="dxa"/>
            <w:tcBorders>
              <w:top w:val="nil"/>
              <w:left w:val="nil"/>
              <w:bottom w:val="nil"/>
              <w:right w:val="nil"/>
            </w:tcBorders>
          </w:tcPr>
          <w:p>
            <w:pPr>
              <w:pStyle w:val="Normal6a"/>
            </w:pPr>
            <w:r>
              <w:t>20.</w:t>
            </w:r>
            <w:r>
              <w:tab/>
            </w:r>
            <w:r>
              <w:rPr>
                <w:b/>
                <w:i/>
              </w:rPr>
              <w:t>verwerpt het EDIS;</w:t>
            </w:r>
            <w:r>
              <w:t xml:space="preserve"> </w:t>
            </w:r>
            <w:r>
              <w:rPr>
                <w:b/>
                <w:i/>
              </w:rPr>
              <w:t>stelt dat risico via een gemutualiseerde depositoverzekering inherent verschuift naar sterkere economieën en de stimulansen voor depositohouders om bankrisico’s te monitoren verzwakt, wat leidt tot moreel risico;</w:t>
            </w:r>
            <w:r>
              <w:t xml:space="preserve"> </w:t>
            </w:r>
            <w:r>
              <w:rPr>
                <w:b/>
                <w:i/>
              </w:rPr>
              <w:t>pleit in plaats daarvan voor robuuste nationale regelingen met geharmoniseerde minimumnormen die marktprijssignalen en verantwoordelijkheid in stand houden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herhaalt zijn krachtige steun voor de totstandkoming</w:t>
            </w:r>
            <w:r>
              <w:t xml:space="preserve"> van een </w:t>
            </w:r>
            <w:r>
              <w:rPr>
                <w:b/>
                <w:i/>
              </w:rPr>
              <w:t>volwaardig EDIS als de derde en laatste essentiële pijler</w:t>
            </w:r>
            <w:r>
              <w:t xml:space="preserve"> van de </w:t>
            </w:r>
            <w:r>
              <w:rPr>
                <w:b/>
                <w:i/>
              </w:rPr>
              <w:t>bankenunie</w:t>
            </w:r>
            <w:r>
              <w:t>;</w:t>
            </w:r>
          </w:p>
        </w:tc>
        <w:tc>
          <w:tcPr>
            <w:tcW w:w="4876" w:type="dxa"/>
            <w:tcBorders>
              <w:top w:val="nil"/>
              <w:left w:val="nil"/>
              <w:bottom w:val="nil"/>
              <w:right w:val="nil"/>
            </w:tcBorders>
          </w:tcPr>
          <w:p>
            <w:pPr>
              <w:pStyle w:val="Normal6a"/>
            </w:pPr>
            <w:r>
              <w:t>20.</w:t>
            </w:r>
            <w:r>
              <w:tab/>
            </w:r>
            <w:r>
              <w:rPr>
                <w:b/>
                <w:i/>
              </w:rPr>
              <w:t>benadrukt dat institutionele protectiestelsels moeten worden uitgesloten</w:t>
            </w:r>
            <w:r>
              <w:t xml:space="preserve"> van een </w:t>
            </w:r>
            <w:r>
              <w:rPr>
                <w:b/>
                <w:i/>
              </w:rPr>
              <w:t>Europees depositoverzekeringsstelsel om ervoor te zorgen dat zij blijven functioneren, met behoud</w:t>
            </w:r>
            <w:r>
              <w:t xml:space="preserve"> van de </w:t>
            </w:r>
            <w:r>
              <w:rPr>
                <w:b/>
                <w:i/>
              </w:rPr>
              <w:t>autonomie en doeltreffendheid van institutionele beschermingsregelingen en met inachtneming van de specifieke regels voor institutionele beschermingsregelingen die in de herziening van het CMDI zijn overeengekomen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herhaalt zijn krachtige steun voor de totstandkoming van een volwaardig EDIS als de derde en laatste essentiële pijler</w:t>
            </w:r>
            <w:r>
              <w:t xml:space="preserve"> van de bankenunie;</w:t>
            </w:r>
          </w:p>
        </w:tc>
        <w:tc>
          <w:tcPr>
            <w:tcW w:w="4876" w:type="dxa"/>
            <w:tcBorders>
              <w:top w:val="nil"/>
              <w:left w:val="nil"/>
              <w:bottom w:val="nil"/>
              <w:right w:val="nil"/>
            </w:tcBorders>
          </w:tcPr>
          <w:p>
            <w:pPr>
              <w:pStyle w:val="Normal6a"/>
            </w:pPr>
            <w:r>
              <w:t>20.</w:t>
            </w:r>
            <w:r>
              <w:tab/>
            </w:r>
            <w:r>
              <w:rPr>
                <w:b/>
                <w:i/>
              </w:rPr>
              <w:t>neemt kennis van de verklaring van de Eurogroep van 16 juni 2022 over de toekomst</w:t>
            </w:r>
            <w:r>
              <w:t xml:space="preserve"> van de bankenunie </w:t>
            </w:r>
            <w:r>
              <w:rPr>
                <w:b/>
                <w:i/>
              </w:rPr>
              <w:t>en erkent dat elke discussie over het EDIS deel moet uitmaken van een bredere discussie over alle resterende onderdelen van de bankenunie, waarbij evenredigheid wordt gewaarborgd en rekening wordt gehouden met specifieke nationale kenmerken</w:t>
            </w:r>
            <w:r>
              <w:t xml:space="preserve">; </w:t>
            </w:r>
            <w:r>
              <w:rPr>
                <w:b/>
                <w:i/>
              </w:rPr>
              <w:t>benadrukt dat er een consensuele overeenkomst moet komen over mogelijke andere belangrijke elementen van de bankenunie voordat er een begin wordt gemaakt met het opstellen van concrete wetgevingsvoorstellen;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herhaalt zijn </w:t>
            </w:r>
            <w:r>
              <w:rPr>
                <w:b/>
                <w:i/>
              </w:rPr>
              <w:t>krachtige</w:t>
            </w:r>
            <w:r>
              <w:t xml:space="preserve"> steun voor de </w:t>
            </w:r>
            <w:r>
              <w:rPr>
                <w:b/>
                <w:i/>
              </w:rPr>
              <w:t>totstandkoming van een volwaardig EDIS als de derde en laatste essentiële pijler</w:t>
            </w:r>
            <w:r>
              <w:t xml:space="preserve"> van de bankenunie;</w:t>
            </w:r>
          </w:p>
        </w:tc>
        <w:tc>
          <w:tcPr>
            <w:tcW w:w="4876" w:type="dxa"/>
            <w:tcBorders>
              <w:top w:val="nil"/>
              <w:left w:val="nil"/>
              <w:bottom w:val="nil"/>
              <w:right w:val="nil"/>
            </w:tcBorders>
          </w:tcPr>
          <w:p>
            <w:pPr>
              <w:pStyle w:val="Normal6a"/>
            </w:pPr>
            <w:r>
              <w:t>20.</w:t>
            </w:r>
            <w:r>
              <w:tab/>
            </w:r>
            <w:r>
              <w:t xml:space="preserve">herhaalt zijn steun voor de </w:t>
            </w:r>
            <w:r>
              <w:rPr>
                <w:b/>
                <w:i/>
              </w:rPr>
              <w:t>verdere ontwikkeling</w:t>
            </w:r>
            <w:r>
              <w:t xml:space="preserve"> van de bankenunie</w:t>
            </w:r>
            <w:r>
              <w:rPr>
                <w:b/>
                <w:i/>
              </w:rPr>
              <w:t>, waarbij naar behoren rekening wordt gehouden met nationale specifieke kenmerken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herhaalt zijn krachtige steun voor </w:t>
            </w:r>
            <w:r>
              <w:rPr>
                <w:b/>
                <w:i/>
              </w:rPr>
              <w:t>de totstandkoming van een volwaardig EDIS als de derde en laatste essentiële pijler van de</w:t>
            </w:r>
            <w:r>
              <w:t xml:space="preserve"> bankenunie;</w:t>
            </w:r>
          </w:p>
        </w:tc>
        <w:tc>
          <w:tcPr>
            <w:tcW w:w="4876" w:type="dxa"/>
            <w:tcBorders>
              <w:top w:val="nil"/>
              <w:left w:val="nil"/>
              <w:bottom w:val="nil"/>
              <w:right w:val="nil"/>
            </w:tcBorders>
          </w:tcPr>
          <w:p>
            <w:pPr>
              <w:pStyle w:val="Normal6a"/>
            </w:pPr>
            <w:r>
              <w:t>20.</w:t>
            </w:r>
            <w:r>
              <w:tab/>
            </w:r>
            <w:r>
              <w:t xml:space="preserve">herhaalt zijn krachtige steun voor </w:t>
            </w:r>
            <w:r>
              <w:rPr>
                <w:b/>
                <w:i/>
              </w:rPr>
              <w:t>een robuuste en voltooide</w:t>
            </w:r>
            <w:r>
              <w:t xml:space="preserve"> bankenunie; </w:t>
            </w:r>
            <w:r>
              <w:rPr>
                <w:b/>
                <w:i/>
              </w:rPr>
              <w:t>herinnert aan het gebrek aan vooruitgang bij beide medewetgevers wat betreft het EDIS;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herhaalt zijn krachtige steun voor de totstandkoming van een </w:t>
            </w:r>
            <w:r>
              <w:rPr>
                <w:b/>
                <w:i/>
              </w:rPr>
              <w:t>volwaardig</w:t>
            </w:r>
            <w:r>
              <w:t xml:space="preserve"> EDIS als de derde en laatste essentiële pijler van de bankenunie;</w:t>
            </w:r>
          </w:p>
        </w:tc>
        <w:tc>
          <w:tcPr>
            <w:tcW w:w="4876" w:type="dxa"/>
            <w:tcBorders>
              <w:top w:val="nil"/>
              <w:left w:val="nil"/>
              <w:bottom w:val="nil"/>
              <w:right w:val="nil"/>
            </w:tcBorders>
          </w:tcPr>
          <w:p>
            <w:pPr>
              <w:pStyle w:val="Normal6a"/>
            </w:pPr>
            <w:r>
              <w:t>20.</w:t>
            </w:r>
            <w:r>
              <w:tab/>
            </w:r>
            <w:r>
              <w:t xml:space="preserve">herhaalt zijn krachtige steun voor de totstandkoming van een EDIS </w:t>
            </w:r>
            <w:r>
              <w:rPr>
                <w:b/>
                <w:i/>
              </w:rPr>
              <w:t>waarbij volledig rekening wordt gehouden met nationale specifieke kenmerken</w:t>
            </w:r>
            <w:r>
              <w:t xml:space="preserve"> als de derde en laatste essentiële pijler van de bankenunie;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herhaalt zijn krachtige steun voor de totstandkoming van een volwaardig EDIS als de derde en laatste essentiële pijler van de bankenunie;</w:t>
            </w:r>
          </w:p>
        </w:tc>
        <w:tc>
          <w:tcPr>
            <w:tcW w:w="4876" w:type="dxa"/>
            <w:tcBorders>
              <w:top w:val="nil"/>
              <w:left w:val="nil"/>
              <w:bottom w:val="nil"/>
              <w:right w:val="nil"/>
            </w:tcBorders>
          </w:tcPr>
          <w:p>
            <w:pPr>
              <w:pStyle w:val="Normal6a"/>
            </w:pPr>
            <w:r>
              <w:t>20.</w:t>
            </w:r>
            <w:r>
              <w:tab/>
            </w:r>
            <w:r>
              <w:t xml:space="preserve">herhaalt zijn krachtige steun voor de totstandkoming van een volwaardig </w:t>
            </w:r>
            <w:r>
              <w:rPr>
                <w:b/>
                <w:i/>
              </w:rPr>
              <w:t>en gemutualiseerd</w:t>
            </w:r>
            <w:r>
              <w:t xml:space="preserve"> EDIS als de derde en laatste essentiële pijler van de bankenunie; </w:t>
            </w:r>
            <w:r>
              <w:rPr>
                <w:b/>
                <w:i/>
              </w:rPr>
              <w:t>benadrukt dat een gemeenschappelijk systeem voor depositobescherming onontbeerlijk is om een gelijke bescherming van depositohouders in de hele Unie te waarborgen, de financiële stabiliteit verder te versterken en de resterende banden tussen banken en overheden resoluut te verkleinen;</w:t>
            </w:r>
            <w:r>
              <w:t xml:space="preserve"> </w:t>
            </w:r>
            <w:r>
              <w:rPr>
                <w:b/>
                <w:i/>
              </w:rPr>
              <w:t>onderstreept dat de voltooiing van het EDIS moet worden nagestreefd op een wijze die risicogebaseerd is, fiscaal verantwoord is en vergezeld gaat van voortdurende inspanningen op het gebied van risicovermindering, waardoor het marktvertrouwen en de integriteit van de eengemaakte bankmarkt worden versterkt;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herhaalt zijn krachtige steun voor de totstandkoming van een volwaardig EDIS als de derde en laatste essentiële pijler van de bankenunie;</w:t>
            </w:r>
          </w:p>
        </w:tc>
        <w:tc>
          <w:tcPr>
            <w:tcW w:w="4876" w:type="dxa"/>
            <w:tcBorders>
              <w:top w:val="nil"/>
              <w:left w:val="nil"/>
              <w:bottom w:val="nil"/>
              <w:right w:val="nil"/>
            </w:tcBorders>
          </w:tcPr>
          <w:p>
            <w:pPr>
              <w:pStyle w:val="Normal6a"/>
            </w:pPr>
            <w:r>
              <w:t>20.</w:t>
            </w:r>
            <w:r>
              <w:tab/>
            </w:r>
            <w:r>
              <w:t xml:space="preserve">herhaalt zijn krachtige steun voor de totstandkoming van een volwaardig EDIS </w:t>
            </w:r>
            <w:r>
              <w:rPr>
                <w:b/>
                <w:i/>
              </w:rPr>
              <w:t>dat in verliesdekking voorziet</w:t>
            </w:r>
            <w:r>
              <w:t xml:space="preserve"> als de derde en laatste essentiële pijler van de bankenunie; </w:t>
            </w:r>
            <w:r>
              <w:rPr>
                <w:b/>
                <w:i/>
              </w:rPr>
              <w:t>herinnert eraan dat het EDIS de vicieuze cirkel tussen banken en hun eigen overheden aanzienlijk zou verkleinen;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herhaalt zijn krachtige steun voor de totstandkoming van een volwaardig EDIS als de derde en laatste essentiële pijler van de bankenunie;</w:t>
            </w:r>
          </w:p>
        </w:tc>
        <w:tc>
          <w:tcPr>
            <w:tcW w:w="4876" w:type="dxa"/>
            <w:tcBorders>
              <w:top w:val="nil"/>
              <w:left w:val="nil"/>
              <w:bottom w:val="nil"/>
              <w:right w:val="nil"/>
            </w:tcBorders>
          </w:tcPr>
          <w:p>
            <w:pPr>
              <w:pStyle w:val="Normal6a"/>
            </w:pPr>
            <w:r>
              <w:t>20.</w:t>
            </w:r>
            <w:r>
              <w:tab/>
            </w:r>
            <w:r>
              <w:t>herhaalt zijn krachtige steun voor de totstandkoming van een volwaardig EDIS als de derde en laatste essentiële pijler van de bankenunie</w:t>
            </w:r>
            <w:r>
              <w:rPr>
                <w:b/>
                <w:i/>
              </w:rPr>
              <w:t>, die gebaseerd is op afdoende risicobeperking, de juiste stimulansen en een opzet die bijdraagt tot het vertrouwen van depositohouders, marktdiscipline en financiële stabiliteit in de hele Unie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herhaalt zijn krachtige steun voor de totstandkoming van een </w:t>
            </w:r>
            <w:r>
              <w:rPr>
                <w:b/>
                <w:i/>
              </w:rPr>
              <w:t>volwaardig</w:t>
            </w:r>
            <w:r>
              <w:t xml:space="preserve"> EDIS als de derde en laatste essentiële pijler van de bankenunie;</w:t>
            </w:r>
          </w:p>
        </w:tc>
        <w:tc>
          <w:tcPr>
            <w:tcW w:w="4876" w:type="dxa"/>
            <w:tcBorders>
              <w:top w:val="nil"/>
              <w:left w:val="nil"/>
              <w:bottom w:val="nil"/>
              <w:right w:val="nil"/>
            </w:tcBorders>
          </w:tcPr>
          <w:p>
            <w:pPr>
              <w:pStyle w:val="Normal6a"/>
            </w:pPr>
            <w:r>
              <w:t>20.</w:t>
            </w:r>
            <w:r>
              <w:tab/>
            </w:r>
            <w:r>
              <w:t xml:space="preserve">herhaalt zijn krachtige steun voor de totstandkoming van een EDIS als de derde en laatste essentiële pijler van de bankenunie; </w:t>
            </w:r>
            <w:r>
              <w:rPr>
                <w:b/>
                <w:i/>
              </w:rPr>
              <w:t>is van mening dat de geleidelijke invoering van een Europees depositoverzekeringsstelsel moet leiden tot een vermindering van het risico voor alle banken binnen de bankenunie;</w:t>
            </w:r>
            <w:r>
              <w:t xml:space="preserve"> </w:t>
            </w:r>
            <w:r>
              <w:rPr>
                <w:b/>
                <w:i/>
              </w:rPr>
              <w:t>benadrukt dat bij de bijdragen aan een Europees depositoverzekeringsstelsel rekening moet worden gehouden met het risicoprofiel van elke deelnemende sector;</w:t>
            </w:r>
            <w:r>
              <w:t xml:space="preserve"> </w:t>
            </w:r>
            <w:r>
              <w:rPr>
                <w:b/>
                <w:i/>
              </w:rPr>
              <w:t>onderstreept ook het belang van de volledige toepassing van de huidige regels, met inbegrip van mechanismen zoals ontheffingen van liquiditeitsvereisten, als een manier om vrije kapitaal- en liquiditeitsstromen binnen de groep te waarborgen, waardoor Europese banken bedrijven in de hele EU efficiënt kunnen financieren en het concurrentievermogen kunnen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herhaalt zijn krachtige steun voor de totstandkoming van een volwaardig EDIS als de derde en laatste essentiële pijler van de bankenunie;</w:t>
            </w:r>
          </w:p>
        </w:tc>
        <w:tc>
          <w:tcPr>
            <w:tcW w:w="4876" w:type="dxa"/>
            <w:tcBorders>
              <w:top w:val="nil"/>
              <w:left w:val="nil"/>
              <w:bottom w:val="nil"/>
              <w:right w:val="nil"/>
            </w:tcBorders>
          </w:tcPr>
          <w:p>
            <w:pPr>
              <w:pStyle w:val="Normal6a"/>
            </w:pPr>
            <w:r>
              <w:t>20.</w:t>
            </w:r>
            <w:r>
              <w:tab/>
            </w:r>
            <w:r>
              <w:t xml:space="preserve">herhaalt zijn krachtige steun voor de totstandkoming van een volwaardig EDIS als de derde en laatste essentiële pijler van de bankenunie; </w:t>
            </w:r>
            <w:r>
              <w:rPr>
                <w:b/>
                <w:i/>
              </w:rPr>
              <w:t>betreurt dat de bankenunie nog altijd onvolledig is vanwege het ontbreken van een EDIS;</w:t>
            </w:r>
            <w:r>
              <w:t xml:space="preserve"> </w:t>
            </w:r>
            <w:r>
              <w:rPr>
                <w:b/>
                <w:i/>
              </w:rPr>
              <w:t>onderkent dat het EDIS de bescherming van depositohouders in de EU zou verbeteren;</w:t>
            </w:r>
            <w:r>
              <w:t xml:space="preserve"> </w:t>
            </w:r>
            <w:r>
              <w:rPr>
                <w:b/>
                <w:i/>
              </w:rPr>
              <w:t>wijst erop dat het EDIS voor EU-burgers een tastbaar onderdeel van de bankenunie zou zijn, in combinatie met meer concurrentie en meer keuzemogelijkheden voor de consument;</w:t>
            </w:r>
            <w:r>
              <w:t xml:space="preserve"> </w:t>
            </w:r>
            <w:r>
              <w:rPr>
                <w:b/>
                <w:i/>
              </w:rPr>
              <w:t>is van mening dat het EDIS hierin zou voorzien;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erkent dat een Europees depositoverzekeringsstelsel (EDIS) de bescherming van depositohouders in de EU zou verbeteren;</w:t>
            </w:r>
            <w:r>
              <w:t xml:space="preserve"> </w:t>
            </w:r>
            <w:r>
              <w:rPr>
                <w:b/>
                <w:i/>
              </w:rPr>
              <w:t>is echter van mening dat de belangrijkste belemmering voor de invoering van het EDIS de bezorgdheid over de risico’s in sommige banksystemen is;</w:t>
            </w:r>
            <w:r>
              <w:t xml:space="preserve"> </w:t>
            </w:r>
            <w:r>
              <w:rPr>
                <w:b/>
                <w:i/>
              </w:rPr>
              <w:t>benadrukt dat het verminderen van deze risico’s van cruciaal belang is om overeenstemming te bereiken over om het even welk EDIS;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wijst erop dat de vorm waarin het EDIS oorspronkelijk is voorgesteld, niet langer geldig is en dat er geen kans is op steun om de uitvoering ervan mogelijk te maken;</w:t>
            </w:r>
            <w:r>
              <w:t xml:space="preserve"> </w:t>
            </w:r>
            <w:r>
              <w:rPr>
                <w:b/>
                <w:i/>
              </w:rPr>
              <w:t>is van mening dat een mogelijk EDIS niet de vorm van een volledig geïntegreerd systeem moet aannemen, maar eerder een vorm van herverzekering;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w:t>
            </w:r>
            <w:r>
              <w:t xml:space="preserve"> </w:t>
            </w:r>
            <w:r>
              <w:rPr>
                <w:b/>
                <w:i/>
              </w:rPr>
              <w:t>herinnert aan het standpunt van deze commissie van 2024 over het EDIS;</w:t>
            </w:r>
            <w:r>
              <w:t xml:space="preserve"> </w:t>
            </w:r>
            <w:r>
              <w:rPr>
                <w:b/>
                <w:i/>
              </w:rPr>
              <w:t>dringt er bij de Raad met klem op aan vooruitgang te boeken in de onderhandelingen;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w:t>
            </w:r>
            <w:r>
              <w:t xml:space="preserve"> </w:t>
            </w:r>
            <w:r>
              <w:rPr>
                <w:b/>
                <w:i/>
              </w:rPr>
              <w:t>herinnert aan het standpunt van deze</w:t>
            </w:r>
            <w:r>
              <w:t xml:space="preserve"> commissie </w:t>
            </w:r>
            <w:r>
              <w:rPr>
                <w:b/>
                <w:i/>
              </w:rPr>
              <w:t>van 2024 over</w:t>
            </w:r>
            <w:r>
              <w:t xml:space="preserve"> het EDIS</w:t>
            </w:r>
            <w:r>
              <w:rPr>
                <w:b/>
                <w:i/>
              </w:rPr>
              <w:t>;</w:t>
            </w:r>
            <w:r>
              <w:t xml:space="preserve"> dringt er bij de </w:t>
            </w:r>
            <w:r>
              <w:rPr>
                <w:b/>
                <w:i/>
              </w:rPr>
              <w:t>Raad met klem</w:t>
            </w:r>
            <w:r>
              <w:t xml:space="preserve"> op aan </w:t>
            </w:r>
            <w:r>
              <w:rPr>
                <w:b/>
                <w:i/>
              </w:rPr>
              <w:t>vooruitgang te boeken in de onderhandelingen</w:t>
            </w:r>
            <w:r>
              <w:t>;</w:t>
            </w:r>
          </w:p>
        </w:tc>
        <w:tc>
          <w:tcPr>
            <w:tcW w:w="4876" w:type="dxa"/>
            <w:tcBorders>
              <w:top w:val="nil"/>
              <w:left w:val="nil"/>
              <w:bottom w:val="nil"/>
              <w:right w:val="nil"/>
            </w:tcBorders>
          </w:tcPr>
          <w:p>
            <w:pPr>
              <w:pStyle w:val="Normal6a"/>
            </w:pPr>
            <w:r>
              <w:t>21.</w:t>
            </w:r>
            <w:r>
              <w:tab/>
            </w:r>
            <w:r>
              <w:rPr>
                <w:b/>
                <w:i/>
              </w:rPr>
              <w:t>verzoekt de</w:t>
            </w:r>
            <w:r>
              <w:t xml:space="preserve"> Commissie </w:t>
            </w:r>
            <w:r>
              <w:rPr>
                <w:b/>
                <w:i/>
              </w:rPr>
              <w:t>te erkennen dat het huidige wetgevingsvoorstel inzake</w:t>
            </w:r>
            <w:r>
              <w:t xml:space="preserve"> het EDIS </w:t>
            </w:r>
            <w:r>
              <w:rPr>
                <w:b/>
                <w:i/>
              </w:rPr>
              <w:t>al enkele jaren vertraging heeft opgelopen, zonder dat er tastbare vooruitgang is geboekt, betreurt dat deze langdurige impasse de geloofwaardigheid van de toezegging om de bankenunie te voltooien heeft ondermijnd, en</w:t>
            </w:r>
            <w:r>
              <w:t xml:space="preserve"> dringt er bij de </w:t>
            </w:r>
            <w:r>
              <w:rPr>
                <w:b/>
                <w:i/>
              </w:rPr>
              <w:t>Commissie</w:t>
            </w:r>
            <w:r>
              <w:t xml:space="preserve"> op aan </w:t>
            </w:r>
            <w:r>
              <w:rPr>
                <w:b/>
                <w:i/>
              </w:rPr>
              <w:t>het bestaande voorstel in te trekken en onverwijld een hernieuwd en ambitieuzer initiatief in te dienen waarmee een echt politiek akkoord over het EDIS kan worden gesloten;</w:t>
            </w:r>
            <w:r>
              <w:t xml:space="preserve"> </w:t>
            </w:r>
            <w:r>
              <w:rPr>
                <w:b/>
                <w:i/>
              </w:rPr>
              <w:t>benadrukt dat een dergelijk nieuw voorstel een geloofwaardig, doeltreffend en risicogebaseerd kader moet bieden dat een echte impuls geeft aan de voltooiing van het EDIS, het vertrouwen van depositohouders versterkt en een gelijk speelveld op de eengemaakte bankmarkt waarborgt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w:t>
            </w:r>
            <w:r>
              <w:t xml:space="preserve"> </w:t>
            </w:r>
            <w:r>
              <w:rPr>
                <w:b/>
                <w:i/>
              </w:rPr>
              <w:t>herinnert aan het standpunt van deze commissie van 2024 over het EDIS;</w:t>
            </w:r>
            <w:r>
              <w:t xml:space="preserve"> </w:t>
            </w:r>
            <w:r>
              <w:rPr>
                <w:b/>
                <w:i/>
              </w:rPr>
              <w:t>dringt er bij de Raad met klem op aan</w:t>
            </w:r>
            <w:r>
              <w:t xml:space="preserve"> vooruitgang </w:t>
            </w:r>
            <w:r>
              <w:rPr>
                <w:b/>
                <w:i/>
              </w:rPr>
              <w:t>te boeken in de onderhandelingen</w:t>
            </w:r>
            <w:r>
              <w:t>;</w:t>
            </w:r>
          </w:p>
        </w:tc>
        <w:tc>
          <w:tcPr>
            <w:tcW w:w="4876" w:type="dxa"/>
            <w:tcBorders>
              <w:top w:val="nil"/>
              <w:left w:val="nil"/>
              <w:bottom w:val="nil"/>
              <w:right w:val="nil"/>
            </w:tcBorders>
          </w:tcPr>
          <w:p>
            <w:pPr>
              <w:pStyle w:val="Normal6a"/>
            </w:pPr>
            <w:r>
              <w:t>21.</w:t>
            </w:r>
            <w:r>
              <w:tab/>
            </w:r>
            <w:r>
              <w:rPr>
                <w:b/>
                <w:i/>
              </w:rPr>
              <w:t>erkent de</w:t>
            </w:r>
            <w:r>
              <w:t xml:space="preserve"> vooruitgang </w:t>
            </w:r>
            <w:r>
              <w:rPr>
                <w:b/>
                <w:i/>
              </w:rPr>
              <w:t>die op het gebied van het CMDI is geboekt, maar waarschuwt voor een te grote afhankelijkheid van gecentraliseerde stelsels die de verantwoordingsplicht zouden kunnen afzwakken en de fiscaal verantwoordelijke lidstaten zouden kunnen blootstellen aan systemische verplichtingen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is ingenomen met de goedkeuring van het CMDI-pakket als een positieve stap om de nationale depositoverzekeringsstelsels te versterken</w:t>
            </w:r>
            <w:r>
              <w:rPr>
                <w:b/>
                <w:i/>
              </w:rPr>
              <w:t>,</w:t>
            </w:r>
            <w:r>
              <w:t xml:space="preserve"> het vertrouwen in de banksector te vergroten </w:t>
            </w:r>
            <w:r>
              <w:rPr>
                <w:b/>
                <w:i/>
              </w:rPr>
              <w:t>en de operationele en juridische voorwaarden te verbeteren die nodig zijn om toe te werken naar een gemeenschappelijke bescherming op EU-niveau voor depositohouders en belastingbetalers</w:t>
            </w:r>
            <w:r>
              <w:t xml:space="preserve">; </w:t>
            </w:r>
            <w:r>
              <w:rPr>
                <w:b/>
                <w:i/>
              </w:rPr>
              <w:t>herinnert aan het standpunt van deze commissie van 2024 over het EDIS;</w:t>
            </w:r>
            <w:r>
              <w:t xml:space="preserve"> </w:t>
            </w:r>
            <w:r>
              <w:rPr>
                <w:b/>
                <w:i/>
              </w:rPr>
              <w:t>dringt er bij de Raad met klem op aan vooruitgang te boeken in de onderhandelingen;</w:t>
            </w:r>
          </w:p>
        </w:tc>
        <w:tc>
          <w:tcPr>
            <w:tcW w:w="4876" w:type="dxa"/>
            <w:tcBorders>
              <w:top w:val="nil"/>
              <w:left w:val="nil"/>
              <w:bottom w:val="nil"/>
              <w:right w:val="nil"/>
            </w:tcBorders>
          </w:tcPr>
          <w:p>
            <w:pPr>
              <w:pStyle w:val="Normal6a"/>
            </w:pPr>
            <w:r>
              <w:t>21.</w:t>
            </w:r>
            <w:r>
              <w:tab/>
            </w:r>
            <w:r>
              <w:t xml:space="preserve">is ingenomen met de goedkeuring van het CMDI-pakket als een positieve stap om de nationale depositoverzekeringsstelsels te versterken </w:t>
            </w:r>
            <w:r>
              <w:rPr>
                <w:b/>
                <w:i/>
              </w:rPr>
              <w:t>en</w:t>
            </w:r>
            <w:r>
              <w:t xml:space="preserve"> het vertrouwen in de banksector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 </w:t>
            </w:r>
            <w:r>
              <w:rPr>
                <w:b/>
                <w:i/>
              </w:rPr>
              <w:t>herinnert aan het standpunt van deze commissie van 2024 over het EDIS;</w:t>
            </w:r>
            <w:r>
              <w:t xml:space="preserve"> </w:t>
            </w:r>
            <w:r>
              <w:rPr>
                <w:b/>
                <w:i/>
              </w:rPr>
              <w:t>dringt er bij de Raad met klem op aan vooruitgang te boeken in de onderhandelingen;</w:t>
            </w:r>
          </w:p>
        </w:tc>
        <w:tc>
          <w:tcPr>
            <w:tcW w:w="4876" w:type="dxa"/>
            <w:tcBorders>
              <w:top w:val="nil"/>
              <w:left w:val="nil"/>
              <w:bottom w:val="nil"/>
              <w:right w:val="nil"/>
            </w:tcBorders>
          </w:tcPr>
          <w:p>
            <w:pPr>
              <w:pStyle w:val="Normal6a"/>
            </w:pPr>
            <w:r>
              <w:t>21.</w:t>
            </w:r>
            <w:r>
              <w:tab/>
            </w:r>
            <w:r>
              <w:t>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 </w:t>
            </w:r>
            <w:r>
              <w:rPr>
                <w:b/>
                <w:i/>
              </w:rPr>
              <w:t>herinnert aan het standpunt van deze commissie van 2024 over het EDIS;</w:t>
            </w:r>
            <w:r>
              <w:t xml:space="preserve"> </w:t>
            </w:r>
            <w:r>
              <w:rPr>
                <w:b/>
                <w:i/>
              </w:rPr>
              <w:t>dringt er bij de Raad met klem op aan vooruitgang te boeken in de onderhandelingen;</w:t>
            </w:r>
          </w:p>
        </w:tc>
        <w:tc>
          <w:tcPr>
            <w:tcW w:w="4876" w:type="dxa"/>
            <w:tcBorders>
              <w:top w:val="nil"/>
              <w:left w:val="nil"/>
              <w:bottom w:val="nil"/>
              <w:right w:val="nil"/>
            </w:tcBorders>
          </w:tcPr>
          <w:p>
            <w:pPr>
              <w:pStyle w:val="Normal6a"/>
            </w:pPr>
            <w:r>
              <w:t>21.</w:t>
            </w:r>
            <w:r>
              <w:tab/>
            </w:r>
            <w:r>
              <w:t>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 </w:t>
            </w:r>
            <w:r>
              <w:rPr>
                <w:b/>
                <w:i/>
              </w:rPr>
              <w:t>herinnert aan het standpunt van deze commissie van 2024 over het EDIS;</w:t>
            </w:r>
            <w:r>
              <w:t xml:space="preserve"> dringt er bij de Raad met klem op aan vooruitgang te boeken in de onderhandelingen;</w:t>
            </w:r>
          </w:p>
        </w:tc>
        <w:tc>
          <w:tcPr>
            <w:tcW w:w="4876" w:type="dxa"/>
            <w:tcBorders>
              <w:top w:val="nil"/>
              <w:left w:val="nil"/>
              <w:bottom w:val="nil"/>
              <w:right w:val="nil"/>
            </w:tcBorders>
          </w:tcPr>
          <w:p>
            <w:pPr>
              <w:pStyle w:val="Normal6a"/>
            </w:pPr>
            <w:r>
              <w:t>21.</w:t>
            </w:r>
            <w:r>
              <w:tab/>
            </w:r>
            <w:r>
              <w:t>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 dringt er bij de Raad met klem op aan vooruitgang te boeken in de onderhandelingen;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 </w:t>
            </w:r>
            <w:r>
              <w:rPr>
                <w:b/>
                <w:i/>
              </w:rPr>
              <w:t>herinnert aan het standpunt van deze commissie van 2024 over het EDIS;</w:t>
            </w:r>
            <w:r>
              <w:t xml:space="preserve"> dringt er bij de Raad met klem op aan vooruitgang te boeken in de onderhandelingen;</w:t>
            </w:r>
          </w:p>
        </w:tc>
        <w:tc>
          <w:tcPr>
            <w:tcW w:w="4876" w:type="dxa"/>
            <w:tcBorders>
              <w:top w:val="nil"/>
              <w:left w:val="nil"/>
              <w:bottom w:val="nil"/>
              <w:right w:val="nil"/>
            </w:tcBorders>
          </w:tcPr>
          <w:p>
            <w:pPr>
              <w:pStyle w:val="Normal6a"/>
            </w:pPr>
            <w:r>
              <w:t>21.</w:t>
            </w:r>
            <w:r>
              <w:tab/>
            </w:r>
            <w:r>
              <w:t>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 dringt er bij de Raad met klem op aan vooruitgang te boeken in de onderhandelingen;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is ingenomen met de goedkeuring van het CMDI-pakket als een positieve stap om </w:t>
            </w:r>
            <w:r>
              <w:rPr>
                <w:b/>
                <w:i/>
              </w:rPr>
              <w:t>de nationale depositoverzekeringsstelsels te versterken,</w:t>
            </w:r>
            <w:r>
              <w:t xml:space="preserve"> het vertrouwen in de banksector te vergroten en de operationele en juridische voorwaarden te verbeteren die nodig zijn om toe te werken naar een gemeenschappelijke bescherming op EU-niveau voor depositohouders en belastingbetalers; herinnert aan het standpunt van deze commissie van 2024 over het EDIS; dringt er bij de Raad met klem op aan vooruitgang te boeken in de onderhandelingen;</w:t>
            </w:r>
          </w:p>
        </w:tc>
        <w:tc>
          <w:tcPr>
            <w:tcW w:w="4876" w:type="dxa"/>
            <w:tcBorders>
              <w:top w:val="nil"/>
              <w:left w:val="nil"/>
              <w:bottom w:val="nil"/>
              <w:right w:val="nil"/>
            </w:tcBorders>
          </w:tcPr>
          <w:p>
            <w:pPr>
              <w:pStyle w:val="Normal6a"/>
            </w:pPr>
            <w:r>
              <w:t>21.</w:t>
            </w:r>
            <w:r>
              <w:tab/>
            </w:r>
            <w:r>
              <w:t xml:space="preserve">is ingenomen met de goedkeuring van het CMDI-pakket als een positieve stap om het vertrouwen in de banksector te vergroten en de operationele en juridische voorwaarden te verbeteren die nodig zijn om toe te werken naar een gemeenschappelijke bescherming op EU-niveau voor depositohouders en belastingbetalers; herinnert aan het standpunt van deze commissie van 2024 over het EDIS; dringt er bij de Raad met klem op aan vooruitgang te boeken in de onderhandelingen; </w:t>
            </w:r>
            <w:r>
              <w:rPr>
                <w:b/>
                <w:i/>
              </w:rPr>
              <w:t>dringt er bij de nieuwe voorzitter van de Eurogroep op aan de gesprekken over dit onderwerp zo snel mogelijk te hervatten;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is ingenomen met de goedkeuring van het CMDI-pakket als een positieve stap om de nationale depositoverzekeringsstelsels te versterken, het vertrouwen in de banksector te vergroten en de operationele en juridische voorwaarden te verbeteren die nodig zijn om toe te werken naar een gemeenschappelijke bescherming op EU-niveau voor depositohouders en belastingbetalers; herinnert aan het standpunt van deze commissie van 2024 over het EDIS; dringt er bij de Raad met klem op aan vooruitgang te boeken in de onderhandelingen;</w:t>
            </w:r>
          </w:p>
        </w:tc>
        <w:tc>
          <w:tcPr>
            <w:tcW w:w="4876" w:type="dxa"/>
            <w:tcBorders>
              <w:top w:val="nil"/>
              <w:left w:val="nil"/>
              <w:bottom w:val="nil"/>
              <w:right w:val="nil"/>
            </w:tcBorders>
          </w:tcPr>
          <w:p>
            <w:pPr>
              <w:pStyle w:val="Normal6a"/>
            </w:pPr>
            <w:r>
              <w:t>21.</w:t>
            </w:r>
            <w:r>
              <w:tab/>
            </w:r>
            <w:r>
              <w:t xml:space="preserve">is ingenomen met de goedkeuring van het CMDI-pakket als een positieve stap om de nationale depositoverzekeringsstelsels te versterken, het vertrouwen in de banksector te vergroten en de operationele en juridische voorwaarden te verbeteren die nodig zijn om </w:t>
            </w:r>
            <w:r>
              <w:rPr>
                <w:b/>
                <w:i/>
              </w:rPr>
              <w:t>geleidelijk en op geloofwaardige wijze</w:t>
            </w:r>
            <w:r>
              <w:t xml:space="preserve"> toe te werken naar een gemeenschappelijke bescherming op EU-niveau voor depositohouders en belastingbetalers; herinnert aan het standpunt van deze commissie van 2024 over het EDIS; dringt er bij de Raad met klem op aan vooruitgang te boeken in de onderhandelingen;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148</w:t>
    </w:r>
    <w:r>
      <w:fldChar w:fldCharType="end"/>
    </w:r>
    <w:r>
      <w:t>/</w:t>
    </w:r>
    <w:r>
      <w:fldChar w:fldCharType="begin"/>
    </w:r>
    <w:r>
      <w:instrText xml:space="preserve"> NUMPAGES </w:instrText>
    </w:r>
    <w:r>
      <w:fldChar w:fldCharType="separate"/>
    </w:r>
    <w:r>
      <w:t>148</w:t>
    </w:r>
    <w:r>
      <w:fldChar w:fldCharType="end"/>
    </w:r>
    <w:r>
      <w:tab/>
    </w:r>
    <w:r>
      <w:rPr>
        <w:rStyle w:val="HideTWBExt"/>
      </w:rPr>
      <w:t>&lt;PathFdR&gt;</w:t>
    </w:r>
    <w:r>
      <w:t>AM\1335561NL.docx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AM\1335561NL.docx</w:t>
    </w:r>
    <w:r>
      <w:rPr>
        <w:rStyle w:val="HideTWBExt"/>
      </w:rPr>
      <w:t>&lt;/PathFdR&gt;</w:t>
    </w:r>
    <w:r>
      <w:tab/>
    </w:r>
    <w:r>
      <w:fldChar w:fldCharType="begin"/>
    </w:r>
    <w:r>
      <w:instrText xml:space="preserve"> PAGE </w:instrText>
    </w:r>
    <w:r>
      <w:fldChar w:fldCharType="separate"/>
    </w:r>
    <w:r>
      <w:t>147</w:t>
    </w:r>
    <w:r>
      <w:fldChar w:fldCharType="end"/>
    </w:r>
    <w:r>
      <w:t>/</w:t>
    </w:r>
    <w:r>
      <w:fldChar w:fldCharType="begin"/>
    </w:r>
    <w:r>
      <w:instrText xml:space="preserve"> NUMPAGES </w:instrText>
    </w:r>
    <w:r>
      <w:fldChar w:fldCharType="separate"/>
    </w:r>
    <w:r>
      <w:t>148</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AM\1335561NL.docx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148</Pages>
  <Words>29267</Words>
  <Characters>185268</Characters>
  <Application>Microsoft Office Word</Application>
  <DocSecurity>0</DocSecurity>
  <Lines>1</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360589</vt:lpwstr>
  </property>
  <property fmtid="{D5CDD505-2E9C-101B-9397-08002B2CF9AE}" pid="7" name="dmxml.render.traceId">
    <vt:lpwstr>6981b1980cafe6c017fa4e8073ef5785</vt:lpwstr>
  </property>
  <property fmtid="{D5CDD505-2E9C-101B-9397-08002B2CF9AE}" pid="8" name="FooterPath">
    <vt:lpwstr>AM\1335561NL.docx</vt:lpwstr>
  </property>
  <property fmtid="{D5CDD505-2E9C-101B-9397-08002B2CF9AE}" pid="9" name="PE Number">
    <vt:lpwstr>782.353</vt:lpwstr>
  </property>
  <property fmtid="{D5CDD505-2E9C-101B-9397-08002B2CF9AE}" pid="10" name="UID">
    <vt:lpwstr>eu.europa.europarl-DIN1-2026-0000006414_01.00-nl-01.00_text-xml</vt:lpwstr>
  </property>
</Properties>
</file>