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Výbor pre hospodárske a menové veci</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Banková únia – výročná správa za rok 2025</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správu svojho Výboru pre hospodárske a menové veci z 23. apríla 2024 k návrhu nariadenia Európskeho parlamentu a Rady, ktorým sa mení nariadenie (EÚ) č. 806/2014 s cieľom vytvoriť európsky systém ochrany vkladov (EDIS),</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správu svojho Výboru pre hospodárske a menové veci z 23. apríla 2024 k návrhu nariadenia Európskeho parlamentu a Rady, ktorým sa mení nariadenie (EÚ) č. 806/2014 s cieľom vytvoriť európsky systém ochrany vkladov (EDIS),</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správu piatich predsedov z 22. júna 2015 s názvom Dobudovanie hospodárskej a menovej únie v Európe,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príležitostnú správu ECB č. 328 z roku 2023 s názvom The Road to Paris:</w:t>
            </w:r>
            <w:r>
              <w:t xml:space="preserve"> </w:t>
            </w:r>
            <w:r>
              <w:rPr>
                <w:b/>
                <w:i/>
              </w:rPr>
              <w:t>stress testing the transition towards a net-zero economy („Cesta do Paríža: záťažové testovanie prechodu na emisne neutrálne hospodárstvo“),</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príležitostnú správu ECB č. 328 z roku 2023 s názvom The Road to Paris:</w:t>
            </w:r>
            <w:r>
              <w:t xml:space="preserve"> </w:t>
            </w:r>
            <w:r>
              <w:rPr>
                <w:b/>
                <w:i/>
              </w:rPr>
              <w:t>stress testing the transition towards a net-zero economy („Cesta do Paríža: záťažové testovanie prechodu na emisne neutrálne hospodárstvo“),</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21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príležitostnú správu ECB č. 376 z roku 2025 s názvom Kapitálové požiadavky – pilier alebo záťaž pre konkurencieschopnosť bánk?,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Bazilejského výboru pre bankový dohľad z 10. júla 2025 s názvom Prepojenia bánk s nebankovými finančnými sprostredkovateľmi,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30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Európskeho orgánu pre poisťovníctvo a dôchodkové poistenie zamestnancov o prudenciálnom zaobchádzaní s rizikami ohrozujúcimi udržateľnosť zo 7. novembra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34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ECB o zjednodušení európskeho prudenciálneho regulačného rámca, rámca dohľadu a výkazníctva z decembra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34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EBA o efektívnosti regulačného rámca a rámca dohľadu z 1. októbra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cieľom bankovej únie je chrániť </w:t>
            </w:r>
            <w:r>
              <w:rPr>
                <w:b/>
                <w:i/>
              </w:rPr>
              <w:t>bankovú</w:t>
            </w:r>
            <w:r>
              <w:t xml:space="preserve"> stabilitu, zabrániť záchrane bánk z peniazov daňovníkov, posilniť odolnosť, umožniť riadne riešenie krízových situácií, znížiť fragmentáciu trhu a zvýšiť konkurencieschopnosť, cezhraničnú činnosť a prístup k financovaniu, pričom otázka subjektov „príliš veľkých na vyhlásenie úpadku“ zostáva nevyriešená;</w:t>
            </w:r>
          </w:p>
        </w:tc>
        <w:tc>
          <w:tcPr>
            <w:tcW w:w="4876" w:type="dxa"/>
            <w:tcBorders>
              <w:top w:val="nil"/>
              <w:left w:val="nil"/>
              <w:bottom w:val="nil"/>
              <w:right w:val="nil"/>
            </w:tcBorders>
          </w:tcPr>
          <w:p>
            <w:pPr>
              <w:pStyle w:val="Normal6a"/>
            </w:pPr>
            <w:r>
              <w:t>A.</w:t>
            </w:r>
            <w:r>
              <w:tab/>
            </w:r>
            <w:r>
              <w:t xml:space="preserve">keďže cieľom bankovej únie je chrániť stabilitu </w:t>
            </w:r>
            <w:r>
              <w:rPr>
                <w:b/>
                <w:i/>
              </w:rPr>
              <w:t>finančného systému a zaručiť riadne riadenie bankovej krízy</w:t>
            </w:r>
            <w:r>
              <w:t>, zabrániť záchrane bánk z peniazov daňovníkov, posilniť odolnosť, umožniť riadne riešenie krízových situácií, znížiť fragmentáciu trhu a zvýšiť konkurencieschopnosť, cezhraničnú činnosť a prístup k financovaniu, pričom otázka subjektov „príliš veľkých na vyhlásenie úpadku“ zostáva nevyriešená;</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w:t>
            </w:r>
            <w:r>
              <w:rPr>
                <w:b/>
                <w:i/>
              </w:rPr>
              <w:t>, pričom otázka subjektov „príliš veľkých na vyhlásenie úpadku“ zostáva nevyriešená</w:t>
            </w:r>
            <w:r>
              <w:t>;</w:t>
            </w:r>
          </w:p>
        </w:tc>
        <w:tc>
          <w:tcPr>
            <w:tcW w:w="4876" w:type="dxa"/>
            <w:tcBorders>
              <w:top w:val="nil"/>
              <w:left w:val="nil"/>
              <w:bottom w:val="nil"/>
              <w:right w:val="nil"/>
            </w:tcBorders>
          </w:tcPr>
          <w:p>
            <w:pPr>
              <w:pStyle w:val="Normal6a"/>
            </w:pPr>
            <w:r>
              <w:t>A.</w:t>
            </w:r>
            <w:r>
              <w:tab/>
            </w:r>
            <w:r>
              <w:t xml:space="preserve">keďže cieľom bankovej únie je chrániť bankovú stabilitu, </w:t>
            </w:r>
            <w:r>
              <w:rPr>
                <w:b/>
                <w:i/>
              </w:rPr>
              <w:t>prelomiť začarovaný kruh medzi medzi štátom a bankami a</w:t>
            </w:r>
            <w:r>
              <w:t> zabrániť záchrane bánk z peniazov daňovníkov, posilniť odolnosť, umožniť riadne riešenie krízových situácií, znížiť fragmentáciu trhu a zvýšiť konkurencieschopnosť, cezhraničnú činnosť a prístup k financovaniu;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w:t>
            </w:r>
            <w:r>
              <w:rPr>
                <w:b/>
                <w:i/>
              </w:rPr>
              <w:t>, pričom otázka subjektov „príliš veľkých na vyhlásenie úpadku“ zostáva nevyriešená</w:t>
            </w:r>
            <w:r>
              <w:t>;</w:t>
            </w:r>
          </w:p>
        </w:tc>
        <w:tc>
          <w:tcPr>
            <w:tcW w:w="4876" w:type="dxa"/>
            <w:tcBorders>
              <w:top w:val="nil"/>
              <w:left w:val="nil"/>
              <w:bottom w:val="nil"/>
              <w:right w:val="nil"/>
            </w:tcBorders>
          </w:tcPr>
          <w:p>
            <w:pPr>
              <w:pStyle w:val="Normal6a"/>
            </w:pPr>
            <w:r>
              <w:t>A.</w:t>
            </w:r>
            <w:r>
              <w:tab/>
            </w:r>
            <w:r>
              <w:t>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 pričom </w:t>
            </w:r>
            <w:r>
              <w:rPr>
                <w:b/>
                <w:i/>
              </w:rPr>
              <w:t>otázka subjektov „príliš veľkých na vyhlásenie úpadku“ zostáva nevyriešená</w:t>
            </w:r>
            <w:r>
              <w:t>;</w:t>
            </w:r>
          </w:p>
        </w:tc>
        <w:tc>
          <w:tcPr>
            <w:tcW w:w="4876" w:type="dxa"/>
            <w:tcBorders>
              <w:top w:val="nil"/>
              <w:left w:val="nil"/>
              <w:bottom w:val="nil"/>
              <w:right w:val="nil"/>
            </w:tcBorders>
          </w:tcPr>
          <w:p>
            <w:pPr>
              <w:pStyle w:val="Normal6a"/>
            </w:pPr>
            <w:r>
              <w:t>A.</w:t>
            </w:r>
            <w:r>
              <w:tab/>
            </w:r>
            <w:r>
              <w:t>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 pričom </w:t>
            </w:r>
            <w:r>
              <w:rPr>
                <w:b/>
                <w:i/>
              </w:rPr>
              <w:t>bankové prostredie Európskej únie je rôznorodé a rôzne bankové štruktúry ponúkajú európskym občanom a podnikom širokú škálu služieb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 pričom </w:t>
            </w:r>
            <w:r>
              <w:rPr>
                <w:b/>
                <w:i/>
              </w:rPr>
              <w:t>otázka</w:t>
            </w:r>
            <w:r>
              <w:t xml:space="preserve"> subjektov „príliš veľkých na vyhlásenie úpadku“ </w:t>
            </w:r>
            <w:r>
              <w:rPr>
                <w:b/>
                <w:i/>
              </w:rPr>
              <w:t>zostáva nevyriešená</w:t>
            </w:r>
            <w:r>
              <w:t>;</w:t>
            </w:r>
          </w:p>
        </w:tc>
        <w:tc>
          <w:tcPr>
            <w:tcW w:w="4876" w:type="dxa"/>
            <w:tcBorders>
              <w:top w:val="nil"/>
              <w:left w:val="nil"/>
              <w:bottom w:val="nil"/>
              <w:right w:val="nil"/>
            </w:tcBorders>
          </w:tcPr>
          <w:p>
            <w:pPr>
              <w:pStyle w:val="Normal6a"/>
            </w:pPr>
            <w:r>
              <w:t>A.</w:t>
            </w:r>
            <w:r>
              <w:tab/>
            </w:r>
            <w:r>
              <w:t xml:space="preserve">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 pričom </w:t>
            </w:r>
            <w:r>
              <w:rPr>
                <w:b/>
                <w:i/>
              </w:rPr>
              <w:t>pretrvávajúca dynamika</w:t>
            </w:r>
            <w:r>
              <w:t xml:space="preserve"> subjektov „príliš veľkých na vyhlásenie úpadku“ </w:t>
            </w:r>
            <w:r>
              <w:rPr>
                <w:b/>
                <w:i/>
              </w:rPr>
              <w:t>naďalej narúša trhové stimuly a zvyšuje implicitné štátne záruky</w:t>
            </w:r>
            <w:r>
              <w:t xml:space="preserve">; </w:t>
            </w:r>
            <w:r>
              <w:rPr>
                <w:b/>
                <w:i/>
              </w:rPr>
              <w:t>požaduje prísnejšiu trhovú disciplínu namiesto ďalej regulačnej vrstvy;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 pričom otázka subjektov „príliš veľkých na vyhlásenie úpadku“ zostáva nevyriešená;</w:t>
            </w:r>
          </w:p>
        </w:tc>
        <w:tc>
          <w:tcPr>
            <w:tcW w:w="4876" w:type="dxa"/>
            <w:tcBorders>
              <w:top w:val="nil"/>
              <w:left w:val="nil"/>
              <w:bottom w:val="nil"/>
              <w:right w:val="nil"/>
            </w:tcBorders>
          </w:tcPr>
          <w:p>
            <w:pPr>
              <w:pStyle w:val="Normal6a"/>
            </w:pPr>
            <w:r>
              <w:t>A.</w:t>
            </w:r>
            <w:r>
              <w:tab/>
            </w:r>
            <w:r>
              <w:t xml:space="preserve">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 </w:t>
            </w:r>
            <w:r>
              <w:rPr>
                <w:b/>
                <w:i/>
              </w:rPr>
              <w:t>a znížiť tak náklady zákazníkov bánk,</w:t>
            </w:r>
            <w:r>
              <w:t xml:space="preserve"> pričom otázka subjektov „príliš veľkých na vyhlásenie úpadku“ zostáva nevyriešená;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cieľom bankovej únie je chrániť bankovú stabilitu, zabrániť záchrane bánk z peniazov daňovníkov, posilniť odolnosť, umožniť riadne riešenie krízových situácií, znížiť fragmentáciu trhu a zvýšiť konkurencieschopnosť, cezhraničnú činnosť a prístup k financovaniu, pričom otázka subjektov „príliš veľkých na vyhlásenie úpadku“ zostáva nevyriešená;</w:t>
            </w:r>
          </w:p>
        </w:tc>
        <w:tc>
          <w:tcPr>
            <w:tcW w:w="4876" w:type="dxa"/>
            <w:tcBorders>
              <w:top w:val="nil"/>
              <w:left w:val="nil"/>
              <w:bottom w:val="nil"/>
              <w:right w:val="nil"/>
            </w:tcBorders>
          </w:tcPr>
          <w:p>
            <w:pPr>
              <w:pStyle w:val="Normal6a"/>
            </w:pPr>
            <w:r>
              <w:t>A.</w:t>
            </w:r>
            <w:r>
              <w:tab/>
            </w:r>
            <w:r>
              <w:t>keďže cieľom bankovej únie je chrániť bankovú stabilitu, zabrániť záchrane bánk z peniazov daňovníkov, posilniť odolnosť, umožniť riadne riešenie krízových situácií, znížiť fragmentáciu trhu</w:t>
            </w:r>
            <w:r>
              <w:rPr>
                <w:b/>
                <w:i/>
              </w:rPr>
              <w:t>, zlepšiť ochranu vkladateľov</w:t>
            </w:r>
            <w:r>
              <w:t xml:space="preserve"> a zvýšiť konkurencieschopnosť, cezhraničnú činnosť a prístup k financovaniu, pričom otázka subjektov „príliš veľkých na vyhlásenie úpadku“ zostáva nevyriešená;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cieľom bankovej únie je:</w:t>
            </w:r>
            <w:r>
              <w:t xml:space="preserve"> </w:t>
            </w:r>
            <w:r>
              <w:rPr>
                <w:b/>
                <w:i/>
              </w:rPr>
              <w:t>i) podporiť zdravie európskych bánk, aby odolali budúcim finančným krízam, ii) zabezpečiť riešenie krízových situácií neživotaschopných bánk bez toho, aby sa použili peniaze daňovníkov, a s minimálnym vplyvom na reálnu ekonomiku a iii) znížiť fragmentáciu trhu zavedením harmonizovaných noriem pre finančný sektor;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silné a diverzifikované bankovníctvo je kľúčom k dosiahnutiu hospodárskeho rastu, financovaniu malých a stredných podnikov (MSP) a startupov a k zabezpečeniu prechodu na zelené a digitálne hospodárstvo;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w:t>
            </w:r>
            <w:r>
              <w:rPr>
                <w:b/>
                <w:i/>
              </w:rPr>
              <w:t>zosúlaďuje dohľad s</w:t>
            </w:r>
            <w:r>
              <w:t xml:space="preserve"> krízovým riadením</w:t>
            </w:r>
            <w:r>
              <w:rPr>
                <w:b/>
                <w:i/>
              </w:rPr>
              <w:t>, ale bez plne zavedeného systému ochrany vkladov (EDIS) zostáva neúplná</w:t>
            </w:r>
            <w:r>
              <w:t>;</w:t>
            </w:r>
          </w:p>
        </w:tc>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w:t>
            </w:r>
            <w:r>
              <w:rPr>
                <w:b/>
                <w:i/>
              </w:rPr>
              <w:t>posilnila finančnú stabilitu a zlepšila zosúladenie medzi dohľadom a</w:t>
            </w:r>
            <w:r>
              <w:t xml:space="preserve"> krízovým riadením;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banková únia pozostávajúca z jednotného mechanizmu dohľadu (JMD) </w:t>
            </w:r>
            <w:r>
              <w:rPr>
                <w:b/>
                <w:i/>
              </w:rPr>
              <w:t>a</w:t>
            </w:r>
            <w:r>
              <w:t xml:space="preserve"> jednotného mechanizmu riešenia krízových situácií (SRM) zosúlaďuje dohľad s krízovým riadením</w:t>
            </w:r>
            <w:r>
              <w:rPr>
                <w:b/>
                <w:i/>
              </w:rPr>
              <w:t>, ale bez plne zavedeného systému ochrany vkladov (EDIS) zostáva neúplná</w:t>
            </w:r>
            <w:r>
              <w:t>;</w:t>
            </w:r>
          </w:p>
        </w:tc>
        <w:tc>
          <w:tcPr>
            <w:tcW w:w="4876" w:type="dxa"/>
            <w:tcBorders>
              <w:top w:val="nil"/>
              <w:left w:val="nil"/>
              <w:bottom w:val="nil"/>
              <w:right w:val="nil"/>
            </w:tcBorders>
          </w:tcPr>
          <w:p>
            <w:pPr>
              <w:pStyle w:val="Normal6a"/>
            </w:pPr>
            <w:r>
              <w:t>B.</w:t>
            </w:r>
            <w:r>
              <w:tab/>
            </w:r>
            <w:r>
              <w:t>keďže banková únia pozostávajúca z jednotného mechanizmu dohľadu (JMD)</w:t>
            </w:r>
            <w:r>
              <w:rPr>
                <w:b/>
                <w:i/>
              </w:rPr>
              <w:t>,</w:t>
            </w:r>
            <w:r>
              <w:t xml:space="preserve"> jednotného mechanizmu riešenia krízových situácií (SRM) </w:t>
            </w:r>
            <w:r>
              <w:rPr>
                <w:b/>
                <w:i/>
              </w:rPr>
              <w:t>a harmonizovaných pravidiel ochrany vkladov</w:t>
            </w:r>
            <w:r>
              <w:t xml:space="preserve"> zosúlaďuje dohľad s krízovým riadením;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banková únia pozostávajúca z jednotného mechanizmu dohľadu (JMD) a jednotného mechanizmu riešenia krízových situácií (SRM) zosúlaďuje dohľad s krízovým riadením</w:t>
            </w:r>
            <w:r>
              <w:rPr>
                <w:b/>
                <w:i/>
              </w:rPr>
              <w:t>, ale bez plne zavedeného</w:t>
            </w:r>
            <w:r>
              <w:t xml:space="preserve"> systému ochrany vkladov </w:t>
            </w:r>
            <w:r>
              <w:rPr>
                <w:b/>
                <w:i/>
              </w:rPr>
              <w:t>(EDIS) zostáva neúplná</w:t>
            </w:r>
            <w:r>
              <w:t>;</w:t>
            </w:r>
          </w:p>
        </w:tc>
        <w:tc>
          <w:tcPr>
            <w:tcW w:w="4876" w:type="dxa"/>
            <w:tcBorders>
              <w:top w:val="nil"/>
              <w:left w:val="nil"/>
              <w:bottom w:val="nil"/>
              <w:right w:val="nil"/>
            </w:tcBorders>
          </w:tcPr>
          <w:p>
            <w:pPr>
              <w:pStyle w:val="Normal6a"/>
            </w:pPr>
            <w:r>
              <w:t>B.</w:t>
            </w:r>
            <w:r>
              <w:tab/>
            </w:r>
            <w:r>
              <w:t>keďže banková únia pozostávajúca z jednotného mechanizmu dohľadu (JMD) a jednotného mechanizmu riešenia krízových situácií (SRM) zosúlaďuje dohľad s krízovým riadením</w:t>
            </w:r>
            <w:r>
              <w:rPr>
                <w:b/>
                <w:i/>
              </w:rPr>
              <w:t>;</w:t>
            </w:r>
            <w:r>
              <w:t xml:space="preserve"> </w:t>
            </w:r>
            <w:r>
              <w:rPr>
                <w:b/>
                <w:i/>
              </w:rPr>
              <w:t>konštatuje, že vnútroštátne systémy ochrany vkladov boli úspešne zavedené a vo viacerých prípadoch preukázali svoju funkčnosť;</w:t>
            </w:r>
            <w:r>
              <w:t xml:space="preserve"> </w:t>
            </w:r>
            <w:r>
              <w:rPr>
                <w:b/>
                <w:i/>
              </w:rPr>
              <w:t>nový návrh Komisie na zriadenie európskeho</w:t>
            </w:r>
            <w:r>
              <w:t xml:space="preserve"> systému ochrany vkladov </w:t>
            </w:r>
            <w:r>
              <w:rPr>
                <w:b/>
                <w:i/>
              </w:rPr>
              <w:t>by mal lepšie zohľadňovať osobitné vnútroštátne charakteristiky s cieľom zachovať dobre fungujúce systémy pre menšie banky, ktoré už existujú v niektorých členských štátoch, a zároveň zabezpečiť rovnaké podmienky v celej bankovej únii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banková únia pozostávajúca z jednotného mechanizmu dohľadu (JMD) a jednotného mechanizmu riešenia krízových situácií (SRM) zosúlaďuje dohľad s krízovým riadením</w:t>
            </w:r>
            <w:r>
              <w:rPr>
                <w:b/>
                <w:i/>
              </w:rPr>
              <w:t>, ale bez plne zavedeného systému</w:t>
            </w:r>
            <w:r>
              <w:t xml:space="preserve"> ochrany vkladov </w:t>
            </w:r>
            <w:r>
              <w:rPr>
                <w:b/>
                <w:i/>
              </w:rPr>
              <w:t>(EDIS) zostáva neúplná</w:t>
            </w:r>
            <w:r>
              <w:t>;</w:t>
            </w:r>
          </w:p>
        </w:tc>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zosúlaďuje dohľad s krízovým riadením </w:t>
            </w:r>
            <w:r>
              <w:rPr>
                <w:b/>
                <w:i/>
              </w:rPr>
              <w:t>a zabezpečuje vysokú úroveň</w:t>
            </w:r>
            <w:r>
              <w:t xml:space="preserve"> ochrany vkladov </w:t>
            </w:r>
            <w:r>
              <w:rPr>
                <w:b/>
                <w:i/>
              </w:rPr>
              <w:t>na základe spoločných európskych minimálnych noriem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banková únia pozostávajúca z jednotného mechanizmu dohľadu (JMD) a jednotného mechanizmu riešenia krízových situácií (SRM) zosúlaďuje dohľad s krízovým riadením</w:t>
            </w:r>
            <w:r>
              <w:rPr>
                <w:b/>
                <w:i/>
              </w:rPr>
              <w:t>, ale bez plne zavedeného systému ochrany vkladov (EDIS) zostáva neúplná</w:t>
            </w:r>
            <w:r>
              <w:t>;</w:t>
            </w:r>
          </w:p>
        </w:tc>
        <w:tc>
          <w:tcPr>
            <w:tcW w:w="4876" w:type="dxa"/>
            <w:tcBorders>
              <w:top w:val="nil"/>
              <w:left w:val="nil"/>
              <w:bottom w:val="nil"/>
              <w:right w:val="nil"/>
            </w:tcBorders>
          </w:tcPr>
          <w:p>
            <w:pPr>
              <w:pStyle w:val="Normal6a"/>
            </w:pPr>
            <w:r>
              <w:t>B.</w:t>
            </w:r>
            <w:r>
              <w:tab/>
            </w:r>
            <w:r>
              <w:t xml:space="preserve">keďže banková únia pozostávajúca </w:t>
            </w:r>
            <w:r>
              <w:rPr>
                <w:b/>
                <w:i/>
              </w:rPr>
              <w:t>v súčasnosti</w:t>
            </w:r>
            <w:r>
              <w:t xml:space="preserve"> z jednotného mechanizmu dohľadu (JMD) a jednotného mechanizmu riešenia krízových situácií (SRM) zosúlaďuje dohľad s krízovým riadením;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banková únia pozostávajúca z jednotného mechanizmu dohľadu (JMD) a jednotného mechanizmu riešenia krízových situácií (SRM) zosúlaďuje dohľad s krízovým riadením</w:t>
            </w:r>
            <w:r>
              <w:rPr>
                <w:b/>
                <w:i/>
              </w:rPr>
              <w:t>, ale bez plne zavedeného systému ochrany vkladov (EDIS) zostáva neúplná</w:t>
            </w:r>
            <w:r>
              <w:t>;</w:t>
            </w:r>
          </w:p>
        </w:tc>
        <w:tc>
          <w:tcPr>
            <w:tcW w:w="4876" w:type="dxa"/>
            <w:tcBorders>
              <w:top w:val="nil"/>
              <w:left w:val="nil"/>
              <w:bottom w:val="nil"/>
              <w:right w:val="nil"/>
            </w:tcBorders>
          </w:tcPr>
          <w:p>
            <w:pPr>
              <w:pStyle w:val="Normal6a"/>
            </w:pPr>
            <w:r>
              <w:t>B.</w:t>
            </w:r>
            <w:r>
              <w:tab/>
            </w:r>
            <w:r>
              <w:t>keďže banková únia pozostávajúca z jednotného mechanizmu dohľadu (JMD) a jednotného mechanizmu riešenia krízových situácií (SRM) zosúlaďuje dohľad s krízovým riadením;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zosúlaďuje dohľad s krízovým riadením, ale </w:t>
            </w:r>
            <w:r>
              <w:rPr>
                <w:b/>
                <w:i/>
              </w:rPr>
              <w:t>bez plne zavedeného systému ochrany vkladov (EDIS)</w:t>
            </w:r>
            <w:r>
              <w:t xml:space="preserve"> zostáva neúplná;</w:t>
            </w:r>
          </w:p>
        </w:tc>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zosúlaďuje dohľad s krízovým riadením, ale zostáva </w:t>
            </w:r>
            <w:r>
              <w:rPr>
                <w:b/>
                <w:i/>
              </w:rPr>
              <w:t>štrukturálne</w:t>
            </w:r>
            <w:r>
              <w:t xml:space="preserve"> neúplná </w:t>
            </w:r>
            <w:r>
              <w:rPr>
                <w:b/>
                <w:i/>
              </w:rPr>
              <w:t>a neefektívna</w:t>
            </w:r>
            <w:r>
              <w:t xml:space="preserve">; </w:t>
            </w:r>
            <w:r>
              <w:rPr>
                <w:b/>
                <w:i/>
              </w:rPr>
              <w:t>zdôrazňuje, že rozdelenie rizika bez zodpovednosti trhu narúša neutralitu hospodárskej súťaže a vystavuje fiškálne zodpovedné členské štáty neprimeraným podmieneným záväzkom;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zosúlaďuje dohľad s krízovým riadením, ale bez </w:t>
            </w:r>
            <w:r>
              <w:rPr>
                <w:b/>
                <w:i/>
              </w:rPr>
              <w:t>plne zavedeného systému</w:t>
            </w:r>
            <w:r>
              <w:t xml:space="preserve"> ochrany vkladov (EDIS) zostáva neúplná;</w:t>
            </w:r>
          </w:p>
        </w:tc>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zosúlaďuje dohľad s krízovým riadením, ale bez </w:t>
            </w:r>
            <w:r>
              <w:rPr>
                <w:b/>
                <w:i/>
              </w:rPr>
              <w:t>toho, aby systém</w:t>
            </w:r>
            <w:r>
              <w:t xml:space="preserve"> ochrany vkladov (EDIS) </w:t>
            </w:r>
            <w:r>
              <w:rPr>
                <w:b/>
                <w:i/>
              </w:rPr>
              <w:t>plne zohľadnil národné špecifiká,</w:t>
            </w:r>
            <w:r>
              <w:t xml:space="preserve"> zostáva neúplná;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zosúlaďuje dohľad s krízovým riadením, ale bez plne zavedeného systému ochrany vkladov (EDIS) </w:t>
            </w:r>
            <w:r>
              <w:rPr>
                <w:b/>
                <w:i/>
              </w:rPr>
              <w:t>zostáva neúplná</w:t>
            </w:r>
            <w:r>
              <w:t>;</w:t>
            </w:r>
          </w:p>
        </w:tc>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zosúlaďuje dohľad s krízovým riadením, ale </w:t>
            </w:r>
            <w:r>
              <w:rPr>
                <w:b/>
                <w:i/>
              </w:rPr>
              <w:t>zostáva neúplná </w:t>
            </w:r>
            <w:r>
              <w:t xml:space="preserve">bez plne zavedeného systému ochrany vkladov (EDIS) </w:t>
            </w:r>
            <w:r>
              <w:rPr>
                <w:b/>
                <w:i/>
              </w:rPr>
              <w:t>a spoločného zabezpečovacieho mechanizmu pre jednotný fond na riešenie krízových situácií, čo je podmienené ratifikáciou revidovanej zmluvy o EMS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banková únia pozostávajúca z jednotného mechanizmu dohľadu (JMD) a jednotného mechanizmu riešenia krízových situácií (SRM) zosúlaďuje dohľad s krízovým riadením, ale bez plne zavedeného systému ochrany vkladov (EDIS) zostáva neúplná;</w:t>
            </w:r>
          </w:p>
        </w:tc>
        <w:tc>
          <w:tcPr>
            <w:tcW w:w="4876" w:type="dxa"/>
            <w:tcBorders>
              <w:top w:val="nil"/>
              <w:left w:val="nil"/>
              <w:bottom w:val="nil"/>
              <w:right w:val="nil"/>
            </w:tcBorders>
          </w:tcPr>
          <w:p>
            <w:pPr>
              <w:pStyle w:val="Normal6a"/>
            </w:pPr>
            <w:r>
              <w:t>B.</w:t>
            </w:r>
            <w:r>
              <w:tab/>
            </w:r>
            <w:r>
              <w:t xml:space="preserve">keďže banková únia pozostávajúca z jednotného mechanizmu dohľadu (JMD) a jednotného mechanizmu riešenia krízových situácií (SRM) </w:t>
            </w:r>
            <w:r>
              <w:rPr>
                <w:b/>
                <w:i/>
              </w:rPr>
              <w:t>a ktorej základom je jednotný súbor pravidiel,</w:t>
            </w:r>
            <w:r>
              <w:t xml:space="preserve"> zosúlaďuje dohľad s krízovým riadením, ale bez plne zavedeného systému ochrany vkladov (EDIS) zostáva neúplná;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dokončená banková únia by bola pozitívnym vývojom pre občanov a hospodárstvo EÚ, pretože by poskytla základ pre stabilnejší bankový systém, zníženie systémového rizika, posilnenie hospodárskej súťaže, lepší výber pre spotrebiteľov, väčšie možnosti cezhraničného bankovníctva a prístupu k retailovým finančným službám, väčšie hospodárske investície, lepší prístup domácností a podnikov k financovaniu a zníženie nákladov pre klientov bánk;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ECB podporuje dokončenie bankovej únie s cieľom podporiť cezhraničnú integráciu a umožniť efektívnejšiu alokáciu kapitálu ako podmienky potrebné na odstránenie súčasnej konkurenčnej nevýhody, ktorej čelia banky EÚ v dôsledku nedostatočného rozsahu, a keďže tiež odporúča zjednodušenie európskeho prudenciálneho regulačného rámca, rámca dohľadu a rámca výkazníctva;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nebankoví finanční sprostredkovatelia („tieňové banky“) zostávajú mimo štruktúry bankovej únie, v dôsledku čoho je bankový sektor EÚ zraniteľný voči rizikám vyplývajúcim z čoraz užších prepojení medzi nebankovými finančnými sprostredkovateľmi a bankovým sektorom;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stabilný, odolný, dynamický a konkurencieschopný bankový sektor je nevyhnutný pre hospodársky rast, podporu malých a stredných podnikov, zvýšenie možnosti vlastníctva bývania, inovácie, investície a rozšírenie hospodárskych príležitostí pre všetkých;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podľa literatúry o optimálnych menových oblastiach má úplná banková únia zásadný význam pre to, aby sa zabránilo asymetrickým účinkom otrasov v celej EÚ, čo bude viesť k väčšej finančnej a hospodárskej stabilite a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keďže EÚ by mala bezodkladne v plnej miere vykonávať štandardy rámca Bazilej III;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EÚ </w:t>
            </w:r>
            <w:r>
              <w:rPr>
                <w:b/>
                <w:i/>
              </w:rPr>
              <w:t>by mala bezodkladne v plnej miere vykonávať štandardy</w:t>
            </w:r>
            <w:r>
              <w:t xml:space="preserve"> rámca Bazilej III;</w:t>
            </w:r>
          </w:p>
        </w:tc>
        <w:tc>
          <w:tcPr>
            <w:tcW w:w="4876" w:type="dxa"/>
            <w:tcBorders>
              <w:top w:val="nil"/>
              <w:left w:val="nil"/>
              <w:bottom w:val="nil"/>
              <w:right w:val="nil"/>
            </w:tcBorders>
          </w:tcPr>
          <w:p>
            <w:pPr>
              <w:pStyle w:val="Normal6a"/>
            </w:pPr>
            <w:r>
              <w:t>C.</w:t>
            </w:r>
            <w:r>
              <w:tab/>
            </w:r>
            <w:r>
              <w:rPr>
                <w:b/>
                <w:i/>
              </w:rPr>
              <w:t>keďže finančná stabilita je predpokladom účinnej menovej politiky a odolného finančného systému,</w:t>
            </w:r>
            <w:r>
              <w:t xml:space="preserve"> keďže EÚ </w:t>
            </w:r>
            <w:r>
              <w:rPr>
                <w:b/>
                <w:i/>
              </w:rPr>
              <w:t>sa už dohodla na vykonávaní</w:t>
            </w:r>
            <w:r>
              <w:t xml:space="preserve"> rámca Bazilej III; </w:t>
            </w:r>
            <w:r>
              <w:rPr>
                <w:b/>
                <w:i/>
              </w:rPr>
              <w:t>keďže je tiež nevyhnutné zabezpečiť správnu rovnováhu medzi finančnou stabilitou, dodržiavaním medzinárodných rámcov a rovnakými podmienkami na medzinárodnej úrovni, aby sa zabezpečilo, že európske banky budú schopné súťažiť za rovnakých podmienok s bankami z iných jurisdikcií;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w:t>
            </w:r>
            <w:r>
              <w:rPr>
                <w:b/>
                <w:i/>
              </w:rPr>
              <w:t>EÚ by mala bezodkladne v plnej miere vykonávať štandardy rámca</w:t>
            </w:r>
            <w:r>
              <w:t xml:space="preserve"> Bazilej III;</w:t>
            </w:r>
          </w:p>
        </w:tc>
        <w:tc>
          <w:tcPr>
            <w:tcW w:w="4876" w:type="dxa"/>
            <w:tcBorders>
              <w:top w:val="nil"/>
              <w:left w:val="nil"/>
              <w:bottom w:val="nil"/>
              <w:right w:val="nil"/>
            </w:tcBorders>
          </w:tcPr>
          <w:p>
            <w:pPr>
              <w:pStyle w:val="Normal6a"/>
            </w:pPr>
            <w:r>
              <w:t>C.</w:t>
            </w:r>
            <w:r>
              <w:tab/>
            </w:r>
            <w:r>
              <w:t xml:space="preserve">keďže </w:t>
            </w:r>
            <w:r>
              <w:rPr>
                <w:b/>
                <w:i/>
              </w:rPr>
              <w:t>pravidlá</w:t>
            </w:r>
            <w:r>
              <w:t xml:space="preserve"> Bazilej III </w:t>
            </w:r>
            <w:r>
              <w:rPr>
                <w:b/>
                <w:i/>
              </w:rPr>
              <w:t>by sa mali prispôsobiť špecifikám európskeho bankového sektora, pričom by sa malo zohľadniť kritérium proporcionality a zjednodušenie pre menšie banky, čo je v súlade s výsledkami pracovnej skupiny Európskej centrálnej banky na vysokej úrovni pre zjednodušenie, ktorú podporuje Rada guvernérov ECB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EÚ by mala </w:t>
            </w:r>
            <w:r>
              <w:rPr>
                <w:b/>
                <w:i/>
              </w:rPr>
              <w:t>bezodkladne v plnej miere</w:t>
            </w:r>
            <w:r>
              <w:t xml:space="preserve"> vykonávať </w:t>
            </w:r>
            <w:r>
              <w:rPr>
                <w:b/>
                <w:i/>
              </w:rPr>
              <w:t>štandardy rámca</w:t>
            </w:r>
            <w:r>
              <w:t xml:space="preserve"> Bazilej III;</w:t>
            </w:r>
          </w:p>
        </w:tc>
        <w:tc>
          <w:tcPr>
            <w:tcW w:w="4876" w:type="dxa"/>
            <w:tcBorders>
              <w:top w:val="nil"/>
              <w:left w:val="nil"/>
              <w:bottom w:val="nil"/>
              <w:right w:val="nil"/>
            </w:tcBorders>
          </w:tcPr>
          <w:p>
            <w:pPr>
              <w:pStyle w:val="Normal6a"/>
            </w:pPr>
            <w:r>
              <w:t>C.</w:t>
            </w:r>
            <w:r>
              <w:tab/>
            </w:r>
            <w:r>
              <w:t xml:space="preserve">keďže EÚ by mala </w:t>
            </w:r>
            <w:r>
              <w:rPr>
                <w:b/>
                <w:i/>
              </w:rPr>
              <w:t>dôsledne</w:t>
            </w:r>
            <w:r>
              <w:t xml:space="preserve"> vykonávať </w:t>
            </w:r>
            <w:r>
              <w:rPr>
                <w:b/>
                <w:i/>
              </w:rPr>
              <w:t>rámec</w:t>
            </w:r>
            <w:r>
              <w:t xml:space="preserve"> Bazilej III </w:t>
            </w:r>
            <w:r>
              <w:rPr>
                <w:b/>
                <w:i/>
              </w:rPr>
              <w:t>a zároveň zabezpečiť primerané, postupné vykonávanie prispôsobené špecifikám európskeho finančného systému bez toho, aby bola dotknutá konkurencieschopnosť bankového systému EÚ</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EÚ by mala bezodkladne </w:t>
            </w:r>
            <w:r>
              <w:rPr>
                <w:b/>
                <w:i/>
              </w:rPr>
              <w:t>v plnej miere</w:t>
            </w:r>
            <w:r>
              <w:t xml:space="preserve"> vykonávať štandardy rámca Bazilej III;</w:t>
            </w:r>
          </w:p>
        </w:tc>
        <w:tc>
          <w:tcPr>
            <w:tcW w:w="4876" w:type="dxa"/>
            <w:tcBorders>
              <w:top w:val="nil"/>
              <w:left w:val="nil"/>
              <w:bottom w:val="nil"/>
              <w:right w:val="nil"/>
            </w:tcBorders>
          </w:tcPr>
          <w:p>
            <w:pPr>
              <w:pStyle w:val="Normal6a"/>
            </w:pPr>
            <w:r>
              <w:t>C.</w:t>
            </w:r>
            <w:r>
              <w:tab/>
            </w:r>
            <w:r>
              <w:t xml:space="preserve">keďže EÚ by mala bezodkladne vykonávať štandardy rámca Bazilej III </w:t>
            </w:r>
            <w:r>
              <w:rPr>
                <w:b/>
                <w:i/>
              </w:rPr>
              <w:t>spôsobom, ktorý chráni medzinárodnú konkurencieschopnosť európskeho bankového sektora a zabezpečuje rovnaké podmienky na celosvetovej úrovni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EÚ by mala </w:t>
            </w:r>
            <w:r>
              <w:rPr>
                <w:b/>
                <w:i/>
              </w:rPr>
              <w:t>bezodkladne</w:t>
            </w:r>
            <w:r>
              <w:t xml:space="preserve"> v plnej miere vykonávať štandardy rámca Bazilej III;</w:t>
            </w:r>
          </w:p>
        </w:tc>
        <w:tc>
          <w:tcPr>
            <w:tcW w:w="4876" w:type="dxa"/>
            <w:tcBorders>
              <w:top w:val="nil"/>
              <w:left w:val="nil"/>
              <w:bottom w:val="nil"/>
              <w:right w:val="nil"/>
            </w:tcBorders>
          </w:tcPr>
          <w:p>
            <w:pPr>
              <w:pStyle w:val="Normal6a"/>
            </w:pPr>
            <w:r>
              <w:t>C.</w:t>
            </w:r>
            <w:r>
              <w:tab/>
            </w:r>
            <w:r>
              <w:t xml:space="preserve">keďže EÚ by mala v plnej miere vykonávať štandardy rámca Bazilej III </w:t>
            </w:r>
            <w:r>
              <w:rPr>
                <w:b/>
                <w:i/>
              </w:rPr>
              <w:t>bez toho, aby sa narušila medzinárodná konkurencieschopnosť bankového sektora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EÚ by mala bezodkladne v plnej miere vykonávať štandardy rámca Bazilej III;</w:t>
            </w:r>
          </w:p>
        </w:tc>
        <w:tc>
          <w:tcPr>
            <w:tcW w:w="4876" w:type="dxa"/>
            <w:tcBorders>
              <w:top w:val="nil"/>
              <w:left w:val="nil"/>
              <w:bottom w:val="nil"/>
              <w:right w:val="nil"/>
            </w:tcBorders>
          </w:tcPr>
          <w:p>
            <w:pPr>
              <w:pStyle w:val="Normal6a"/>
            </w:pPr>
            <w:r>
              <w:t>C.</w:t>
            </w:r>
            <w:r>
              <w:tab/>
            </w:r>
            <w:r>
              <w:rPr>
                <w:b/>
                <w:i/>
              </w:rPr>
              <w:t>keďže EÚ uplatňuje štandardy rámca Bazilej III na všetky banky bez ohľadu na ich veľkosť a rozsah pôsobnosti;</w:t>
            </w:r>
            <w:r>
              <w:t xml:space="preserve"> keďže EÚ by mala bezodkladne v plnej miere vykonávať štandardy rámca Bazilej III </w:t>
            </w:r>
            <w:r>
              <w:rPr>
                <w:b/>
                <w:i/>
              </w:rPr>
              <w:t>len v prípade európskych medzinárodne aktívnych bánk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EÚ by mala bezodkladne v plnej miere vykonávať štandardy rámca Bazilej III;</w:t>
            </w:r>
          </w:p>
        </w:tc>
        <w:tc>
          <w:tcPr>
            <w:tcW w:w="4876" w:type="dxa"/>
            <w:tcBorders>
              <w:top w:val="nil"/>
              <w:left w:val="nil"/>
              <w:bottom w:val="nil"/>
              <w:right w:val="nil"/>
            </w:tcBorders>
          </w:tcPr>
          <w:p>
            <w:pPr>
              <w:pStyle w:val="Normal6a"/>
            </w:pPr>
            <w:r>
              <w:t>C.</w:t>
            </w:r>
            <w:r>
              <w:tab/>
            </w:r>
            <w:r>
              <w:t>keďže EÚ by mala bezodkladne v plnej miere vykonávať štandardy rámca Bazilej III</w:t>
            </w:r>
            <w:r>
              <w:rPr>
                <w:b/>
                <w:i/>
              </w:rPr>
              <w:t>, pričom by mala zohľadniť význam rovnakých podmienok na celosvetovej úrovni a kľúčovú úlohu bánk EÚ pri financovaní hospodárstva – vrátane domácností a MSP – a pri zabezpečovaní konkurencieschopnosti systému</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EÚ by mala </w:t>
            </w:r>
            <w:r>
              <w:rPr>
                <w:b/>
                <w:i/>
              </w:rPr>
              <w:t>bezodkladne</w:t>
            </w:r>
            <w:r>
              <w:t xml:space="preserve"> v plnej miere vykonávať štandardy rámca Bazilej III;</w:t>
            </w:r>
          </w:p>
        </w:tc>
        <w:tc>
          <w:tcPr>
            <w:tcW w:w="4876" w:type="dxa"/>
            <w:tcBorders>
              <w:top w:val="nil"/>
              <w:left w:val="nil"/>
              <w:bottom w:val="nil"/>
              <w:right w:val="nil"/>
            </w:tcBorders>
          </w:tcPr>
          <w:p>
            <w:pPr>
              <w:pStyle w:val="Normal6a"/>
            </w:pPr>
            <w:r>
              <w:t>C.</w:t>
            </w:r>
            <w:r>
              <w:tab/>
            </w:r>
            <w:r>
              <w:t xml:space="preserve">keďže EÚ by mala </w:t>
            </w:r>
            <w:r>
              <w:rPr>
                <w:b/>
                <w:i/>
              </w:rPr>
              <w:t>bez ďalšieho odkladu</w:t>
            </w:r>
            <w:r>
              <w:t xml:space="preserve"> v plnej miere vykonávať štandardy rámca Bazilej III </w:t>
            </w:r>
            <w:r>
              <w:rPr>
                <w:b/>
                <w:i/>
              </w:rPr>
              <w:t>vrátane rámca trhového rizika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EÚ by mala bezodkladne v plnej miere vykonávať štandardy rámca Bazilej III;</w:t>
            </w:r>
          </w:p>
        </w:tc>
        <w:tc>
          <w:tcPr>
            <w:tcW w:w="4876" w:type="dxa"/>
            <w:tcBorders>
              <w:top w:val="nil"/>
              <w:left w:val="nil"/>
              <w:bottom w:val="nil"/>
              <w:right w:val="nil"/>
            </w:tcBorders>
          </w:tcPr>
          <w:p>
            <w:pPr>
              <w:pStyle w:val="Normal6a"/>
            </w:pPr>
            <w:r>
              <w:t>C.</w:t>
            </w:r>
            <w:r>
              <w:tab/>
            </w:r>
            <w:r>
              <w:t xml:space="preserve">keďže EÚ by mala bezodkladne v plnej miere vykonávať štandardy rámca Bazilej III; </w:t>
            </w:r>
            <w:r>
              <w:rPr>
                <w:b/>
                <w:i/>
              </w:rPr>
              <w:t>kritizuje opakované odklady a odchýlky EÚ od medzinárodných štandardov rámca Bazilej vrátane odkladu pravidiel trhového rizika na rok 2026, čo vytvára regulačnú arbitráž a konkurenčné nevýhody pre banky EÚ na svetových veľkoobchodných trhoch;</w:t>
            </w:r>
            <w:r>
              <w:t xml:space="preserve"> </w:t>
            </w:r>
            <w:r>
              <w:rPr>
                <w:b/>
                <w:i/>
              </w:rPr>
              <w:t>takéto nerovnomerné vykonávanie narúša rovnaké podmienky a zvyšuje systémové riziko v dôsledku neefektívnosti pri alokácii rizikového kapitálu;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ruská agresia voči Ukrajine a jej hospodárske a sociálne dôsledky majú a budú mať priamy a nepriamy vplyv na bankový sektor EÚ;</w:t>
            </w:r>
            <w:r>
              <w:t xml:space="preserve"> </w:t>
            </w:r>
            <w:r>
              <w:rPr>
                <w:b/>
                <w:i/>
              </w:rPr>
              <w:t>keďže banky EÚ zohrávajú kľúčovú úlohu pri zabezpečovaní pokračujúceho vykonávania a dodržiavania sankcií, ktoré uvalila EÚ voči Rusku v reakcii na inváziu;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digitalizácia financií poskytuje bankovému sektoru rozsiahle príležitosti a priniesla významný technologický pokrok v bankovom sektore EÚ prostredníctvom vyššej efektívnosti pri poskytovaní bankových služieb a väčšieho záujmu o inovácie a spoločné využívanie údajov, predstavuje aj výzvy, a to aj pokiaľ ide o kybernetické riziká, ochranu osobných údajov, riziká poškodenia dobrej povesti, riziká prania špinavých peňazí a obavy o ochranu spotrebiteľa;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keďže jedným z kľúčových cieľov bankovej únie je, aby daňovníci neznášali náklady na nápravné opatrenia v prípade zlyhania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keďže pri posudzovaní súvahových rizík bánk sa musí zohľadniť zmena klímy, environmentálne riziká a prechod na nízkouhlíkové hospodárstvo;</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keďže pri posudzovaní súvahových rizík bánk sa musí zohľadniť zmena klímy, environmentálne riziká a prechod na nízkouhlíkové hospodárstvo;</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keďže pri posudzovaní súvahových rizík bánk sa musí zohľadniť zmena klímy, environmentálne riziká a prechod na nízkouhlíkové hospodárstvo;</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keďže pri posudzovaní súvahových rizík bánk sa musí zohľadniť zmena klímy, environmentálne riziká a prechod na nízkouhlíkové hospodárstvo;</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keďže </w:t>
            </w:r>
            <w:r>
              <w:rPr>
                <w:b/>
                <w:i/>
              </w:rPr>
              <w:t>pri posudzovaní súvahových rizík bánk sa musí zohľadniť zmena klímy, environmentálne riziká a prechod na nízkouhlíkové hospodárstvo</w:t>
            </w:r>
            <w:r>
              <w:t>;</w:t>
            </w:r>
          </w:p>
        </w:tc>
        <w:tc>
          <w:tcPr>
            <w:tcW w:w="4876" w:type="dxa"/>
            <w:tcBorders>
              <w:top w:val="nil"/>
              <w:left w:val="nil"/>
              <w:bottom w:val="nil"/>
              <w:right w:val="nil"/>
            </w:tcBorders>
          </w:tcPr>
          <w:p>
            <w:pPr>
              <w:pStyle w:val="Normal6a"/>
            </w:pPr>
            <w:r>
              <w:t>D.</w:t>
            </w:r>
            <w:r>
              <w:tab/>
            </w:r>
            <w:r>
              <w:t xml:space="preserve">keďže </w:t>
            </w:r>
            <w:r>
              <w:rPr>
                <w:b/>
                <w:i/>
              </w:rPr>
              <w:t>je naliehavo potrebné nepodriaďovať tradičné ukazovatele rizika politicky motivovaným environmentálnym cieľom, ktoré môžu zvýšiť kapitálové požiadavky a obmedziť ponuku úverov tam, kde je najproduktívnejšia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keďže pri posudzovaní súvahových rizík bánk sa </w:t>
            </w:r>
            <w:r>
              <w:rPr>
                <w:b/>
                <w:i/>
              </w:rPr>
              <w:t>musí</w:t>
            </w:r>
            <w:r>
              <w:t xml:space="preserve"> zohľadniť zmena klímy, environmentálne riziká a prechod na nízkouhlíkové hospodárstvo;</w:t>
            </w:r>
          </w:p>
        </w:tc>
        <w:tc>
          <w:tcPr>
            <w:tcW w:w="4876" w:type="dxa"/>
            <w:tcBorders>
              <w:top w:val="nil"/>
              <w:left w:val="nil"/>
              <w:bottom w:val="nil"/>
              <w:right w:val="nil"/>
            </w:tcBorders>
          </w:tcPr>
          <w:p>
            <w:pPr>
              <w:pStyle w:val="Normal6a"/>
            </w:pPr>
            <w:r>
              <w:t>D.</w:t>
            </w:r>
            <w:r>
              <w:tab/>
            </w:r>
            <w:r>
              <w:t xml:space="preserve">keďže pri posudzovaní súvahových rizík bánk sa </w:t>
            </w:r>
            <w:r>
              <w:rPr>
                <w:b/>
                <w:i/>
              </w:rPr>
              <w:t>môže</w:t>
            </w:r>
            <w:r>
              <w:t xml:space="preserve"> zohľadniť zmena klímy, environmentálne riziká a prechod na nízkouhlíkové hospodárstvo </w:t>
            </w:r>
            <w:r>
              <w:rPr>
                <w:b/>
                <w:i/>
              </w:rPr>
              <w:t>iba ak majú vplyv na finančnú stabilitu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keďže pri posudzovaní súvahových rizík bánk sa musí zohľadniť zmena klímy, environmentálne riziká a prechod na </w:t>
            </w:r>
            <w:r>
              <w:rPr>
                <w:b/>
                <w:i/>
              </w:rPr>
              <w:t>nízkouhlíkové</w:t>
            </w:r>
            <w:r>
              <w:t xml:space="preserve"> hospodárstvo;</w:t>
            </w:r>
          </w:p>
        </w:tc>
        <w:tc>
          <w:tcPr>
            <w:tcW w:w="4876" w:type="dxa"/>
            <w:tcBorders>
              <w:top w:val="nil"/>
              <w:left w:val="nil"/>
              <w:bottom w:val="nil"/>
              <w:right w:val="nil"/>
            </w:tcBorders>
          </w:tcPr>
          <w:p>
            <w:pPr>
              <w:pStyle w:val="Normal6a"/>
            </w:pPr>
            <w:r>
              <w:t>D.</w:t>
            </w:r>
            <w:r>
              <w:tab/>
            </w:r>
            <w:r>
              <w:t xml:space="preserve">keďže pri posudzovaní súvahových rizík bánk sa musí zohľadniť zmena klímy, environmentálne riziká a prechod na </w:t>
            </w:r>
            <w:r>
              <w:rPr>
                <w:b/>
                <w:i/>
              </w:rPr>
              <w:t>klimaticky neutrálne</w:t>
            </w:r>
            <w:r>
              <w:t xml:space="preserve"> hospodárstvo;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w:t>
            </w:r>
            <w:r>
              <w:rPr>
                <w:b/>
                <w:i/>
              </w:rPr>
              <w:t>digitálne euro by mohlo zvýšiť efektívnosť platieb EÚ, odolnosť, finančné začlenenie, inovácie, dôveru verejnosti a medzinárodnú úlohu eura</w:t>
            </w:r>
            <w:r>
              <w:t>;</w:t>
            </w:r>
          </w:p>
        </w:tc>
        <w:tc>
          <w:tcPr>
            <w:tcW w:w="4876" w:type="dxa"/>
            <w:tcBorders>
              <w:top w:val="nil"/>
              <w:left w:val="nil"/>
              <w:bottom w:val="nil"/>
              <w:right w:val="nil"/>
            </w:tcBorders>
          </w:tcPr>
          <w:p>
            <w:pPr>
              <w:pStyle w:val="Normal6a"/>
            </w:pPr>
            <w:r>
              <w:t>E.</w:t>
            </w:r>
            <w:r>
              <w:tab/>
            </w:r>
            <w:r>
              <w:t xml:space="preserve">keďže </w:t>
            </w:r>
            <w:r>
              <w:rPr>
                <w:b/>
                <w:i/>
              </w:rPr>
              <w:t>projekt digitálneho eura prináša výzvy a potenciálne hrozby pre likviditu a stabilitu bankového sektora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digitálne euro by mohlo zvýšiť efektívnosť </w:t>
            </w:r>
            <w:r>
              <w:rPr>
                <w:b/>
                <w:i/>
              </w:rPr>
              <w:t>platieb EÚ,</w:t>
            </w:r>
            <w:r>
              <w:t xml:space="preserve"> odolnosť</w:t>
            </w:r>
            <w:r>
              <w:rPr>
                <w:b/>
                <w:i/>
              </w:rPr>
              <w:t>, finančné začlenenie, inovácie, dôveru verejnosti a medzinárodnú úlohu eura</w:t>
            </w:r>
            <w:r>
              <w:t>;</w:t>
            </w:r>
          </w:p>
        </w:tc>
        <w:tc>
          <w:tcPr>
            <w:tcW w:w="4876" w:type="dxa"/>
            <w:tcBorders>
              <w:top w:val="nil"/>
              <w:left w:val="nil"/>
              <w:bottom w:val="nil"/>
              <w:right w:val="nil"/>
            </w:tcBorders>
          </w:tcPr>
          <w:p>
            <w:pPr>
              <w:pStyle w:val="Normal6a"/>
            </w:pPr>
            <w:r>
              <w:t>E.</w:t>
            </w:r>
            <w:r>
              <w:tab/>
            </w:r>
            <w:r>
              <w:t xml:space="preserve">keďže </w:t>
            </w:r>
            <w:r>
              <w:rPr>
                <w:b/>
                <w:i/>
              </w:rPr>
              <w:t>offline a veľkoobchodné</w:t>
            </w:r>
            <w:r>
              <w:t xml:space="preserve"> digitálne euro by mohlo </w:t>
            </w:r>
            <w:r>
              <w:rPr>
                <w:b/>
                <w:i/>
              </w:rPr>
              <w:t>v EÚ</w:t>
            </w:r>
            <w:r>
              <w:t xml:space="preserve"> zvýšiť efektívnosť </w:t>
            </w:r>
            <w:r>
              <w:rPr>
                <w:b/>
                <w:i/>
              </w:rPr>
              <w:t>a</w:t>
            </w:r>
            <w:r>
              <w:t xml:space="preserve"> odolnosť </w:t>
            </w:r>
            <w:r>
              <w:rPr>
                <w:b/>
                <w:i/>
              </w:rPr>
              <w:t>platieb, ale mohlo by tiež podstatne oslabiť vkladové základne komerčných bánk a oslabiť finančnú stabilitu stimulovaním úteku k vkladom centrálnej banky, najmä počas stresových období</w:t>
            </w:r>
            <w:r>
              <w:t xml:space="preserve">; </w:t>
            </w:r>
            <w:r>
              <w:rPr>
                <w:b/>
                <w:i/>
              </w:rPr>
              <w:t>takýto posun by mohol znížiť schopnosť bánk poskytovať úvery domácnostiam a MSP, čím by sa zvýšila závislosť od centralizovaných mechanizmov menového financovania namiesto diverzifikovaného trhového financovania;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digitálne euro </w:t>
            </w:r>
            <w:r>
              <w:rPr>
                <w:b/>
                <w:i/>
              </w:rPr>
              <w:t>by mohlo zvýšiť</w:t>
            </w:r>
            <w:r>
              <w:t xml:space="preserve"> efektívnosť platieb EÚ, odolnosť, finančné začlenenie, inovácie, dôveru verejnosti a medzinárodnú úlohu eura;</w:t>
            </w:r>
          </w:p>
        </w:tc>
        <w:tc>
          <w:tcPr>
            <w:tcW w:w="4876" w:type="dxa"/>
            <w:tcBorders>
              <w:top w:val="nil"/>
              <w:left w:val="nil"/>
              <w:bottom w:val="nil"/>
              <w:right w:val="nil"/>
            </w:tcBorders>
          </w:tcPr>
          <w:p>
            <w:pPr>
              <w:pStyle w:val="Normal6a"/>
            </w:pPr>
            <w:r>
              <w:t>E.</w:t>
            </w:r>
            <w:r>
              <w:tab/>
            </w:r>
            <w:r>
              <w:t xml:space="preserve">keďže digitálne euro </w:t>
            </w:r>
            <w:r>
              <w:rPr>
                <w:b/>
                <w:i/>
              </w:rPr>
              <w:t>zvýši</w:t>
            </w:r>
            <w:r>
              <w:t xml:space="preserve"> efektívnosť platieb EÚ</w:t>
            </w:r>
            <w:r>
              <w:rPr>
                <w:b/>
                <w:i/>
              </w:rPr>
              <w:t>, konkurencieschopnosť</w:t>
            </w:r>
            <w:r>
              <w:t>, odolnosť, finančné začlenenie, inovácie, dôveru verejnosti a medzinárodnú úlohu eura;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digitálne euro by </w:t>
            </w:r>
            <w:r>
              <w:rPr>
                <w:b/>
                <w:i/>
              </w:rPr>
              <w:t>mohlo zvýšiť</w:t>
            </w:r>
            <w:r>
              <w:t xml:space="preserve"> efektívnosť platieb EÚ, odolnosť, finančné začlenenie, inovácie, dôveru verejnosti a medzinárodnú úlohu eura;</w:t>
            </w:r>
          </w:p>
        </w:tc>
        <w:tc>
          <w:tcPr>
            <w:tcW w:w="4876" w:type="dxa"/>
            <w:tcBorders>
              <w:top w:val="nil"/>
              <w:left w:val="nil"/>
              <w:bottom w:val="nil"/>
              <w:right w:val="nil"/>
            </w:tcBorders>
          </w:tcPr>
          <w:p>
            <w:pPr>
              <w:pStyle w:val="Normal6a"/>
            </w:pPr>
            <w:r>
              <w:t>E.</w:t>
            </w:r>
            <w:r>
              <w:tab/>
            </w:r>
            <w:r>
              <w:t xml:space="preserve">keďže digitálne euro by </w:t>
            </w:r>
            <w:r>
              <w:rPr>
                <w:b/>
                <w:i/>
              </w:rPr>
              <w:t>zvýšilo</w:t>
            </w:r>
            <w:r>
              <w:t xml:space="preserve"> efektívnosť platieb EÚ, odolnosť, finančné začlenenie, inovácie, dôveru verejnosti a medzinárodnú úlohu eura;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w:t>
            </w:r>
            <w:r>
              <w:rPr>
                <w:b/>
                <w:i/>
              </w:rPr>
              <w:t>digitálne euro</w:t>
            </w:r>
            <w:r>
              <w:t xml:space="preserve"> by mohlo zvýšiť efektívnosť platieb EÚ, odolnosť, finančné začlenenie, inovácie, dôveru verejnosti a medzinárodnú úlohu eura;</w:t>
            </w:r>
          </w:p>
        </w:tc>
        <w:tc>
          <w:tcPr>
            <w:tcW w:w="4876" w:type="dxa"/>
            <w:tcBorders>
              <w:top w:val="nil"/>
              <w:left w:val="nil"/>
              <w:bottom w:val="nil"/>
              <w:right w:val="nil"/>
            </w:tcBorders>
          </w:tcPr>
          <w:p>
            <w:pPr>
              <w:pStyle w:val="Normal6a"/>
            </w:pPr>
            <w:r>
              <w:t>E.</w:t>
            </w:r>
            <w:r>
              <w:tab/>
            </w:r>
            <w:r>
              <w:t xml:space="preserve">keďže </w:t>
            </w:r>
            <w:r>
              <w:rPr>
                <w:b/>
                <w:i/>
              </w:rPr>
              <w:t>celoeurópske štátne retailové platobné riešenie</w:t>
            </w:r>
            <w:r>
              <w:t xml:space="preserve"> by mohlo zvýšiť efektívnosť platieb EÚ</w:t>
            </w:r>
            <w:r>
              <w:rPr>
                <w:b/>
                <w:i/>
              </w:rPr>
              <w:t>, suverenitu</w:t>
            </w:r>
            <w:r>
              <w:t xml:space="preserve">, odolnosť, finančné začlenenie, inovácie, dôveru verejnosti a medzinárodnú úlohu eura; </w:t>
            </w:r>
            <w:r>
              <w:rPr>
                <w:b/>
                <w:i/>
              </w:rPr>
              <w:t>keďže riešenie, ktoré plne integruje účastníkov trhu, by podporilo prebiehajúcu inováciu, dôveru a finančnú stabilitu prostredníctvom hlbších a likvidnejších trhov;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digitálne euro by mohlo zvýšiť efektívnosť platieb EÚ, odolnosť, finančné začlenenie, inovácie, dôveru verejnosti a medzinárodnú úlohu eura;</w:t>
            </w:r>
          </w:p>
        </w:tc>
        <w:tc>
          <w:tcPr>
            <w:tcW w:w="4876" w:type="dxa"/>
            <w:tcBorders>
              <w:top w:val="nil"/>
              <w:left w:val="nil"/>
              <w:bottom w:val="nil"/>
              <w:right w:val="nil"/>
            </w:tcBorders>
          </w:tcPr>
          <w:p>
            <w:pPr>
              <w:pStyle w:val="Normal6a"/>
            </w:pPr>
            <w:r>
              <w:t>E.</w:t>
            </w:r>
            <w:r>
              <w:tab/>
            </w:r>
            <w:r>
              <w:t xml:space="preserve">keďže </w:t>
            </w:r>
            <w:r>
              <w:rPr>
                <w:b/>
                <w:i/>
              </w:rPr>
              <w:t>maloobchodné</w:t>
            </w:r>
            <w:r>
              <w:t xml:space="preserve"> digitálne euro by mohlo zvýšiť efektívnosť platieb EÚ, odolnosť, finančné začlenenie, inovácie, </w:t>
            </w:r>
            <w:r>
              <w:rPr>
                <w:b/>
                <w:i/>
              </w:rPr>
              <w:t>konkurencieschopnosť,</w:t>
            </w:r>
            <w:r>
              <w:t xml:space="preserve"> dôveru verejnosti</w:t>
            </w:r>
            <w:r>
              <w:rPr>
                <w:b/>
                <w:i/>
              </w:rPr>
              <w:t>, súkromie zákazníkov, pokiaľ ide o digitálne platby,</w:t>
            </w:r>
            <w:r>
              <w:t xml:space="preserve"> a medzinárodnú úlohu eura </w:t>
            </w:r>
            <w:r>
              <w:rPr>
                <w:b/>
                <w:i/>
              </w:rPr>
              <w:t>v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efektívnosť, odolnosť a strategická autonómia infraštruktúr finančného trhu Únie sú nevyhnutné pre riadne fungovanie bankovej únie a pre konkurencieschopnosť finančného systému EÚ;</w:t>
            </w:r>
            <w:r>
              <w:t xml:space="preserve"> </w:t>
            </w:r>
            <w:r>
              <w:rPr>
                <w:b/>
                <w:i/>
              </w:rPr>
              <w:t>keďže rozvoj veľkoobchodnej digitálnej meny centrálnej banky určenej výlučne na vyrovnanie medzi regulovanými finančnými inštitúciami má potenciál výrazne zlepšiť cezhraničné platby, vyrovnanie transakcií s cennými papiermi a riadenie likvidity, a to aj prostredníctvom lepšej interoperability medzi platobnými systémami a trhovými infraštruktúrami;</w:t>
            </w:r>
            <w:r>
              <w:t xml:space="preserve"> </w:t>
            </w:r>
            <w:r>
              <w:rPr>
                <w:b/>
                <w:i/>
              </w:rPr>
              <w:t>keďže prebiehajúce iniciatívy Eurosystému predstavujú dôležité kroky smerom ku kontrolovanému a trhovo orientovanému skúmaniu týchto prínosov;</w:t>
            </w:r>
            <w:r>
              <w:t xml:space="preserve"> </w:t>
            </w:r>
            <w:r>
              <w:rPr>
                <w:b/>
                <w:i/>
              </w:rPr>
              <w:t>keďže urýchlený prechod na plnú prevádzkovú úroveň by mohol prispieť k posilneniu medzinárodnej úlohy eura, zníženiu fragmentácie finančných trhov EÚ a podpore finančnej stability pri plnom zachovaní jednotnosti peňazí a úlohy sprostredkovateľov zo súkromného sektora;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ECB rýchlo napreduje so svojím veľkoobchodným digitálnym eurom, pričom prebiehajú krátkodobé (Pontes) a dlhodobé (Appia) projekty DLT na veľkoobchodné peňažné vyrovnanie centrálnej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keďže banky EÚ vykazujú od roku 2022 rekordné zisky vďaka oneskorenému prenosu politík sprísňovania menovej politiky;</w:t>
            </w:r>
            <w:r>
              <w:t xml:space="preserve"> </w:t>
            </w:r>
            <w:r>
              <w:rPr>
                <w:b/>
                <w:i/>
              </w:rPr>
              <w:t>keďže viaceré členské štáty zaviedli dočasné bankové odvody s cieľom zabezpečiť spravodlivý príspevok a zároveň zachovať stabilitu a sociálnu súdržnosť;</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keďže banky EÚ vykazujú od roku 2022 rekordné zisky vďaka oneskorenému prenosu politík sprísňovania menovej politiky;</w:t>
            </w:r>
            <w:r>
              <w:t xml:space="preserve"> </w:t>
            </w:r>
            <w:r>
              <w:rPr>
                <w:b/>
                <w:i/>
              </w:rPr>
              <w:t>keďže viaceré členské štáty zaviedli dočasné bankové odvody s cieľom zabezpečiť spravodlivý príspevok a zároveň zachovať stabilitu a sociálnu súdržnosť;</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banky EÚ vykazujú od roku 2022 rekordné zisky vďaka oneskorenému prenosu politík sprísňovania menovej politiky; keďže viaceré členské štáty zaviedli dočasné bankové odvody </w:t>
            </w:r>
            <w:r>
              <w:rPr>
                <w:b/>
                <w:i/>
              </w:rPr>
              <w:t>s cieľom zabezpečiť spravodlivý príspevok a zároveň zachovať stabilitu a sociálnu súdržnosť</w:t>
            </w:r>
            <w:r>
              <w:t>;</w:t>
            </w:r>
          </w:p>
        </w:tc>
        <w:tc>
          <w:tcPr>
            <w:tcW w:w="4876" w:type="dxa"/>
            <w:tcBorders>
              <w:top w:val="nil"/>
              <w:left w:val="nil"/>
              <w:bottom w:val="nil"/>
              <w:right w:val="nil"/>
            </w:tcBorders>
          </w:tcPr>
          <w:p>
            <w:pPr>
              <w:pStyle w:val="Normal6a"/>
            </w:pPr>
            <w:r>
              <w:t>F.</w:t>
            </w:r>
            <w:r>
              <w:tab/>
            </w:r>
            <w:r>
              <w:t>keďže banky EÚ vykazujú od roku 2022 rekordné zisky vďaka oneskorenému prenosu politík sprísňovania menovej politiky</w:t>
            </w:r>
            <w:r>
              <w:rPr>
                <w:b/>
                <w:i/>
              </w:rPr>
              <w:t>, čo po viac ako 15 rokoch pomáha odstrániť rozdiel v ROE medzi bankami EÚ a USA</w:t>
            </w:r>
            <w:r>
              <w:t>; keďže viaceré členské štáty zaviedli dočasné bankové odvody</w:t>
            </w:r>
            <w:r>
              <w:rPr>
                <w:b/>
                <w:i/>
              </w:rPr>
              <w:t>, hoci inštitúcie ako ECB vo svojich stanoviskách opakovane uviedli, že odvody od finančných inštitúcií za všeobecné rozpočtové záležitosti by boli nežiaduce a že ich uplatňovanie by mohlo narušiť hospodársku súťaž na trhu a narušiť rovnaké podmienky v rámci krajiny aj v celej bankovej únii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banky EÚ vykazujú od roku 2022 rekordné zisky vďaka oneskorenému prenosu politík sprísňovania menovej politiky; keďže viaceré členské štáty zaviedli dočasné bankové odvody </w:t>
            </w:r>
            <w:r>
              <w:rPr>
                <w:b/>
                <w:i/>
              </w:rPr>
              <w:t>s cieľom zabezpečiť spravodlivý príspevok a zároveň zachovať stabilitu a sociálnu súdržnosť</w:t>
            </w:r>
            <w:r>
              <w:t>;</w:t>
            </w:r>
          </w:p>
        </w:tc>
        <w:tc>
          <w:tcPr>
            <w:tcW w:w="4876" w:type="dxa"/>
            <w:tcBorders>
              <w:top w:val="nil"/>
              <w:left w:val="nil"/>
              <w:bottom w:val="nil"/>
              <w:right w:val="nil"/>
            </w:tcBorders>
          </w:tcPr>
          <w:p>
            <w:pPr>
              <w:pStyle w:val="Normal6a"/>
            </w:pPr>
            <w:r>
              <w:t>F.</w:t>
            </w:r>
            <w:r>
              <w:tab/>
            </w:r>
            <w:r>
              <w:t>keďže banky EÚ vykazujú od roku 2022 rekordné zisky vďaka oneskorenému prenosu politík sprísňovania menovej politiky; keďže viaceré členské štáty zaviedli dočasné bankové odvody;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banky EÚ vykazujú od roku 2022 rekordné zisky vďaka oneskorenému prenosu politík sprísňovania menovej politiky; keďže viaceré členské štáty zaviedli dočasné bankové odvody s cieľom zabezpečiť spravodlivý príspevok a zároveň zachovať stabilitu a sociálnu súdržnosť;</w:t>
            </w:r>
          </w:p>
        </w:tc>
        <w:tc>
          <w:tcPr>
            <w:tcW w:w="4876" w:type="dxa"/>
            <w:tcBorders>
              <w:top w:val="nil"/>
              <w:left w:val="nil"/>
              <w:bottom w:val="nil"/>
              <w:right w:val="nil"/>
            </w:tcBorders>
          </w:tcPr>
          <w:p>
            <w:pPr>
              <w:pStyle w:val="Normal6a"/>
            </w:pPr>
            <w:r>
              <w:t>F.</w:t>
            </w:r>
            <w:r>
              <w:tab/>
            </w:r>
            <w:r>
              <w:t xml:space="preserve">keďže banky EÚ vykazujú od roku 2022 rekordné zisky vďaka oneskorenému prenosu politík sprísňovania menovej politiky; keďže viaceré členské štáty zaviedli dočasné bankové odvody s cieľom zabezpečiť spravodlivý príspevok a zároveň zachovať stabilitu a sociálnu súdržnosť; </w:t>
            </w:r>
            <w:r>
              <w:rPr>
                <w:b/>
                <w:i/>
              </w:rPr>
              <w:t>keďže ziskovosť bánk v EÚ sa od roku 2022 zvýšila v kontexte sprísňovania menovej politiky, čo prispelo k tvorbe kapitálu a finančnej stabilite; </w:t>
            </w:r>
            <w:r>
              <w:t xml:space="preserve"> </w:t>
            </w:r>
            <w:r>
              <w:rPr>
                <w:b/>
                <w:i/>
              </w:rPr>
              <w:t>keďže ziskovosť bánk je naďalej cyklická a podlieha celému cyklu úrokových sadzieb; </w:t>
            </w:r>
            <w:r>
              <w:t xml:space="preserve"> </w:t>
            </w:r>
            <w:r>
              <w:rPr>
                <w:b/>
                <w:i/>
              </w:rPr>
              <w:t>keďže niekoľko členských štátov zaviedlo dočasné bankové odvody, ktoré by mali zostať výnimočné, primerané a starostlivo posúdené, aby sa zabránilo nepriaznivým účinkom na kapitálovú pozíciu bánk, ich úverovú kapacitu, finančnú stabilitu a rovnaké podmienky v rámci bankovej únie;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banky EÚ vykazujú od roku 2022 rekordné zisky vďaka oneskorenému prenosu politík sprísňovania menovej politiky; keďže viaceré členské štáty zaviedli dočasné bankové odvody s cieľom zabezpečiť spravodlivý príspevok a zároveň zachovať stabilitu a sociálnu súdržnosť;</w:t>
            </w:r>
          </w:p>
        </w:tc>
        <w:tc>
          <w:tcPr>
            <w:tcW w:w="4876" w:type="dxa"/>
            <w:tcBorders>
              <w:top w:val="nil"/>
              <w:left w:val="nil"/>
              <w:bottom w:val="nil"/>
              <w:right w:val="nil"/>
            </w:tcBorders>
          </w:tcPr>
          <w:p>
            <w:pPr>
              <w:pStyle w:val="Normal6a"/>
            </w:pPr>
            <w:r>
              <w:t>F.</w:t>
            </w:r>
            <w:r>
              <w:tab/>
            </w:r>
            <w:r>
              <w:t xml:space="preserve">keďže banky EÚ vykazujú od roku 2022 rekordné zisky vďaka oneskorenému prenosu politík sprísňovania menovej politiky; keďže viaceré členské štáty zaviedli dočasné bankové odvody s cieľom zabezpečiť spravodlivý príspevok a zároveň zachovať stabilitu a sociálnu súdržnosť; </w:t>
            </w:r>
            <w:r>
              <w:rPr>
                <w:b/>
                <w:i/>
              </w:rPr>
              <w:t>keďže vysoké nerozdelené zisky boli vo veľkej miere absorbované rastúcimi kapitálovými požiadavkami a nadhodnotenými nákladmi na dodržiavanie predpisov vrátane vykazovania informácií o udržateľnosti, čo obmedzuje schopnosť bánk podporovať reálnu ekonomiku, a keďže sprísnenie menovej politiky znížilo čisté úrokové marže, čo odráža širšie makroprudenciálne tlaky na ziskovosť;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uloženie odvetvových daní úverovým inštitúciám, aj keď je prezentované ako dočasné opatrenie, môže viesť k narušeniam vnútorného trhu, negatívne ovplyvniť schopnosť inštitúcií poskytovať úvery domácnostiam a podnikom a znížiť predvídateľnosť fiškálneho rámca;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Komisia sa vo svojom oznámení o únii úspor a investícií z marca 2025 zaväzuje prijať „rozhodné kroky v záujme ďalšieho rozvoja bankovej únie vrátane určenia smerovania v súvislosti s európskym systémom ochrany vkladov“, ale odvtedy stále nepredložila žiadny návrh týkajúci sa dobudovania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banky sú základným pilierom nášho hospodárstva a patria medzi strategicky najdôležitejšie odvetvia;</w:t>
            </w:r>
            <w:r>
              <w:t xml:space="preserve"> </w:t>
            </w:r>
            <w:r>
              <w:rPr>
                <w:b/>
                <w:i/>
              </w:rPr>
              <w:t>keďže stabilita, odolnosť a konkurencieschopnosť majú zásadný význam pre zabezpečenie toho, aby sa finančný systém mohol prispôsobiť globálnym výzvam, podporovať inovácie a účinne uspokojovať potreby podnikov a občanov;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nadmerná likvidita v eurozóne v roku 2022 dosiahla 4,7 bilióna EUR, zatiaľ čo v súčasnosti predstavuje 2,8 bilióna EUR;</w:t>
            </w:r>
            <w:r>
              <w:t xml:space="preserve"> </w:t>
            </w:r>
            <w:r>
              <w:rPr>
                <w:b/>
                <w:i/>
              </w:rPr>
              <w:t>keďže aj ukazovateľ krytia likvidity bánk eurozóny dosiahol svoj vrchol v roku 2022, keď prekročil 170 %, zatiaľ čo v treťom štvrťroku 2025 bol na úrovni 156 %;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tokeny elektronických peňazí sa čoraz viac používajú a sú čoraz užšie prepojené s bankami v rámci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keďže banky sú základným kameňom nášho hospodárstva a predstavujú jedno z najdôležitejších strategických odvetví a keďže je nevyhnutné zabezpečiť, aby fungovali v prostredí, ktoré podporuje stabilitu, odolnosť, dynamiku a konkurencieschopnosť;</w:t>
            </w:r>
            <w:r>
              <w:t xml:space="preserve"> </w:t>
            </w:r>
            <w:r>
              <w:rPr>
                <w:b/>
                <w:i/>
              </w:rPr>
              <w:t>keďže tieto zásady majú zásadný význam nielen pre udržateľný hospodársky rast, ale aj pre zabezpečenie toho, aby sa finančný systém mohol prispôsobiť globálnym výzvam, uľahčiť inovácie a účinne reagovať na potreby podnikov a občanov; </w:t>
            </w:r>
            <w:r>
              <w:t xml:space="preserve"> </w:t>
            </w:r>
            <w:r>
              <w:rPr>
                <w:b/>
                <w:i/>
              </w:rPr>
              <w:t>keďže dynamické hospodárstvo si vyžaduje bankový sektor, ktorý kombinuje odolnosť s flexibilitou, podporuje investície a efektívne smeruje kapitál, čím posilňuje našu schopnosť konkurovať na neustále sa meniacom globálnom trhu;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keďže v nariadení (EÚ) 2023/1114 (MiCA) sa stanovujú diferencované požiadavky na prístup na trh, povinnosti vyplácania a rámce dohľadu pre emitentov tokenov naviazaných na aktíva a tokenov elektronických peňazí, ktoré odrážajú ich rôzne rizikové profily a finančné dôsledky;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keďže silné bankovníctvo je kľúčom k hospodárskemu rastu a financovaniu malých a stredných podnikov (MSP) a startupov;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víta pokrok dosiahnutý</w:t>
            </w:r>
            <w:r>
              <w:t xml:space="preserve"> v súvislosti s jednotným mechanizmom dohľadu a jednotným mechanizmom riešenia krízových situácií za posledné desaťročie; </w:t>
            </w:r>
            <w:r>
              <w:rPr>
                <w:b/>
                <w:i/>
              </w:rPr>
              <w:t>vyzýva na úplné a rýchle dobudovanie bankovej únie vrátane plnohodnotného európskeho systému ochrany vkladov</w:t>
            </w:r>
            <w:r>
              <w:t xml:space="preserve">; zdôrazňuje, že </w:t>
            </w:r>
            <w:r>
              <w:rPr>
                <w:b/>
                <w:i/>
              </w:rPr>
              <w:t>banková únia musí podporovať inkluzívnejší a udržateľnejší finančný systém v súlade so sociálnou súdržnosťou a Európskou zelenou dohodou</w:t>
            </w:r>
            <w:r>
              <w:t>;</w:t>
            </w:r>
          </w:p>
        </w:tc>
        <w:tc>
          <w:tcPr>
            <w:tcW w:w="4876" w:type="dxa"/>
            <w:tcBorders>
              <w:top w:val="nil"/>
              <w:left w:val="nil"/>
              <w:bottom w:val="nil"/>
              <w:right w:val="nil"/>
            </w:tcBorders>
          </w:tcPr>
          <w:p>
            <w:pPr>
              <w:pStyle w:val="Normal6a"/>
            </w:pPr>
            <w:r>
              <w:t>1.</w:t>
            </w:r>
            <w:r>
              <w:tab/>
            </w:r>
            <w:r>
              <w:rPr>
                <w:b/>
                <w:i/>
              </w:rPr>
              <w:t>berie na vedomie vývoj</w:t>
            </w:r>
            <w:r>
              <w:t xml:space="preserve"> v súvislosti s jednotným mechanizmom dohľadu a jednotným mechanizmom riešenia krízových situácií za posledné desaťročie; </w:t>
            </w:r>
            <w:r>
              <w:rPr>
                <w:b/>
                <w:i/>
              </w:rPr>
              <w:t>požaduje reformy, ktoré posilnia trhovú disciplínu, a nie byrokratickú expanziu</w:t>
            </w:r>
            <w:r>
              <w:t xml:space="preserve">; zdôrazňuje, že </w:t>
            </w:r>
            <w:r>
              <w:rPr>
                <w:b/>
                <w:i/>
              </w:rPr>
              <w:t>návrhy, ktoré ďalej centralizujú riziko, by sa mali kompenzovať primeranou zodpovednosťou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w:t>
            </w:r>
            <w:r>
              <w:rPr>
                <w:b/>
                <w:i/>
              </w:rPr>
              <w:t>vyzýva na úplné a rýchle dobudovanie bankovej únie vrátane plnohodnotného európskeho systému ochrany vkladov;</w:t>
            </w:r>
            <w:r>
              <w:t xml:space="preserve"> </w:t>
            </w:r>
            <w:r>
              <w:rPr>
                <w:b/>
                <w:i/>
              </w:rPr>
              <w:t>zdôrazňuje, že banková únia musí podporovať inkluzívnejší a udržateľnejší finančný systém v súlade so sociálnou súdržnosťou a Európskou zelenou dohodou;</w:t>
            </w:r>
          </w:p>
        </w:tc>
        <w:tc>
          <w:tcPr>
            <w:tcW w:w="4876" w:type="dxa"/>
            <w:tcBorders>
              <w:top w:val="nil"/>
              <w:left w:val="nil"/>
              <w:bottom w:val="nil"/>
              <w:right w:val="nil"/>
            </w:tcBorders>
          </w:tcPr>
          <w:p>
            <w:pPr>
              <w:pStyle w:val="Normal6a"/>
            </w:pPr>
            <w:r>
              <w:t>1.</w:t>
            </w:r>
            <w:r>
              <w:tab/>
            </w:r>
            <w:r>
              <w:t>víta pokrok dosiahnutý v súvislosti s jednotným mechanizmom dohľadu a jednotným mechanizmom riešenia krízových situácií za posledné desaťročie;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w:t>
            </w:r>
            <w:r>
              <w:rPr>
                <w:b/>
                <w:i/>
              </w:rPr>
              <w:t>úplné a rýchle dobudovanie</w:t>
            </w:r>
            <w:r>
              <w:t xml:space="preserve"> bankovej únie </w:t>
            </w:r>
            <w:r>
              <w:rPr>
                <w:b/>
                <w:i/>
              </w:rPr>
              <w:t>vrátane plnohodnotného európskeho systému ochrany vkladov;</w:t>
            </w:r>
            <w:r>
              <w:t xml:space="preserve"> </w:t>
            </w:r>
            <w:r>
              <w:rPr>
                <w:b/>
                <w:i/>
              </w:rPr>
              <w:t>zdôrazňuje, že banková únia musí podporovať inkluzívnejší a udržateľnejší finančný systém v súlade so sociálnou súdržnosťou a Európskou zelenou dohodou</w:t>
            </w:r>
            <w:r>
              <w:t>;</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w:t>
            </w:r>
            <w:r>
              <w:rPr>
                <w:b/>
                <w:i/>
              </w:rPr>
              <w:t>ďalší rozvoj</w:t>
            </w:r>
            <w:r>
              <w:t xml:space="preserve"> bankovej únie </w:t>
            </w:r>
            <w:r>
              <w:rPr>
                <w:b/>
                <w:i/>
              </w:rPr>
              <w:t>pri zohľadnení osobitných charakteristík vnútroštátnych bankových sektorov a zabezpečení autonómie a účinného fungovania schém inštitucionálneho zabezpečenia bez toho, aby boli v rozpore s osobitnými ustanoveniami pre schémy inštitucionálneho zabezpečenia dohodnutými v preskúmaní rámca CMDI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w:t>
            </w:r>
            <w:r>
              <w:rPr>
                <w:b/>
                <w:i/>
              </w:rPr>
              <w:t>vyzýva na úplné a rýchle dobudovanie</w:t>
            </w:r>
            <w:r>
              <w:t xml:space="preserve"> bankovej únie </w:t>
            </w:r>
            <w:r>
              <w:rPr>
                <w:b/>
                <w:i/>
              </w:rPr>
              <w:t>vrátane plnohodnotného európskeho systému ochrany vkladov</w:t>
            </w:r>
            <w:r>
              <w:t xml:space="preserve">; </w:t>
            </w:r>
            <w:r>
              <w:rPr>
                <w:b/>
                <w:i/>
              </w:rPr>
              <w:t>zdôrazňuje, že banková únia musí podporovať inkluzívnejší a udržateľnejší finančný systém v súlade so sociálnou súdržnosťou a Európskou zelenou dohodou;</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w:t>
            </w:r>
            <w:r>
              <w:rPr>
                <w:b/>
                <w:i/>
              </w:rPr>
              <w:t>požaduje postupný ďalší rozvoj</w:t>
            </w:r>
            <w:r>
              <w:t xml:space="preserve"> bankovej únie </w:t>
            </w:r>
            <w:r>
              <w:rPr>
                <w:b/>
                <w:i/>
              </w:rPr>
              <w:t>pri náležitom zohľadňovaní vnútroštátnych špecifík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w:t>
            </w:r>
            <w:r>
              <w:rPr>
                <w:b/>
                <w:i/>
              </w:rPr>
              <w:t>plnohodnotného európskeho</w:t>
            </w:r>
            <w:r>
              <w:t xml:space="preserve"> systému </w:t>
            </w:r>
            <w:r>
              <w:rPr>
                <w:b/>
                <w:i/>
              </w:rPr>
              <w:t>ochrany vkladov;</w:t>
            </w:r>
            <w:r>
              <w:t xml:space="preserve"> </w:t>
            </w:r>
            <w:r>
              <w:rPr>
                <w:b/>
                <w:i/>
              </w:rPr>
              <w:t>zdôrazňuje, že banková únia musí podporovať inkluzívnejší a udržateľnejší finančný systém v súlade so sociálnou súdržnosťou a Európskou zelenou dohodou</w:t>
            </w:r>
            <w:r>
              <w:t>;</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systému </w:t>
            </w:r>
            <w:r>
              <w:rPr>
                <w:b/>
                <w:i/>
              </w:rPr>
              <w:t>EDIS, ktorý zohľadňuje vnútroštátne špecifiká</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w:t>
            </w:r>
            <w:r>
              <w:rPr>
                <w:b/>
                <w:i/>
              </w:rPr>
              <w:t>vyzýva na úplné a rýchle dobudovanie bankovej únie vrátane plnohodnotného európskeho systému ochrany vkladov;</w:t>
            </w:r>
            <w:r>
              <w:t xml:space="preserve"> zdôrazňuje, že banková únia musí podporovať inkluzívnejší a udržateľnejší finančný systém v súlade </w:t>
            </w:r>
            <w:r>
              <w:rPr>
                <w:b/>
                <w:i/>
              </w:rPr>
              <w:t>so sociálnou súdržnosťou a Európskou zelenou dohodou</w:t>
            </w:r>
            <w:r>
              <w:t>;</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zdôrazňuje, že banková únia musí podporovať inkluzívnejší a udržateľnejší finančný systém v súlade </w:t>
            </w:r>
            <w:r>
              <w:rPr>
                <w:b/>
                <w:i/>
              </w:rPr>
              <w:t>s dvojakou transformáciou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plnohodnotného európskeho systému ochrany vkladov; </w:t>
            </w:r>
            <w:r>
              <w:rPr>
                <w:b/>
                <w:i/>
              </w:rPr>
              <w:t>zdôrazňuje, že banková únia musí podporovať inkluzívnejší a udržateľnejší finančný systém v súlade so sociálnou súdržnosťou a Európskou zelenou dohodou;</w:t>
            </w:r>
          </w:p>
        </w:tc>
        <w:tc>
          <w:tcPr>
            <w:tcW w:w="4876" w:type="dxa"/>
            <w:tcBorders>
              <w:top w:val="nil"/>
              <w:left w:val="nil"/>
              <w:bottom w:val="nil"/>
              <w:right w:val="nil"/>
            </w:tcBorders>
          </w:tcPr>
          <w:p>
            <w:pPr>
              <w:pStyle w:val="Normal6a"/>
            </w:pPr>
            <w:r>
              <w:t>1.</w:t>
            </w:r>
            <w:r>
              <w:tab/>
            </w:r>
            <w:r>
              <w:t>víta pokrok dosiahnutý v súvislosti s jednotným mechanizmom dohľadu a jednotným mechanizmom riešenia krízových situácií za posledné desaťročie; vyzýva na úplné a rýchle dobudovanie bankovej únie vrátane plnohodnotného európskeho systému ochrany vkladov;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plnohodnotného európskeho systému ochrany vkladov; </w:t>
            </w:r>
            <w:r>
              <w:rPr>
                <w:b/>
                <w:i/>
              </w:rPr>
              <w:t>zdôrazňuje, že banková únia musí podporovať inkluzívnejší a udržateľnejší finančný systém v súlade so sociálnou súdržnosťou a Európskou zelenou dohodou;</w:t>
            </w:r>
          </w:p>
        </w:tc>
        <w:tc>
          <w:tcPr>
            <w:tcW w:w="4876" w:type="dxa"/>
            <w:tcBorders>
              <w:top w:val="nil"/>
              <w:left w:val="nil"/>
              <w:bottom w:val="nil"/>
              <w:right w:val="nil"/>
            </w:tcBorders>
          </w:tcPr>
          <w:p>
            <w:pPr>
              <w:pStyle w:val="Normal6a"/>
            </w:pPr>
            <w:r>
              <w:t>1.</w:t>
            </w:r>
            <w:r>
              <w:tab/>
            </w:r>
            <w:r>
              <w:t>víta pokrok dosiahnutý v súvislosti s jednotným mechanizmom dohľadu a jednotným mechanizmom riešenia krízových situácií za posledné desaťročie; vyzýva na úplné a rýchle dobudovanie bankovej únie vrátane plnohodnotného európskeho systému ochrany vkladov;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w:t>
            </w:r>
            <w:r>
              <w:rPr>
                <w:b/>
                <w:i/>
              </w:rPr>
              <w:t>vyzýva na úplné a rýchle</w:t>
            </w:r>
            <w:r>
              <w:t xml:space="preserve"> dobudovanie bankovej únie </w:t>
            </w:r>
            <w:r>
              <w:rPr>
                <w:b/>
                <w:i/>
              </w:rPr>
              <w:t>vrátane plnohodnotného európskeho systému ochrany vkladov</w:t>
            </w:r>
            <w:r>
              <w:t xml:space="preserve">; zdôrazňuje, že banková únia musí podporovať </w:t>
            </w:r>
            <w:r>
              <w:rPr>
                <w:b/>
                <w:i/>
              </w:rPr>
              <w:t>inkluzívnejší a udržateľnejší</w:t>
            </w:r>
            <w:r>
              <w:t xml:space="preserve"> finančný systém v súlade so sociálnou súdržnosťou a Európskou zelenou dohodou;</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w:t>
            </w:r>
            <w:r>
              <w:rPr>
                <w:b/>
                <w:i/>
              </w:rPr>
              <w:t>podporuje</w:t>
            </w:r>
            <w:r>
              <w:t xml:space="preserve"> dobudovanie bankovej únie; zdôrazňuje, že banková únia musí podporovať </w:t>
            </w:r>
            <w:r>
              <w:rPr>
                <w:b/>
                <w:i/>
              </w:rPr>
              <w:t>inkluzívny a udržateľný</w:t>
            </w:r>
            <w:r>
              <w:t xml:space="preserve"> finančný systém v súlade so sociálnou súdržnosťou a Európskou zelenou dohodou;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w:t>
            </w:r>
            <w:r>
              <w:rPr>
                <w:b/>
                <w:i/>
              </w:rPr>
              <w:t>plnohodnotného európskeho systému ochrany vkladov</w:t>
            </w:r>
            <w:r>
              <w:t>; zdôrazňuje, že banková únia musí podporovať inkluzívnejší a udržateľnejší finančný systém v súlade so sociálnou súdržnosťou a Európskou zelenou dohodou;</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w:t>
            </w:r>
            <w:r>
              <w:rPr>
                <w:b/>
                <w:i/>
              </w:rPr>
              <w:t>pokračujúcej práce na systéme EDIS a opatrení na prehĺbenie integrácie trhu a uľahčenie účinného obehu kapitálu a likvidity v rámci bankových skupín</w:t>
            </w:r>
            <w:r>
              <w:t>; zdôrazňuje, že banková únia musí podporovať inkluzívnejší a udržateľnejší finančný systém v súlade so sociálnou súdržnosťou a Európskou zelenou dohodou;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w:t>
            </w:r>
            <w:r>
              <w:rPr>
                <w:b/>
                <w:i/>
              </w:rPr>
              <w:t>plnohodnotného európskeho</w:t>
            </w:r>
            <w:r>
              <w:t xml:space="preserve"> systému </w:t>
            </w:r>
            <w:r>
              <w:rPr>
                <w:b/>
                <w:i/>
              </w:rPr>
              <w:t>ochrany vkladov</w:t>
            </w:r>
            <w:r>
              <w:t>; zdôrazňuje, že banková únia musí podporovať inkluzívnejší a udržateľnejší finančný systém v súlade so sociálnou súdržnosťou a Európskou zelenou dohodou;</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systému </w:t>
            </w:r>
            <w:r>
              <w:rPr>
                <w:b/>
                <w:i/>
              </w:rPr>
              <w:t>EDIS, ktorý zohľadňuje vnútroštátne špecifiká</w:t>
            </w:r>
            <w:r>
              <w:t>; zdôrazňuje, že banková únia musí podporovať inkluzívnejší a udržateľnejší finančný systém v súlade so sociálnou súdržnosťou a Európskou zelenou dohodou;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plnohodnotného európskeho systému ochrany vkladov; zdôrazňuje, že banková únia musí podporovať inkluzívnejší a udržateľnejší finančný systém </w:t>
            </w:r>
            <w:r>
              <w:rPr>
                <w:b/>
                <w:i/>
              </w:rPr>
              <w:t>v súlade so sociálnou súdržnosťou a Európskou zelenou dohodou</w:t>
            </w:r>
            <w:r>
              <w:t>;</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plnohodnotného </w:t>
            </w:r>
            <w:r>
              <w:rPr>
                <w:b/>
                <w:i/>
              </w:rPr>
              <w:t>mutualizovaného</w:t>
            </w:r>
            <w:r>
              <w:t xml:space="preserve"> európskeho systému ochrany vkladov; zdôrazňuje, že banková únia musí podporovať </w:t>
            </w:r>
            <w:r>
              <w:rPr>
                <w:b/>
                <w:i/>
              </w:rPr>
              <w:t>konkurencieschopnejší,</w:t>
            </w:r>
            <w:r>
              <w:t xml:space="preserve"> inkluzívnejší a udržateľnejší finančný systém;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plnohodnotného európskeho systému ochrany vkladov; zdôrazňuje, že banková únia musí podporovať inkluzívnejší a udržateľnejší finančný systém v súlade so sociálnou súdržnosťou a </w:t>
            </w:r>
            <w:r>
              <w:rPr>
                <w:b/>
                <w:i/>
              </w:rPr>
              <w:t>Európskou zelenou dohodou</w:t>
            </w:r>
            <w:r>
              <w:t>;</w:t>
            </w:r>
          </w:p>
        </w:tc>
        <w:tc>
          <w:tcPr>
            <w:tcW w:w="4876" w:type="dxa"/>
            <w:tcBorders>
              <w:top w:val="nil"/>
              <w:left w:val="nil"/>
              <w:bottom w:val="nil"/>
              <w:right w:val="nil"/>
            </w:tcBorders>
          </w:tcPr>
          <w:p>
            <w:pPr>
              <w:pStyle w:val="Normal6a"/>
            </w:pPr>
            <w:r>
              <w:t>1.</w:t>
            </w:r>
            <w:r>
              <w:tab/>
            </w:r>
            <w:r>
              <w:t xml:space="preserve">víta pokrok dosiahnutý v súvislosti s jednotným mechanizmom dohľadu a jednotným mechanizmom riešenia krízových situácií za posledné desaťročie; vyzýva na úplné a rýchle dobudovanie bankovej únie vrátane plnohodnotného európskeho systému ochrany vkladov; zdôrazňuje, že banková únia musí podporovať inkluzívnejší a udržateľnejší finančný systém v súlade so sociálnou súdržnosťou a </w:t>
            </w:r>
            <w:r>
              <w:rPr>
                <w:b/>
                <w:i/>
              </w:rPr>
              <w:t>konkurencieschopnosťou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víta pokrok dosiahnutý v súvislosti s jednotným mechanizmom dohľadu a jednotným mechanizmom riešenia krízových situácií za posledné desaťročie; vyzýva na úplné a rýchle dobudovanie bankovej únie vrátane plnohodnotného európskeho systému ochrany vkladov; zdôrazňuje, že banková únia musí podporovať inkluzívnejší a udržateľnejší finančný systém v súlade so sociálnou súdržnosťou a Európskou zelenou dohodou;</w:t>
            </w:r>
          </w:p>
        </w:tc>
        <w:tc>
          <w:tcPr>
            <w:tcW w:w="4876" w:type="dxa"/>
            <w:tcBorders>
              <w:top w:val="nil"/>
              <w:left w:val="nil"/>
              <w:bottom w:val="nil"/>
              <w:right w:val="nil"/>
            </w:tcBorders>
          </w:tcPr>
          <w:p>
            <w:pPr>
              <w:pStyle w:val="Normal6a"/>
            </w:pPr>
            <w:r>
              <w:t>1.</w:t>
            </w:r>
            <w:r>
              <w:tab/>
            </w:r>
            <w:r>
              <w:t>víta pokrok dosiahnutý v súvislosti s jednotným mechanizmom dohľadu a jednotným mechanizmom riešenia krízových situácií za posledné desaťročie; vyzýva na úplné a rýchle dobudovanie bankovej únie vrátane plnohodnotného európskeho systému ochrany vkladov</w:t>
            </w:r>
            <w:r>
              <w:rPr>
                <w:b/>
                <w:i/>
              </w:rPr>
              <w:t>, ktorý by umožňoval krytie strát</w:t>
            </w:r>
            <w:r>
              <w:t>; zdôrazňuje, že banková únia musí podporovať inkluzívnejší a udržateľnejší finančný systém v súlade so sociálnou súdržnosťou a Európskou zelenou dohodou;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konštatuje, že integrovanejšia banková únia by pomohla zvýšiť odolnosť bankového sektora EÚ a priniesla by výhody zákazníkom;</w:t>
            </w:r>
            <w:r>
              <w:t xml:space="preserve"> </w:t>
            </w:r>
            <w:r>
              <w:rPr>
                <w:b/>
                <w:i/>
              </w:rPr>
              <w:t>v tejto súvislosti konštatuje, že je potrebné riešiť problémy a výzvy súvisiace s otázkou domovského a hostiteľského štátu, najmä dôveryhodné záruky pre hostiteľské krajiny, ktoré by sa odrážali v práve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vyzýva Komisiu, aby ako prioritu riešila dobudovanie bankovej únie a únie úspor a investícií;</w:t>
            </w:r>
            <w:r>
              <w:t xml:space="preserve"> </w:t>
            </w:r>
            <w:r>
              <w:rPr>
                <w:b/>
                <w:i/>
              </w:rPr>
              <w:t>zdôrazňuje ich význam pre občanov, MSP a reálnu ekonomiku tým, že podporujú udržateľnú prosperitu, kvalitné pracovné miesta a finančnú stabilitu;</w:t>
            </w:r>
            <w:r>
              <w:t xml:space="preserve"> </w:t>
            </w:r>
            <w:r>
              <w:rPr>
                <w:b/>
                <w:i/>
              </w:rPr>
              <w:t>zdôrazňuje potrebu silného rámca založeného na solidarite, ktorý zabráni masovému výberu vkladov z bánk;</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vyzýva Komisiu, aby ako prioritu riešila dobudovanie bankovej únie a</w:t>
            </w:r>
            <w:r>
              <w:t xml:space="preserve"> únie úspor a investícií; </w:t>
            </w:r>
            <w:r>
              <w:rPr>
                <w:b/>
                <w:i/>
              </w:rPr>
              <w:t>zdôrazňuje ich význam pre občanov, MSP a reálnu ekonomiku tým, že podporujú udržateľnú prosperitu, kvalitné pracovné miesta a finančnú stabilitu;</w:t>
            </w:r>
            <w:r>
              <w:t xml:space="preserve"> </w:t>
            </w:r>
            <w:r>
              <w:rPr>
                <w:b/>
                <w:i/>
              </w:rPr>
              <w:t>zdôrazňuje potrebu silného rámca založeného na solidarite, ktorý zabráni masovému výberu vkladov z bánk</w:t>
            </w:r>
            <w:r>
              <w:t>;</w:t>
            </w:r>
          </w:p>
        </w:tc>
        <w:tc>
          <w:tcPr>
            <w:tcW w:w="4876" w:type="dxa"/>
            <w:tcBorders>
              <w:top w:val="nil"/>
              <w:left w:val="nil"/>
              <w:bottom w:val="nil"/>
              <w:right w:val="nil"/>
            </w:tcBorders>
          </w:tcPr>
          <w:p>
            <w:pPr>
              <w:pStyle w:val="Normal6a"/>
            </w:pPr>
            <w:r>
              <w:t>2.</w:t>
            </w:r>
            <w:r>
              <w:tab/>
            </w:r>
            <w:r>
              <w:rPr>
                <w:b/>
                <w:i/>
              </w:rPr>
              <w:t>berie na vedomie návrhy Komisie týkajúce sa</w:t>
            </w:r>
            <w:r>
              <w:t xml:space="preserve"> únie úspor a investícií; </w:t>
            </w:r>
            <w:r>
              <w:rPr>
                <w:b/>
                <w:i/>
              </w:rPr>
              <w:t>konštatuje, že súčasná koncepcia únie úspor a investícií predstavuje riziko presmerovania úspor na vysokorizikové kapitálové trhy bez primeranej ochrany investorov alebo jasných trhových stimulov</w:t>
            </w:r>
            <w:r>
              <w:t xml:space="preserve">; </w:t>
            </w:r>
            <w:r>
              <w:rPr>
                <w:b/>
                <w:i/>
              </w:rPr>
              <w:t>takéto centrálne plánovanie môže narušiť prideľovanie úspor a vystaviť retailových investorov volatilite bez spoľahlivých bezpečnostných mechanizmov;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vyzýva Komisiu, aby ako prioritu riešila </w:t>
            </w:r>
            <w:r>
              <w:rPr>
                <w:b/>
                <w:i/>
              </w:rPr>
              <w:t>dobudovanie</w:t>
            </w:r>
            <w:r>
              <w:t xml:space="preserve"> bankovej únie a únie úspor a investícií; zdôrazňuje ich význam pre občanov, MSP a reálnu ekonomiku tým, že podporujú udržateľnú prosperitu, kvalitné pracovné miesta a finančnú stabilitu; </w:t>
            </w:r>
            <w:r>
              <w:rPr>
                <w:b/>
                <w:i/>
              </w:rPr>
              <w:t>zdôrazňuje potrebu silného rámca založeného na solidarite, ktorý zabráni masovému výberu vkladov z bánk;</w:t>
            </w:r>
          </w:p>
        </w:tc>
        <w:tc>
          <w:tcPr>
            <w:tcW w:w="4876" w:type="dxa"/>
            <w:tcBorders>
              <w:top w:val="nil"/>
              <w:left w:val="nil"/>
              <w:bottom w:val="nil"/>
              <w:right w:val="nil"/>
            </w:tcBorders>
          </w:tcPr>
          <w:p>
            <w:pPr>
              <w:pStyle w:val="Normal6a"/>
            </w:pPr>
            <w:r>
              <w:t>2.</w:t>
            </w:r>
            <w:r>
              <w:tab/>
            </w:r>
            <w:r>
              <w:t xml:space="preserve">vyzýva Komisiu, aby ako prioritu riešila </w:t>
            </w:r>
            <w:r>
              <w:rPr>
                <w:b/>
                <w:i/>
              </w:rPr>
              <w:t>ďalší rozvoj</w:t>
            </w:r>
            <w:r>
              <w:t xml:space="preserve"> bankovej únie a únie úspor a investícií; zdôrazňuje ich význam pre občanov, MSP a reálnu ekonomiku tým, že podporujú udržateľnú prosperitu, kvalitné pracovné miesta a finančnú stabilitu;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vyzýva Komisiu, aby ako prioritu riešila dobudovanie bankovej únie a únie úspor a investícií; zdôrazňuje ich význam pre občanov, MSP a reálnu ekonomiku tým, že podporujú udržateľnú prosperitu, kvalitné pracovné miesta a finančnú stabilitu; zdôrazňuje potrebu silného rámca </w:t>
            </w:r>
            <w:r>
              <w:rPr>
                <w:b/>
                <w:i/>
              </w:rPr>
              <w:t>založeného na solidarite</w:t>
            </w:r>
            <w:r>
              <w:t>, ktorý zabráni masovému výberu vkladov z bánk;</w:t>
            </w:r>
          </w:p>
        </w:tc>
        <w:tc>
          <w:tcPr>
            <w:tcW w:w="4876" w:type="dxa"/>
            <w:tcBorders>
              <w:top w:val="nil"/>
              <w:left w:val="nil"/>
              <w:bottom w:val="nil"/>
              <w:right w:val="nil"/>
            </w:tcBorders>
          </w:tcPr>
          <w:p>
            <w:pPr>
              <w:pStyle w:val="Normal6a"/>
            </w:pPr>
            <w:r>
              <w:t>2.</w:t>
            </w:r>
            <w:r>
              <w:tab/>
            </w:r>
            <w:r>
              <w:t xml:space="preserve">vyzýva Komisiu, aby ako prioritu riešila dobudovanie bankovej únie a únie úspor a </w:t>
            </w:r>
            <w:r>
              <w:rPr>
                <w:b/>
                <w:i/>
              </w:rPr>
              <w:t>investícií ako zásadné nástroje nasmerovania úspor do</w:t>
            </w:r>
            <w:r>
              <w:t xml:space="preserve"> investícií; zdôrazňuje ich význam pre občanov, MSP a reálnu ekonomiku tým, že podporujú udržateľnú prosperitu, kvalitné pracovné miesta a finančnú stabilitu; zdôrazňuje potrebu silného rámca, ktorý </w:t>
            </w:r>
            <w:r>
              <w:rPr>
                <w:b/>
                <w:i/>
              </w:rPr>
              <w:t>je založený na jasných pravidlách a účinných mechanizmoch posilňujúcich dôveru vkladateľov a</w:t>
            </w:r>
            <w:r>
              <w:t xml:space="preserve"> zabráni masovému výberu vkladov z bánk;</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vyzýva Komisiu, aby ako prioritu riešila dobudovanie bankovej únie a únie úspor a investícií; zdôrazňuje ich význam pre občanov, MSP a reálnu ekonomiku tým, že podporujú udržateľnú prosperitu, kvalitné pracovné miesta a finančnú stabilitu; zdôrazňuje potrebu silného rámca </w:t>
            </w:r>
            <w:r>
              <w:rPr>
                <w:b/>
                <w:i/>
              </w:rPr>
              <w:t>založeného na solidarite, ktorý zabráni</w:t>
            </w:r>
            <w:r>
              <w:t xml:space="preserve"> masovému výberu vkladov z bánk;</w:t>
            </w:r>
          </w:p>
        </w:tc>
        <w:tc>
          <w:tcPr>
            <w:tcW w:w="4876" w:type="dxa"/>
            <w:tcBorders>
              <w:top w:val="nil"/>
              <w:left w:val="nil"/>
              <w:bottom w:val="nil"/>
              <w:right w:val="nil"/>
            </w:tcBorders>
          </w:tcPr>
          <w:p>
            <w:pPr>
              <w:pStyle w:val="Normal6a"/>
            </w:pPr>
            <w:r>
              <w:t>2.</w:t>
            </w:r>
            <w:r>
              <w:tab/>
            </w:r>
            <w:r>
              <w:t>vyzýva Komisiu, aby ako prioritu riešila dobudovanie bankovej únie a únie úspor a investícií; zdôrazňuje ich význam pre občanov, MSP a reálnu ekonomiku tým, že podporujú udržateľnú prosperitu, kvalitné pracovné miesta a finančnú stabilitu; zdôrazňuje</w:t>
            </w:r>
            <w:r>
              <w:rPr>
                <w:b/>
                <w:i/>
              </w:rPr>
              <w:t>, že integrovanejšia banková únia by podporila rast a konkurencieschopnosť európskych bánk;</w:t>
            </w:r>
            <w:r>
              <w:t xml:space="preserve"> </w:t>
            </w:r>
            <w:r>
              <w:rPr>
                <w:b/>
                <w:i/>
              </w:rPr>
              <w:t>zdôrazňuje</w:t>
            </w:r>
            <w:r>
              <w:t xml:space="preserve"> potrebu silného rámca </w:t>
            </w:r>
            <w:r>
              <w:rPr>
                <w:b/>
                <w:i/>
              </w:rPr>
              <w:t>s cieľom zabrániť</w:t>
            </w:r>
            <w:r>
              <w:t xml:space="preserve"> masovému výberu vkladov z bánk;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vyzýva Komisiu, aby ako prioritu riešila dobudovanie bankovej únie a únie úspor a investícií; zdôrazňuje ich význam pre občanov, MSP a reálnu ekonomiku tým, že podporujú udržateľnú prosperitu, kvalitné pracovné miesta a finančnú stabilitu; zdôrazňuje potrebu silného rámca </w:t>
            </w:r>
            <w:r>
              <w:rPr>
                <w:b/>
                <w:i/>
              </w:rPr>
              <w:t>založeného na solidarite</w:t>
            </w:r>
            <w:r>
              <w:t>, ktorý zabráni masovému výberu vkladov z bánk;</w:t>
            </w:r>
          </w:p>
        </w:tc>
        <w:tc>
          <w:tcPr>
            <w:tcW w:w="4876" w:type="dxa"/>
            <w:tcBorders>
              <w:top w:val="nil"/>
              <w:left w:val="nil"/>
              <w:bottom w:val="nil"/>
              <w:right w:val="nil"/>
            </w:tcBorders>
          </w:tcPr>
          <w:p>
            <w:pPr>
              <w:pStyle w:val="Normal6a"/>
            </w:pPr>
            <w:r>
              <w:t>2.</w:t>
            </w:r>
            <w:r>
              <w:tab/>
            </w:r>
            <w:r>
              <w:t xml:space="preserve">vyzýva Komisiu, aby ako prioritu riešila dobudovanie bankovej únie a únie úspor a investícií; zdôrazňuje ich význam pre občanov, MSP a reálnu ekonomiku tým, že podporujú udržateľnú prosperitu, kvalitné pracovné miesta a finančnú stabilitu; zdôrazňuje potrebu silného </w:t>
            </w:r>
            <w:r>
              <w:rPr>
                <w:b/>
                <w:i/>
              </w:rPr>
              <w:t>a spoľahlivého</w:t>
            </w:r>
            <w:r>
              <w:t xml:space="preserve"> rámca, ktorý </w:t>
            </w:r>
            <w:r>
              <w:rPr>
                <w:b/>
                <w:i/>
              </w:rPr>
              <w:t>je založený na jasných pravidlách a povinnostiach a</w:t>
            </w:r>
            <w:r>
              <w:t xml:space="preserve"> zabráni masovému výberu vkladov z bánk</w:t>
            </w:r>
            <w:r>
              <w:rPr>
                <w:b/>
                <w:i/>
              </w:rPr>
              <w:t>, posilňuje finančnú stabilitu a konkurencieschopnosť a posilňuje bankový sektor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vyzýva Komisiu, aby ako prioritu riešila dobudovanie bankovej únie </w:t>
            </w:r>
            <w:r>
              <w:rPr>
                <w:b/>
                <w:i/>
              </w:rPr>
              <w:t>a</w:t>
            </w:r>
            <w:r>
              <w:t xml:space="preserve"> únie úspor a investícií; zdôrazňuje ich význam pre občanov, MSP a reálnu ekonomiku tým, že podporujú udržateľnú prosperitu, kvalitné pracovné miesta a finančnú stabilitu; zdôrazňuje potrebu silného rámca založeného na solidarite, ktorý zabráni masovému výberu vkladov z bánk;</w:t>
            </w:r>
          </w:p>
        </w:tc>
        <w:tc>
          <w:tcPr>
            <w:tcW w:w="4876" w:type="dxa"/>
            <w:tcBorders>
              <w:top w:val="nil"/>
              <w:left w:val="nil"/>
              <w:bottom w:val="nil"/>
              <w:right w:val="nil"/>
            </w:tcBorders>
          </w:tcPr>
          <w:p>
            <w:pPr>
              <w:pStyle w:val="Normal6a"/>
            </w:pPr>
            <w:r>
              <w:t>2.</w:t>
            </w:r>
            <w:r>
              <w:tab/>
            </w:r>
            <w:r>
              <w:t xml:space="preserve">vyzýva Komisiu, aby ako prioritu riešila dobudovanie bankovej únie </w:t>
            </w:r>
            <w:r>
              <w:rPr>
                <w:b/>
                <w:i/>
              </w:rPr>
              <w:t>ako súčasti</w:t>
            </w:r>
            <w:r>
              <w:t xml:space="preserve"> únie úspor a investícií; zdôrazňuje ich význam pre občanov, MSP a reálnu ekonomiku tým, že podporujú udržateľnú prosperitu, kvalitné pracovné miesta a finančnú stabilitu; zdôrazňuje potrebu silného rámca založeného na solidarite, ktorý zabráni masovému výberu vkladov z bánk;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vyzýva Komisiu, aby ako prioritu riešila dobudovanie bankovej únie a únie úspor a investícií; zdôrazňuje ich význam pre občanov, MSP a reálnu ekonomiku tým, že podporujú udržateľnú prosperitu, kvalitné pracovné miesta a finančnú stabilitu; zdôrazňuje potrebu silného rámca založeného na solidarite, ktorý zabráni masovému výberu vkladov z bánk;</w:t>
            </w:r>
          </w:p>
        </w:tc>
        <w:tc>
          <w:tcPr>
            <w:tcW w:w="4876" w:type="dxa"/>
            <w:tcBorders>
              <w:top w:val="nil"/>
              <w:left w:val="nil"/>
              <w:bottom w:val="nil"/>
              <w:right w:val="nil"/>
            </w:tcBorders>
          </w:tcPr>
          <w:p>
            <w:pPr>
              <w:pStyle w:val="Normal6a"/>
            </w:pPr>
            <w:r>
              <w:t>2.</w:t>
            </w:r>
            <w:r>
              <w:tab/>
            </w:r>
            <w:r>
              <w:t xml:space="preserve">vyzýva Komisiu, aby ako prioritu riešila dobudovanie bankovej únie a únie úspor a investícií; zdôrazňuje ich význam pre občanov, MSP a reálnu ekonomiku tým, že podporujú </w:t>
            </w:r>
            <w:r>
              <w:rPr>
                <w:b/>
                <w:i/>
              </w:rPr>
              <w:t>odolnosť, konkurencieschopnosť,</w:t>
            </w:r>
            <w:r>
              <w:t xml:space="preserve"> udržateľnú prosperitu, kvalitné pracovné miesta a finančnú stabilitu; zdôrazňuje potrebu silného rámca založeného na solidarite, ktorý zabráni masovému výberu vkladov z bánk;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vyzýva Komisiu, aby ako prioritu riešila dobudovanie bankovej únie a únie úspor a investícií; zdôrazňuje ich význam pre občanov, MSP a reálnu ekonomiku tým, že podporujú udržateľnú prosperitu, kvalitné pracovné miesta a finančnú stabilitu; zdôrazňuje potrebu silného rámca založeného na solidarite, ktorý zabráni masovému výberu vkladov z bánk;</w:t>
            </w:r>
          </w:p>
        </w:tc>
        <w:tc>
          <w:tcPr>
            <w:tcW w:w="4876" w:type="dxa"/>
            <w:tcBorders>
              <w:top w:val="nil"/>
              <w:left w:val="nil"/>
              <w:bottom w:val="nil"/>
              <w:right w:val="nil"/>
            </w:tcBorders>
          </w:tcPr>
          <w:p>
            <w:pPr>
              <w:pStyle w:val="Normal6a"/>
            </w:pPr>
            <w:r>
              <w:t>2.</w:t>
            </w:r>
            <w:r>
              <w:tab/>
            </w:r>
            <w:r>
              <w:t xml:space="preserve">vyzýva Komisiu, aby ako prioritu riešila dobudovanie bankovej únie a únie úspor a investícií; zdôrazňuje ich význam pre občanov, MSP a reálnu ekonomiku tým, že podporujú udržateľnú prosperitu, kvalitné pracovné miesta a finančnú stabilitu; zdôrazňuje potrebu silného rámca založeného na solidarite, ktorý zabráni masovému výberu vkladov z bánk; </w:t>
            </w:r>
            <w:r>
              <w:rPr>
                <w:b/>
                <w:i/>
              </w:rPr>
              <w:t>zdôrazňuje, že dobudovanie únie kapitálových trhov spolu s rozvojom bankovej únie pomôže vytvoriť lepšie podmienky na financovanie európskeho hospodárstva tak pre domácnosti, ako aj pre spoločnosti, ktoré sú stále vo veľkej miere závislé od bankových úverov, s cieľom podporiť investície a vytváranie pracovných miest, a zároveň prispieť k odolnosti európskeho hospodárstva;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zdôrazňuje, že úrokové sadzby ponúkané domácnostiam a MSP v členských štátoch sú veľmi rozdielne;</w:t>
            </w:r>
            <w:r>
              <w:t xml:space="preserve"> </w:t>
            </w:r>
            <w:r>
              <w:rPr>
                <w:b/>
                <w:i/>
              </w:rPr>
              <w:t>naliehavo vyzýva Komisiu a orgány bankového dohľadu, aby zvážili opatrenia na zabezpečenie toho, aby všetci občania a podniky mali prístup k veľmi potrebnému kapitálu za spravodlivé a konkurencieschopné sadzby;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zdôrazňuje úlohu bankového sektora pri financovaní prechodu na uhlíkovo neutrálne hospodárstvo;</w:t>
            </w:r>
            <w:r>
              <w:t xml:space="preserve"> </w:t>
            </w:r>
            <w:r>
              <w:rPr>
                <w:b/>
                <w:i/>
              </w:rPr>
              <w:t>požaduje prísnejšie usmernenia v oblasti dohľadu s cieľom zosúladiť finančné inštitúcie s cieľmi EÚ v oblasti klímy;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zdôrazňuje úlohu bankového sektora pri financovaní prechodu na uhlíkovo neutrálne hospodárstvo;</w:t>
            </w:r>
            <w:r>
              <w:t xml:space="preserve"> </w:t>
            </w:r>
            <w:r>
              <w:rPr>
                <w:b/>
                <w:i/>
              </w:rPr>
              <w:t>požaduje prísnejšie usmernenia v oblasti dohľadu s cieľom zosúladiť finančné inštitúcie s cieľmi EÚ v oblasti klímy;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zdôrazňuje úlohu bankového sektora pri financovaní prechodu na uhlíkovo neutrálne hospodárstvo;</w:t>
            </w:r>
            <w:r>
              <w:t xml:space="preserve"> </w:t>
            </w:r>
            <w:r>
              <w:rPr>
                <w:b/>
                <w:i/>
              </w:rPr>
              <w:t>požaduje prísnejšie usmernenia v oblasti dohľadu s cieľom zosúladiť finančné inštitúcie s cieľmi EÚ v oblasti klímy;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zdôrazňuje úlohu bankového sektora pri financovaní prechodu na uhlíkovo neutrálne hospodárstvo;</w:t>
            </w:r>
            <w:r>
              <w:t xml:space="preserve"> </w:t>
            </w:r>
            <w:r>
              <w:rPr>
                <w:b/>
                <w:i/>
              </w:rPr>
              <w:t>požaduje prísnejšie usmernenia v oblasti dohľadu s cieľom zosúladiť finančné inštitúcie s cieľmi EÚ v oblasti klímy;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zdôrazňuje úlohu bankového sektora pri financovaní prechodu na </w:t>
            </w:r>
            <w:r>
              <w:rPr>
                <w:b/>
                <w:i/>
              </w:rPr>
              <w:t>uhlíkovo neutrálne hospodárstvo</w:t>
            </w:r>
            <w:r>
              <w:t xml:space="preserve">; </w:t>
            </w:r>
            <w:r>
              <w:rPr>
                <w:b/>
                <w:i/>
              </w:rPr>
              <w:t>požaduje prísnejšie usmernenia v oblasti dohľadu s cieľom zosúladiť finančné inštitúcie s cieľmi EÚ v oblasti klímy;</w:t>
            </w:r>
          </w:p>
        </w:tc>
        <w:tc>
          <w:tcPr>
            <w:tcW w:w="4876" w:type="dxa"/>
            <w:tcBorders>
              <w:top w:val="nil"/>
              <w:left w:val="nil"/>
              <w:bottom w:val="nil"/>
              <w:right w:val="nil"/>
            </w:tcBorders>
          </w:tcPr>
          <w:p>
            <w:pPr>
              <w:pStyle w:val="Normal6a"/>
            </w:pPr>
            <w:r>
              <w:t>3.</w:t>
            </w:r>
            <w:r>
              <w:tab/>
            </w:r>
            <w:r>
              <w:t xml:space="preserve">zdôrazňuje úlohu bankového sektora pri financovaní prechodu na </w:t>
            </w:r>
            <w:r>
              <w:rPr>
                <w:b/>
                <w:i/>
              </w:rPr>
              <w:t>digitálnu technológiu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zdôrazňuje </w:t>
            </w:r>
            <w:r>
              <w:rPr>
                <w:b/>
                <w:i/>
              </w:rPr>
              <w:t>úlohu bankového sektora pri financovaní prechodu na uhlíkovo neutrálne hospodárstvo;</w:t>
            </w:r>
            <w:r>
              <w:t xml:space="preserve"> </w:t>
            </w:r>
            <w:r>
              <w:rPr>
                <w:b/>
                <w:i/>
              </w:rPr>
              <w:t>požaduje prísnejšie usmernenia v oblasti dohľadu s cieľom zosúladiť</w:t>
            </w:r>
            <w:r>
              <w:t xml:space="preserve"> finančné </w:t>
            </w:r>
            <w:r>
              <w:rPr>
                <w:b/>
                <w:i/>
              </w:rPr>
              <w:t>inštitúcie s cieľmi EÚ v oblasti klímy</w:t>
            </w:r>
            <w:r>
              <w:t>;</w:t>
            </w:r>
          </w:p>
        </w:tc>
        <w:tc>
          <w:tcPr>
            <w:tcW w:w="4876" w:type="dxa"/>
            <w:tcBorders>
              <w:top w:val="nil"/>
              <w:left w:val="nil"/>
              <w:bottom w:val="nil"/>
              <w:right w:val="nil"/>
            </w:tcBorders>
          </w:tcPr>
          <w:p>
            <w:pPr>
              <w:pStyle w:val="Normal6a"/>
            </w:pPr>
            <w:r>
              <w:t>3.</w:t>
            </w:r>
            <w:r>
              <w:tab/>
            </w:r>
            <w:r>
              <w:t>zdôrazňuje</w:t>
            </w:r>
            <w:r>
              <w:rPr>
                <w:b/>
                <w:i/>
              </w:rPr>
              <w:t>, že ekologické</w:t>
            </w:r>
            <w:r>
              <w:t xml:space="preserve"> finančné </w:t>
            </w:r>
            <w:r>
              <w:rPr>
                <w:b/>
                <w:i/>
              </w:rPr>
              <w:t>právne predpisy by nemali nahrádzať úverovú bonitu, tradičné posudzovanie rizík ani mechanizmy určovania cien, ktoré sú základom riadnych rozhodnutí o poskytovaní úverov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zdôrazňuje úlohu bankového sektora pri financovaní </w:t>
            </w:r>
            <w:r>
              <w:rPr>
                <w:b/>
                <w:i/>
              </w:rPr>
              <w:t>prechodu na uhlíkovo neutrálne hospodárstvo;</w:t>
            </w:r>
            <w:r>
              <w:t xml:space="preserve"> </w:t>
            </w:r>
            <w:r>
              <w:rPr>
                <w:b/>
                <w:i/>
              </w:rPr>
              <w:t>požaduje prísnejšie usmernenia v oblasti dohľadu</w:t>
            </w:r>
            <w:r>
              <w:t xml:space="preserve"> s cieľom zosúladiť </w:t>
            </w:r>
            <w:r>
              <w:rPr>
                <w:b/>
                <w:i/>
              </w:rPr>
              <w:t>finančné inštitúcie s cieľmi EÚ</w:t>
            </w:r>
            <w:r>
              <w:t xml:space="preserve"> v oblasti </w:t>
            </w:r>
            <w:r>
              <w:rPr>
                <w:b/>
                <w:i/>
              </w:rPr>
              <w:t>klímy</w:t>
            </w:r>
            <w:r>
              <w:t>;</w:t>
            </w:r>
          </w:p>
        </w:tc>
        <w:tc>
          <w:tcPr>
            <w:tcW w:w="4876" w:type="dxa"/>
            <w:tcBorders>
              <w:top w:val="nil"/>
              <w:left w:val="nil"/>
              <w:bottom w:val="nil"/>
              <w:right w:val="nil"/>
            </w:tcBorders>
          </w:tcPr>
          <w:p>
            <w:pPr>
              <w:pStyle w:val="Normal6a"/>
            </w:pPr>
            <w:r>
              <w:t>3.</w:t>
            </w:r>
            <w:r>
              <w:tab/>
            </w:r>
            <w:r>
              <w:t xml:space="preserve">zdôrazňuje úlohu bankového sektora pri financovaní </w:t>
            </w:r>
            <w:r>
              <w:rPr>
                <w:b/>
                <w:i/>
              </w:rPr>
              <w:t>dvojakej transformácie;</w:t>
            </w:r>
            <w:r>
              <w:t xml:space="preserve"> </w:t>
            </w:r>
            <w:r>
              <w:rPr>
                <w:b/>
                <w:i/>
              </w:rPr>
              <w:t>zdôrazňuje potrebu zjednodušenia rámca EÚ pre udržateľné financovanie</w:t>
            </w:r>
            <w:r>
              <w:t xml:space="preserve"> s cieľom </w:t>
            </w:r>
            <w:r>
              <w:rPr>
                <w:b/>
                <w:i/>
              </w:rPr>
              <w:t>zabezpečiť súdržnosť, znížiť duplicitu a</w:t>
            </w:r>
            <w:r>
              <w:t xml:space="preserve"> zosúladiť </w:t>
            </w:r>
            <w:r>
              <w:rPr>
                <w:b/>
                <w:i/>
              </w:rPr>
              <w:t>povinnosti v rámci pravidiel</w:t>
            </w:r>
            <w:r>
              <w:t xml:space="preserve"> v oblasti </w:t>
            </w:r>
            <w:r>
              <w:rPr>
                <w:b/>
                <w:i/>
              </w:rPr>
              <w:t>bankovníctva, zverejňovania informácií a riadenia rizík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zdôrazňuje úlohu bankového sektora pri financovaní </w:t>
            </w:r>
            <w:r>
              <w:rPr>
                <w:b/>
                <w:i/>
              </w:rPr>
              <w:t>prechodu na uhlíkovo neutrálne hospodárstvo</w:t>
            </w:r>
            <w:r>
              <w:t xml:space="preserve">; </w:t>
            </w:r>
            <w:r>
              <w:rPr>
                <w:b/>
                <w:i/>
              </w:rPr>
              <w:t>požaduje prísnejšie usmernenia v oblasti dohľadu s cieľom zosúladiť finančné inštitúcie s cieľmi EÚ v oblasti klímy;</w:t>
            </w:r>
          </w:p>
        </w:tc>
        <w:tc>
          <w:tcPr>
            <w:tcW w:w="4876" w:type="dxa"/>
            <w:tcBorders>
              <w:top w:val="nil"/>
              <w:left w:val="nil"/>
              <w:bottom w:val="nil"/>
              <w:right w:val="nil"/>
            </w:tcBorders>
          </w:tcPr>
          <w:p>
            <w:pPr>
              <w:pStyle w:val="Normal6a"/>
            </w:pPr>
            <w:r>
              <w:t>3.</w:t>
            </w:r>
            <w:r>
              <w:tab/>
            </w:r>
            <w:r>
              <w:t xml:space="preserve">zdôrazňuje úlohu bankového sektora pri financovaní </w:t>
            </w:r>
            <w:r>
              <w:rPr>
                <w:b/>
                <w:i/>
              </w:rPr>
              <w:t>dvojakej transformácie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zdôrazňuje</w:t>
            </w:r>
            <w:r>
              <w:t xml:space="preserve"> úlohu bankového sektora pri </w:t>
            </w:r>
            <w:r>
              <w:rPr>
                <w:b/>
                <w:i/>
              </w:rPr>
              <w:t>financovaní prechodu na uhlíkovo neutrálne</w:t>
            </w:r>
            <w:r>
              <w:t xml:space="preserve"> hospodárstvo; požaduje prísnejšie usmernenia v oblasti dohľadu s cieľom zosúladiť finančné inštitúcie s </w:t>
            </w:r>
            <w:r>
              <w:rPr>
                <w:b/>
                <w:i/>
              </w:rPr>
              <w:t>cieľmi</w:t>
            </w:r>
            <w:r>
              <w:t xml:space="preserve"> EÚ v oblasti </w:t>
            </w:r>
            <w:r>
              <w:rPr>
                <w:b/>
                <w:i/>
              </w:rPr>
              <w:t>klímy</w:t>
            </w:r>
            <w:r>
              <w:t>;</w:t>
            </w:r>
          </w:p>
        </w:tc>
        <w:tc>
          <w:tcPr>
            <w:tcW w:w="4876" w:type="dxa"/>
            <w:tcBorders>
              <w:top w:val="nil"/>
              <w:left w:val="nil"/>
              <w:bottom w:val="nil"/>
              <w:right w:val="nil"/>
            </w:tcBorders>
          </w:tcPr>
          <w:p>
            <w:pPr>
              <w:pStyle w:val="Normal6a"/>
            </w:pPr>
            <w:r>
              <w:t>3.</w:t>
            </w:r>
            <w:r>
              <w:tab/>
            </w:r>
            <w:r>
              <w:rPr>
                <w:b/>
                <w:i/>
              </w:rPr>
              <w:t>uznáva</w:t>
            </w:r>
            <w:r>
              <w:t xml:space="preserve"> úlohu bankového sektora pri </w:t>
            </w:r>
            <w:r>
              <w:rPr>
                <w:b/>
                <w:i/>
              </w:rPr>
              <w:t>podpore finančných potrieb reálnej ekonomiky vrátane investícií súvisiacich s prechodom na konkurencieschopnejšie</w:t>
            </w:r>
            <w:r>
              <w:t xml:space="preserve"> hospodárstvo; požaduje prísnejšie usmernenia v oblasti dohľadu s cieľom zosúladiť finančné inštitúcie s </w:t>
            </w:r>
            <w:r>
              <w:rPr>
                <w:b/>
                <w:i/>
              </w:rPr>
              <w:t>programom</w:t>
            </w:r>
            <w:r>
              <w:t xml:space="preserve"> EÚ v oblasti </w:t>
            </w:r>
            <w:r>
              <w:rPr>
                <w:b/>
                <w:i/>
              </w:rPr>
              <w:t>konkurencieschopnosti</w:t>
            </w:r>
            <w:r>
              <w:t xml:space="preserve">; </w:t>
            </w:r>
            <w:r>
              <w:rPr>
                <w:b/>
                <w:i/>
              </w:rPr>
              <w:t>zdôrazňuje, že opatrenia dohľadu v oblasti udržateľnosti by mali zostať pevne založené na prístupe založenom na riziku a v rámci prudenciálneho mandátu a zamerať sa na identifikáciu, posudzovanie a riadenie významných finančných rizík súvisiacich s klímou bez toho, aby sa narušila neutralita trhu alebo hlavné ciele finančnej stability a spoľahlivého riadenia rizík;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zdôrazňuje úlohu bankového sektora pri financovaní prechodu na uhlíkovo neutrálne hospodárstvo; požaduje prísnejšie usmernenia v oblasti dohľadu s cieľom zosúladiť finančné inštitúcie s cieľmi EÚ v oblasti klímy;</w:t>
            </w:r>
          </w:p>
        </w:tc>
        <w:tc>
          <w:tcPr>
            <w:tcW w:w="4876" w:type="dxa"/>
            <w:tcBorders>
              <w:top w:val="nil"/>
              <w:left w:val="nil"/>
              <w:bottom w:val="nil"/>
              <w:right w:val="nil"/>
            </w:tcBorders>
          </w:tcPr>
          <w:p>
            <w:pPr>
              <w:pStyle w:val="Normal6a"/>
            </w:pPr>
            <w:r>
              <w:t>3.</w:t>
            </w:r>
            <w:r>
              <w:tab/>
            </w:r>
            <w:r>
              <w:t>zdôrazňuje úlohu bankového sektora pri financovaní prechodu na uhlíkovo neutrálne hospodárstvo</w:t>
            </w:r>
            <w:r>
              <w:rPr>
                <w:b/>
                <w:i/>
              </w:rPr>
              <w:t>;</w:t>
            </w:r>
            <w:r>
              <w:t xml:space="preserve"> </w:t>
            </w:r>
            <w:r>
              <w:rPr>
                <w:b/>
                <w:i/>
              </w:rPr>
              <w:t>vyzýva Komisiu, aby predložila návrh na úplné začlenenie rizík ohrozujúcich udržateľnosť do prudenciálneho rámca, a to aj stanovením vyšších kapitálových požiadaviek pre expozície voči fosílnym palivám, ako to odporúča Európsky orgán pre poisťovníctvo a dôchodkové poistenie zamestnancov</w:t>
            </w:r>
            <w:r>
              <w:t>; požaduje prísnejšie usmernenia v oblasti dohľadu s cieľom zosúladiť finančné inštitúcie s cieľmi EÚ v oblasti klímy</w:t>
            </w:r>
            <w:r>
              <w:rPr>
                <w:b/>
                <w:i/>
              </w:rPr>
              <w:t>, a to aj použitím požiadaviek piliera 2</w:t>
            </w:r>
            <w:r>
              <w:t xml:space="preserve">; </w:t>
            </w:r>
            <w:r>
              <w:rPr>
                <w:b/>
                <w:i/>
              </w:rPr>
              <w:t>zdôrazňuje, že na dosiahnutie týchto cieľov je nevyhnutný dôveryhodný rámec taxonómie;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domnieva sa, že integrovaná banková únia musí byť podmienená dobre fungujúcim jednotným trhom s retailovými finančnými službami;</w:t>
            </w:r>
            <w:r>
              <w:t xml:space="preserve"> </w:t>
            </w:r>
            <w:r>
              <w:rPr>
                <w:b/>
                <w:i/>
              </w:rPr>
              <w:t>vyzýva Komisiu, aby posúdila prekážky a bariéry, ktoré spotrebiteľom vznikajú pri využívaní produktov retailového bankovníctva, ako sú hypotekárne úvery na cezhraničnom základe, a aby navrhla riešenia s cieľom zabezpečiť, aby spotrebitelia mohli využívať retailové finančné služby na cezhraničnom základe;</w:t>
            </w:r>
            <w:r>
              <w:t xml:space="preserve"> </w:t>
            </w:r>
            <w:r>
              <w:rPr>
                <w:b/>
                <w:i/>
              </w:rPr>
              <w:t>okrem toho poukazuje na veľké rozdiely v úrokových sadzbách hypoték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zdôrazňuje kľúčovú úlohu bankového sektora ako hlavného veriteľa v EÚ pri odstraňovaní prehlbujúcich sa rozdielov v konkurencieschopnosti v porovnaní s inými regiónmi;</w:t>
            </w:r>
            <w:r>
              <w:t xml:space="preserve"> </w:t>
            </w:r>
            <w:r>
              <w:rPr>
                <w:b/>
                <w:i/>
              </w:rPr>
              <w:t>pripomína význam bankového sektora pri financovaní európskych MSP, zatiaľ čo kapitálové trhy sa naďalej rozvíjajú;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vyjadruje poľutovanie nad pretrvávajúcimi prekážkami cezhraničných retailových bankových služieb;</w:t>
            </w:r>
            <w:r>
              <w:t xml:space="preserve"> </w:t>
            </w:r>
            <w:r>
              <w:rPr>
                <w:b/>
                <w:i/>
              </w:rPr>
              <w:t>zdôrazňuje potenciál integrovanej bankovej únie zlepšiť hospodársku súťaž a výber pre spotrebiteľov v oblasti retailového bankovníctva, a to aj prostredníctvom lepších možností poskytovania cezhraničných retailových bankových služieb;</w:t>
            </w:r>
            <w:r>
              <w:t xml:space="preserve"> </w:t>
            </w:r>
            <w:r>
              <w:rPr>
                <w:b/>
                <w:i/>
              </w:rPr>
              <w:t>zdôrazňuje výhody diverzifikovaného a konkurencieschopného bankového sektora v Európe;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víta pokrok v oblasti</w:t>
            </w:r>
            <w:r>
              <w:t xml:space="preserve"> digitálneho eura </w:t>
            </w:r>
            <w:r>
              <w:rPr>
                <w:b/>
                <w:i/>
              </w:rPr>
              <w:t>a jeho potenciál dopĺňať hotovosť a zároveň posilniť finančnú suverenitu a autonómiu EÚ</w:t>
            </w:r>
            <w:r>
              <w:t>;</w:t>
            </w:r>
          </w:p>
        </w:tc>
        <w:tc>
          <w:tcPr>
            <w:tcW w:w="4876" w:type="dxa"/>
            <w:tcBorders>
              <w:top w:val="nil"/>
              <w:left w:val="nil"/>
              <w:bottom w:val="nil"/>
              <w:right w:val="nil"/>
            </w:tcBorders>
          </w:tcPr>
          <w:p>
            <w:pPr>
              <w:pStyle w:val="Normal6a"/>
            </w:pPr>
            <w:r>
              <w:t>4.</w:t>
            </w:r>
            <w:r>
              <w:tab/>
            </w:r>
            <w:r>
              <w:rPr>
                <w:b/>
                <w:i/>
              </w:rPr>
              <w:t>vyjadruje hlboký skepticizmus, pokiaľ ide o vplyv</w:t>
            </w:r>
            <w:r>
              <w:t xml:space="preserve"> digitálneho eura </w:t>
            </w:r>
            <w:r>
              <w:rPr>
                <w:b/>
                <w:i/>
              </w:rPr>
              <w:t>na vkladové základne bánk a finančné sprostredkovanie;</w:t>
            </w:r>
            <w:r>
              <w:t xml:space="preserve"> </w:t>
            </w:r>
            <w:r>
              <w:rPr>
                <w:b/>
                <w:i/>
              </w:rPr>
              <w:t>požaduje prísne obmedzenia držby a záruky, aby sa zabránilo presunu súkromných bankových vkladov a zachovala sa kapacita bánk na sprostredkovanie úverov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víta</w:t>
            </w:r>
            <w:r>
              <w:t xml:space="preserve"> pokrok v oblasti digitálneho eura a </w:t>
            </w:r>
            <w:r>
              <w:rPr>
                <w:b/>
                <w:i/>
              </w:rPr>
              <w:t>jeho potenciál dopĺňať hotovosť a zároveň posilniť finančnú suverenitu a autonómiu</w:t>
            </w:r>
            <w:r>
              <w:t xml:space="preserve"> EÚ;</w:t>
            </w:r>
          </w:p>
        </w:tc>
        <w:tc>
          <w:tcPr>
            <w:tcW w:w="4876" w:type="dxa"/>
            <w:tcBorders>
              <w:top w:val="nil"/>
              <w:left w:val="nil"/>
              <w:bottom w:val="nil"/>
              <w:right w:val="nil"/>
            </w:tcBorders>
          </w:tcPr>
          <w:p>
            <w:pPr>
              <w:pStyle w:val="Normal6a"/>
            </w:pPr>
            <w:r>
              <w:t>4.</w:t>
            </w:r>
            <w:r>
              <w:tab/>
            </w:r>
            <w:r>
              <w:rPr>
                <w:b/>
                <w:i/>
              </w:rPr>
              <w:t>berie na vedomie</w:t>
            </w:r>
            <w:r>
              <w:t xml:space="preserve"> pokrok v oblasti digitálneho eura a </w:t>
            </w:r>
            <w:r>
              <w:rPr>
                <w:b/>
                <w:i/>
              </w:rPr>
              <w:t>uvedomuje si výzvy a potenciálne hrozby, ktoré tento projekt môže predstavovať pre likviditu a stabilitu bankového sektora</w:t>
            </w:r>
            <w:r>
              <w:t xml:space="preserv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víta</w:t>
            </w:r>
            <w:r>
              <w:t xml:space="preserve"> pokrok v oblasti digitálneho eura a jeho potenciál dopĺňať hotovosť a zároveň posilniť finančnú suverenitu a autonómiu EÚ;</w:t>
            </w:r>
          </w:p>
        </w:tc>
        <w:tc>
          <w:tcPr>
            <w:tcW w:w="4876" w:type="dxa"/>
            <w:tcBorders>
              <w:top w:val="nil"/>
              <w:left w:val="nil"/>
              <w:bottom w:val="nil"/>
              <w:right w:val="nil"/>
            </w:tcBorders>
          </w:tcPr>
          <w:p>
            <w:pPr>
              <w:pStyle w:val="Normal6a"/>
            </w:pPr>
            <w:r>
              <w:t>4.</w:t>
            </w:r>
            <w:r>
              <w:tab/>
            </w:r>
            <w:r>
              <w:rPr>
                <w:b/>
                <w:i/>
              </w:rPr>
              <w:t>berie na vedomie</w:t>
            </w:r>
            <w:r>
              <w:t xml:space="preserve"> pokrok v oblasti digitálneho eura a jeho potenciál dopĺňať hotovosť a zároveň posilniť finančnú suverenitu a autonómiu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víta pokrok v oblasti digitálneho eura </w:t>
            </w:r>
            <w:r>
              <w:rPr>
                <w:b/>
                <w:i/>
              </w:rPr>
              <w:t>a jeho potenciál</w:t>
            </w:r>
            <w:r>
              <w:t xml:space="preserve"> dopĺňať hotovosť a zároveň </w:t>
            </w:r>
            <w:r>
              <w:rPr>
                <w:b/>
                <w:i/>
              </w:rPr>
              <w:t>posilniť</w:t>
            </w:r>
            <w:r>
              <w:t xml:space="preserve"> finančnú suverenitu a autonómiu EÚ;</w:t>
            </w:r>
          </w:p>
        </w:tc>
        <w:tc>
          <w:tcPr>
            <w:tcW w:w="4876" w:type="dxa"/>
            <w:tcBorders>
              <w:top w:val="nil"/>
              <w:left w:val="nil"/>
              <w:bottom w:val="nil"/>
              <w:right w:val="nil"/>
            </w:tcBorders>
          </w:tcPr>
          <w:p>
            <w:pPr>
              <w:pStyle w:val="Normal6a"/>
            </w:pPr>
            <w:r>
              <w:t>4.</w:t>
            </w:r>
            <w:r>
              <w:tab/>
            </w:r>
            <w:r>
              <w:t xml:space="preserve">víta pokrok v oblasti </w:t>
            </w:r>
            <w:r>
              <w:rPr>
                <w:b/>
                <w:i/>
              </w:rPr>
              <w:t>veľkoobchodného</w:t>
            </w:r>
            <w:r>
              <w:t xml:space="preserve"> digitálneho eura </w:t>
            </w:r>
            <w:r>
              <w:rPr>
                <w:b/>
                <w:i/>
              </w:rPr>
              <w:t>vzhľadom na jeho prínosy z hľadiska efektívnosti, cezhraničného vyrovnania a integrácie finančného trhu;</w:t>
            </w:r>
            <w:r>
              <w:t xml:space="preserve"> </w:t>
            </w:r>
            <w:r>
              <w:rPr>
                <w:b/>
                <w:i/>
              </w:rPr>
              <w:t>zdôrazňuje, že každé retailové digitálne euro by malo prísne</w:t>
            </w:r>
            <w:r>
              <w:t xml:space="preserve"> dopĺňať hotovosť</w:t>
            </w:r>
            <w:r>
              <w:rPr>
                <w:b/>
                <w:i/>
              </w:rPr>
              <w:t>, rešpektovať existujúcu štruktúru trhu a zabrániť vytláčaniu súkromných platobných riešení, ktoré už prinášajú inovácie a efektívnosť v celej Únii,</w:t>
            </w:r>
            <w:r>
              <w:t xml:space="preserve"> a zároveň </w:t>
            </w:r>
            <w:r>
              <w:rPr>
                <w:b/>
                <w:i/>
              </w:rPr>
              <w:t>posilňovať</w:t>
            </w:r>
            <w:r>
              <w:t xml:space="preserve"> finančnú suverenitu a autonómiu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víta pokrok v oblasti digitálneho eura </w:t>
            </w:r>
            <w:r>
              <w:rPr>
                <w:b/>
                <w:i/>
              </w:rPr>
              <w:t>a jeho</w:t>
            </w:r>
            <w:r>
              <w:t xml:space="preserve"> potenciál dopĺňať hotovosť a zároveň posilniť finančnú suverenitu a autonómiu EÚ;</w:t>
            </w:r>
          </w:p>
        </w:tc>
        <w:tc>
          <w:tcPr>
            <w:tcW w:w="4876" w:type="dxa"/>
            <w:tcBorders>
              <w:top w:val="nil"/>
              <w:left w:val="nil"/>
              <w:bottom w:val="nil"/>
              <w:right w:val="nil"/>
            </w:tcBorders>
          </w:tcPr>
          <w:p>
            <w:pPr>
              <w:pStyle w:val="Normal6a"/>
            </w:pPr>
            <w:r>
              <w:t>4.</w:t>
            </w:r>
            <w:r>
              <w:tab/>
            </w:r>
            <w:r>
              <w:t xml:space="preserve">víta pokrok v oblasti </w:t>
            </w:r>
            <w:r>
              <w:rPr>
                <w:b/>
                <w:i/>
              </w:rPr>
              <w:t>veľkoobchodného aj retailového</w:t>
            </w:r>
            <w:r>
              <w:t xml:space="preserve"> digitálneho eura</w:t>
            </w:r>
            <w:r>
              <w:rPr>
                <w:b/>
                <w:i/>
              </w:rPr>
              <w:t>;</w:t>
            </w:r>
            <w:r>
              <w:t xml:space="preserve"> </w:t>
            </w:r>
            <w:r>
              <w:rPr>
                <w:b/>
                <w:i/>
              </w:rPr>
              <w:t>víta</w:t>
            </w:r>
            <w:r>
              <w:t xml:space="preserve"> potenciál </w:t>
            </w:r>
            <w:r>
              <w:rPr>
                <w:b/>
                <w:i/>
              </w:rPr>
              <w:t>digitálneho eura</w:t>
            </w:r>
            <w:r>
              <w:t xml:space="preserve"> dopĺňať hotovosť a zároveň posilniť finančnú suverenitu a autonómiu EÚ; </w:t>
            </w:r>
            <w:r>
              <w:rPr>
                <w:b/>
                <w:i/>
              </w:rPr>
              <w:t>víta dokončenie všeobecného smerovania Rady týkajúceho sa retailového digitálneho eura v decembri 2025 a vyzýva Parlament, aby čo najskôr dokončil svoju ambicióznu pozíciu;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víta pokrok v oblasti digitálneho eura a jeho potenciál dopĺňať hotovosť a zároveň posilniť finančnú suverenitu a autonómiu EÚ;</w:t>
            </w:r>
          </w:p>
        </w:tc>
        <w:tc>
          <w:tcPr>
            <w:tcW w:w="4876" w:type="dxa"/>
            <w:tcBorders>
              <w:top w:val="nil"/>
              <w:left w:val="nil"/>
              <w:bottom w:val="nil"/>
              <w:right w:val="nil"/>
            </w:tcBorders>
          </w:tcPr>
          <w:p>
            <w:pPr>
              <w:pStyle w:val="Normal6a"/>
            </w:pPr>
            <w:r>
              <w:t>4.</w:t>
            </w:r>
            <w:r>
              <w:tab/>
            </w:r>
            <w:r>
              <w:t xml:space="preserve">víta pokrok v oblasti digitálneho eura a jeho potenciál dopĺňať hotovosť a zároveň posilniť finančnú suverenitu a autonómiu EÚ </w:t>
            </w:r>
            <w:r>
              <w:rPr>
                <w:b/>
                <w:i/>
              </w:rPr>
              <w:t>a prispieť k finančnej inklúzii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víta skutočnosť, že bankový sektor sa prispôsobuje výzvam a príležitostiam digitalizácie, ktorá bankám umožní lepšie obsluhovať svojich klientov;</w:t>
            </w:r>
            <w:r>
              <w:t xml:space="preserve"> </w:t>
            </w:r>
            <w:r>
              <w:rPr>
                <w:b/>
                <w:i/>
              </w:rPr>
              <w:t>nabáda banky, aby ďalej využili príležitosti, ktoré ponúka digitalizácia, a zároveň zachovali vysokú úroveň ochrany spotrebiteľov a investorov prostredníctvom investícií do IT systémov, výskumu a vývoja, úplného vykonávania požiadaviek v rámci digitálnej prevádzkovej odolnosti finančného sektora (DORA) a rozvoja regulačného rámca, ktorý je vhodný na to, aby reagoval na trendy digitalizácie a bol založený na technologickej neutralite;</w:t>
            </w:r>
            <w:r>
              <w:t xml:space="preserve"> </w:t>
            </w:r>
            <w:r>
              <w:rPr>
                <w:b/>
                <w:i/>
              </w:rPr>
              <w:t>víta pokrok, ktorý sa dosiahol v súvislosti s balíkom v oblasti digitálnych financií;</w:t>
            </w:r>
            <w:r>
              <w:t xml:space="preserve"> </w:t>
            </w:r>
            <w:r>
              <w:rPr>
                <w:b/>
                <w:i/>
              </w:rPr>
              <w:t>domnieva sa, že ochrana spotrebiteľa sa musí posilniť v digitálnom kontexte a že prioritou by malo byť finančné začlenenie, najmä prostredníctvom lepšej digitálnej a finančnej gramotnosti;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vyjadruje poľutovanie nad pretrvávajúcou rodovou nerovnováhou vo finančných inštitúciách, najmä v manažmente;</w:t>
            </w:r>
            <w:r>
              <w:t xml:space="preserve"> </w:t>
            </w:r>
            <w:r>
              <w:rPr>
                <w:b/>
                <w:i/>
              </w:rPr>
              <w:t>zdôrazňuje, že rôznorodé vedenie a lepší prístup podnikov pod vedením žien</w:t>
            </w:r>
            <w:r>
              <w:rPr>
                <w:b/>
                <w:i/>
                <w:vertAlign w:val="superscript"/>
              </w:rPr>
              <w:t>13</w:t>
            </w:r>
            <w:r>
              <w:rPr>
                <w:b/>
                <w:i/>
              </w:rPr>
              <w:t>k financovaniu posilňujú správu vecí verejných, inovácie a hospodársku výkonnosť;</w:t>
            </w:r>
            <w:r>
              <w:t xml:space="preserve"> </w:t>
            </w:r>
            <w:r>
              <w:rPr>
                <w:b/>
                <w:i/>
              </w:rPr>
              <w:t>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Európsky inštitút pre rodovú rovnosť, Gender in entrepreneurship, 2017, s. 5 –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vyjadruje poľutovanie nad pretrvávajúcou rodovou nerovnováhou vo finančných inštitúciách, najmä v manažmente;</w:t>
            </w:r>
            <w:r>
              <w:t xml:space="preserve"> </w:t>
            </w:r>
            <w:r>
              <w:rPr>
                <w:b/>
                <w:i/>
              </w:rPr>
              <w:t>zdôrazňuje, že rôznorodé vedenie a lepší prístup podnikov pod vedením žien</w:t>
            </w:r>
            <w:r>
              <w:rPr>
                <w:b/>
                <w:i/>
                <w:vertAlign w:val="superscript"/>
              </w:rPr>
              <w:t>13</w:t>
            </w:r>
            <w:r>
              <w:rPr>
                <w:b/>
                <w:i/>
              </w:rPr>
              <w:t>k financovaniu posilňujú správu vecí verejných, inovácie a hospodársku výkonnosť;</w:t>
            </w:r>
            <w:r>
              <w:t xml:space="preserve"> </w:t>
            </w:r>
            <w:r>
              <w:rPr>
                <w:b/>
                <w:i/>
              </w:rPr>
              <w:t>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Európsky inštitút pre rodovú rovnosť, Gender in entrepreneurship, 2017, s. 5 –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vyjadruje poľutovanie nad pretrvávajúcou rodovou nerovnováhou vo finančných inštitúciách, najmä v manažmente;</w:t>
            </w:r>
            <w:r>
              <w:t xml:space="preserve"> </w:t>
            </w:r>
            <w:r>
              <w:rPr>
                <w:b/>
                <w:i/>
              </w:rPr>
              <w:t>zdôrazňuje, že rôznorodé vedenie a lepší prístup podnikov pod vedením žien</w:t>
            </w:r>
            <w:r>
              <w:rPr>
                <w:b/>
                <w:i/>
                <w:vertAlign w:val="superscript"/>
              </w:rPr>
              <w:t>13</w:t>
            </w:r>
            <w:r>
              <w:rPr>
                <w:b/>
                <w:i/>
              </w:rPr>
              <w:t>k financovaniu posilňujú správu vecí verejných, inovácie a hospodársku výkonnosť;</w:t>
            </w:r>
            <w:r>
              <w:t xml:space="preserve"> </w:t>
            </w:r>
            <w:r>
              <w:rPr>
                <w:b/>
                <w:i/>
              </w:rPr>
              <w:t>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Európsky inštitút pre rodovú rovnosť, Gender in entrepreneurship, 2017, s. 5 –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vyjadruje poľutovanie nad pretrvávajúcou rodovou nerovnováhou vo finančných inštitúciách, najmä v manažmente;</w:t>
            </w:r>
            <w:r>
              <w:t xml:space="preserve"> </w:t>
            </w:r>
            <w:r>
              <w:rPr>
                <w:b/>
                <w:i/>
              </w:rPr>
              <w:t>zdôrazňuje, že rôznorodé vedenie a lepší prístup podnikov pod vedením žien</w:t>
            </w:r>
            <w:r>
              <w:rPr>
                <w:b/>
                <w:i/>
                <w:vertAlign w:val="superscript"/>
              </w:rPr>
              <w:t>13</w:t>
            </w:r>
            <w:r>
              <w:rPr>
                <w:b/>
                <w:i/>
              </w:rPr>
              <w:t>k financovaniu posilňujú správu vecí verejných, inovácie a hospodársku výkonnosť;</w:t>
            </w:r>
            <w:r>
              <w:t xml:space="preserve"> </w:t>
            </w:r>
            <w:r>
              <w:rPr>
                <w:b/>
                <w:i/>
              </w:rPr>
              <w:t>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Európsky inštitút pre rodovú rovnosť, Gender in entrepreneurship, 2017, s. 5 –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vyjadruje poľutovanie nad pretrvávajúcou rodovou nerovnováhou vo finančných inštitúciách, najmä v manažmente;</w:t>
            </w:r>
            <w:r>
              <w:t xml:space="preserve"> </w:t>
            </w:r>
            <w:r>
              <w:rPr>
                <w:b/>
                <w:i/>
              </w:rPr>
              <w:t>zdôrazňuje, že rôznorodé vedenie a lepší prístup podnikov pod vedením žien</w:t>
            </w:r>
            <w:r>
              <w:rPr>
                <w:b/>
                <w:i/>
                <w:vertAlign w:val="superscript"/>
              </w:rPr>
              <w:t>13</w:t>
            </w:r>
            <w:r>
              <w:rPr>
                <w:b/>
                <w:i/>
              </w:rPr>
              <w:t>k financovaniu posilňujú správu vecí verejných, inovácie a hospodársku výkonnosť;</w:t>
            </w:r>
            <w:r>
              <w:t xml:space="preserve"> </w:t>
            </w:r>
            <w:r>
              <w:rPr>
                <w:b/>
                <w:i/>
              </w:rPr>
              <w:t>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Európsky inštitút pre rodovú rovnosť, Gender in entrepreneurship, 2017, s. 5 –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vyjadruje poľutovanie nad pretrvávajúcou rodovou nerovnováhou vo finančných inštitúciách, najmä v manažmente;</w:t>
            </w:r>
            <w:r>
              <w:t xml:space="preserve"> zdôrazňuje, že rôznorodé vedenie </w:t>
            </w:r>
            <w:r>
              <w:rPr>
                <w:b/>
                <w:i/>
              </w:rPr>
              <w:t>a lepší prístup podnikov pod vedením žien</w:t>
            </w:r>
            <w:r>
              <w:rPr>
                <w:b/>
                <w:i/>
                <w:vertAlign w:val="superscript"/>
              </w:rPr>
              <w:t>13</w:t>
            </w:r>
            <w:r>
              <w:rPr>
                <w:b/>
                <w:i/>
              </w:rPr>
              <w:t>k financovaniu posilňujú</w:t>
            </w:r>
            <w:r>
              <w:t xml:space="preserve"> správu vecí verejných, inovácie a hospodársku výkonnosť; 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c>
          <w:tcPr>
            <w:tcW w:w="4876" w:type="dxa"/>
            <w:tcBorders>
              <w:top w:val="nil"/>
              <w:left w:val="nil"/>
              <w:bottom w:val="nil"/>
              <w:right w:val="nil"/>
            </w:tcBorders>
          </w:tcPr>
          <w:p>
            <w:pPr>
              <w:pStyle w:val="Normal6a"/>
            </w:pPr>
            <w:r>
              <w:t>5.</w:t>
            </w:r>
            <w:r>
              <w:tab/>
            </w:r>
            <w:r>
              <w:t xml:space="preserve">zdôrazňuje, že rôznorodé vedenie </w:t>
            </w:r>
            <w:r>
              <w:rPr>
                <w:b/>
                <w:i/>
              </w:rPr>
              <w:t>posilňuje</w:t>
            </w:r>
            <w:r>
              <w:t xml:space="preserve"> správu vecí verejných, inovácie a hospodársku výkonnosť; 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Európsky inštitút pre rodovú rovnosť, Gender in entrepreneurship, 2017, s. 5 –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vyjadruje poľutovanie nad pretrvávajúcou rodovou nerovnováhou</w:t>
            </w:r>
            <w:r>
              <w:t xml:space="preserve"> vo finančných inštitúciách, najmä v manažmente; zdôrazňuje, že rôznorodé vedenie a lepší prístup podnikov pod vedením žien</w:t>
            </w:r>
            <w:r>
              <w:rPr>
                <w:vertAlign w:val="superscript"/>
              </w:rPr>
              <w:t>13</w:t>
            </w:r>
            <w:r>
              <w:t>k financovaniu posilňujú správu vecí verejných, inovácie a hospodársku výkonnosť; 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c>
          <w:tcPr>
            <w:tcW w:w="4876" w:type="dxa"/>
            <w:tcBorders>
              <w:top w:val="nil"/>
              <w:left w:val="nil"/>
              <w:bottom w:val="nil"/>
              <w:right w:val="nil"/>
            </w:tcBorders>
          </w:tcPr>
          <w:p>
            <w:pPr>
              <w:pStyle w:val="Normal6a"/>
            </w:pPr>
            <w:r>
              <w:t>5.</w:t>
            </w:r>
            <w:r>
              <w:tab/>
            </w:r>
            <w:r>
              <w:rPr>
                <w:b/>
                <w:i/>
              </w:rPr>
              <w:t>konštatuje obmedzený pokrok v oblasti rodovej rovnováhy</w:t>
            </w:r>
            <w:r>
              <w:t xml:space="preserve"> vo finančných inštitúciách, najmä v manažmente; zdôrazňuje, že rôznorodé vedenie a lepší prístup podnikov pod vedením žien k financovaniu</w:t>
            </w:r>
            <w:r>
              <w:rPr>
                <w:vertAlign w:val="superscript"/>
              </w:rPr>
              <w:t>13</w:t>
            </w:r>
            <w:r>
              <w:t xml:space="preserve"> posilňujú správu vecí verejných, inovácie a hospodársku výkonnosť; 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Európsky inštitút pre rodovú rovnosť, Gender in entrepreneurship, 2017, s. 5 – 6.</w:t>
            </w:r>
          </w:p>
        </w:tc>
        <w:tc>
          <w:tcPr>
            <w:tcW w:w="4876" w:type="dxa"/>
            <w:tcBorders>
              <w:top w:val="nil"/>
              <w:left w:val="nil"/>
              <w:bottom w:val="nil"/>
              <w:right w:val="nil"/>
            </w:tcBorders>
          </w:tcPr>
          <w:p>
            <w:pPr>
              <w:pStyle w:val="Normal6a"/>
            </w:pPr>
            <w:r>
              <w:rPr>
                <w:vertAlign w:val="superscript"/>
              </w:rPr>
              <w:t>13</w:t>
            </w:r>
            <w:r>
              <w:t xml:space="preserve"> </w:t>
            </w:r>
            <w:r>
              <w:t xml:space="preserve">Európsky inštitút pre rodovú rovnosť, Gender in entrepreneurship </w:t>
            </w:r>
            <w:r>
              <w:rPr>
                <w:b/>
                <w:i/>
              </w:rPr>
              <w:t>(Rod v podnikaní)</w:t>
            </w:r>
            <w:r>
              <w:t>, 2017, s. 5 –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vyjadruje poľutovanie nad pretrvávajúcou rodovou nerovnováhou vo finančných inštitúciách, najmä v manažmente; zdôrazňuje, že rôznorodé vedenie a lepší prístup podnikov pod vedením žien</w:t>
            </w:r>
            <w:r>
              <w:rPr>
                <w:vertAlign w:val="superscript"/>
              </w:rPr>
              <w:t>13</w:t>
            </w:r>
            <w:r>
              <w:t xml:space="preserve">k financovaniu posilňujú správu vecí verejných, inovácie a hospodársku výkonnosť; vyzýva finančné inštitúcie, zainteresované strany, Komisiu a členské štáty, aby prijali účinné stratégie rozmanitosti, monitorovali rodové rozdiely a začlenili rodovú rovnosť </w:t>
            </w:r>
            <w:r>
              <w:rPr>
                <w:b/>
                <w:i/>
              </w:rPr>
              <w:t>do rámcov dohľadu a investičných rámcov s cieľom zabezpečiť inkluzívny prístup ku kapitálu v celej EÚ</w:t>
            </w:r>
            <w:r>
              <w:t>;</w:t>
            </w:r>
          </w:p>
        </w:tc>
        <w:tc>
          <w:tcPr>
            <w:tcW w:w="4876" w:type="dxa"/>
            <w:tcBorders>
              <w:top w:val="nil"/>
              <w:left w:val="nil"/>
              <w:bottom w:val="nil"/>
              <w:right w:val="nil"/>
            </w:tcBorders>
          </w:tcPr>
          <w:p>
            <w:pPr>
              <w:pStyle w:val="Normal6a"/>
            </w:pPr>
            <w:r>
              <w:t>5.</w:t>
            </w:r>
            <w:r>
              <w:tab/>
            </w:r>
            <w:r>
              <w:t>vyjadruje poľutovanie nad pretrvávajúcou rodovou nerovnováhou vo finančných inštitúciách, najmä v manažmente; zdôrazňuje, že rôznorodé vedenie a lepší prístup podnikov pod vedením žien k financovaniu</w:t>
            </w:r>
            <w:r>
              <w:rPr>
                <w:vertAlign w:val="superscript"/>
              </w:rPr>
              <w:t>13</w:t>
            </w:r>
            <w:r>
              <w:t xml:space="preserve"> posilňujú správu vecí verejných, inovácie a hospodársku výkonnosť; vyzýva finančné inštitúcie, zainteresované strany, Komisiu a členské štáty, aby prijali účinné stratégie rozmanitosti, monitorovali rodové rozdiely a začlenili rodovú rovnosť;</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Európsky inštitút pre rodovú rovnosť, Gender in entrepreneurship, 2017, s. 5 – 6.</w:t>
            </w:r>
          </w:p>
        </w:tc>
        <w:tc>
          <w:tcPr>
            <w:tcW w:w="4876" w:type="dxa"/>
            <w:tcBorders>
              <w:top w:val="nil"/>
              <w:left w:val="nil"/>
              <w:bottom w:val="nil"/>
              <w:right w:val="nil"/>
            </w:tcBorders>
          </w:tcPr>
          <w:p>
            <w:pPr>
              <w:pStyle w:val="Normal6a"/>
            </w:pPr>
            <w:r>
              <w:rPr>
                <w:vertAlign w:val="superscript"/>
              </w:rPr>
              <w:t>13</w:t>
            </w:r>
            <w:r>
              <w:t xml:space="preserve"> </w:t>
            </w:r>
            <w:r>
              <w:t xml:space="preserve">Európsky inštitút pre rodovú rovnosť, Gender in entrepreneurship </w:t>
            </w:r>
            <w:r>
              <w:rPr>
                <w:b/>
                <w:i/>
              </w:rPr>
              <w:t>(Rod v podnikaní)</w:t>
            </w:r>
            <w:r>
              <w:t>, 2017, s. 5 –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vyjadruje poľutovanie nad pretrvávajúcou rodovou nerovnováhou vo finančných inštitúciách, najmä v manažmente; zdôrazňuje, že rôznorodé vedenie a lepší prístup podnikov pod vedením žien</w:t>
            </w:r>
            <w:r>
              <w:rPr>
                <w:vertAlign w:val="superscript"/>
              </w:rPr>
              <w:t>13</w:t>
            </w:r>
            <w:r>
              <w:t>k financovaniu posilňujú správu vecí verejných, inovácie a hospodársku výkonnosť; 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w:t>
            </w:r>
          </w:p>
        </w:tc>
        <w:tc>
          <w:tcPr>
            <w:tcW w:w="4876" w:type="dxa"/>
            <w:tcBorders>
              <w:top w:val="nil"/>
              <w:left w:val="nil"/>
              <w:bottom w:val="nil"/>
              <w:right w:val="nil"/>
            </w:tcBorders>
          </w:tcPr>
          <w:p>
            <w:pPr>
              <w:pStyle w:val="Normal6a"/>
            </w:pPr>
            <w:r>
              <w:t>5.</w:t>
            </w:r>
            <w:r>
              <w:tab/>
            </w:r>
            <w:r>
              <w:t>vyjadruje poľutovanie nad pretrvávajúcou rodovou nerovnováhou vo finančných inštitúciách, najmä v manažmente; zdôrazňuje, že rôznorodé vedenie a lepší prístup podnikov pod vedením žien k financovaniu</w:t>
            </w:r>
            <w:r>
              <w:rPr>
                <w:vertAlign w:val="superscript"/>
              </w:rPr>
              <w:t>13</w:t>
            </w:r>
            <w:r>
              <w:t xml:space="preserve"> posilňujú správu vecí verejných, inovácie a hospodársku výkonnosť; vyzýva finančné inštitúcie, zainteresované strany, Komisiu a členské štáty, aby prijali účinné stratégie rozmanitosti, monitorovali rodové rozdiely a začlenili rodovú rovnosť do rámcov dohľadu a investičných rámcov s cieľom zabezpečiť inkluzívny prístup ku kapitálu v celej EÚ; </w:t>
            </w:r>
            <w:r>
              <w:rPr>
                <w:b/>
                <w:i/>
              </w:rPr>
              <w:t>vyjadruje hlboké poľutovanie nad nedostatočnou rodovou rovnováhou v užšom zozname kandidátov na pozíciu predsedu EBA;</w:t>
            </w:r>
            <w:r>
              <w:t xml:space="preserve"> </w:t>
            </w:r>
            <w:r>
              <w:rPr>
                <w:b/>
                <w:i/>
              </w:rPr>
              <w:t>opakovane pripomína, že Parlament „sa zaviazal nezohľadňovať zoznamy kandidátov, ak v nich nie je dodržaná zásada rodovej rovnováhy“;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Európsky inštitút pre rodovú rovnosť, Gender in entrepreneurship, 2017, s. 5 – 6.</w:t>
            </w:r>
          </w:p>
        </w:tc>
        <w:tc>
          <w:tcPr>
            <w:tcW w:w="4876" w:type="dxa"/>
            <w:tcBorders>
              <w:top w:val="nil"/>
              <w:left w:val="nil"/>
              <w:bottom w:val="nil"/>
              <w:right w:val="nil"/>
            </w:tcBorders>
          </w:tcPr>
          <w:p>
            <w:pPr>
              <w:pStyle w:val="Normal6a"/>
            </w:pPr>
            <w:r>
              <w:rPr>
                <w:vertAlign w:val="superscript"/>
              </w:rPr>
              <w:t>13</w:t>
            </w:r>
            <w:r>
              <w:t xml:space="preserve"> </w:t>
            </w:r>
            <w:r>
              <w:t xml:space="preserve">Európsky inštitút pre rodovú rovnosť, Gender in entrepreneurship </w:t>
            </w:r>
            <w:r>
              <w:rPr>
                <w:b/>
                <w:i/>
              </w:rPr>
              <w:t>(Rod v podnikaní)</w:t>
            </w:r>
            <w:r>
              <w:t>, 2017, s. 5 –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pripomína, že finančné inštitúcie by sa mali riadiť na základe zásluh, skúseností a odbornej vhodnosti, pričom by sa malo zabezpečiť, aby vymenovania a rozhodnutia manažmentu vychádzali z objektívnych kritérií založených na riziku bez toho, aby sa zaviedli dodatočné kritériá, ktoré nesúvisia s dobrou správou a riadením spoločností a finančnou stabilitou;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vyjadruje poľutovanie nad tým, že schopnosť bánk EÚ financovať rozsiahle investície je obmedzená vyššími nákladmi, menším rozsahom a nižšou ziskovosťou, ktorá nepostačuje na zabezpečenie ich konkurencieschopnosti;</w:t>
            </w:r>
            <w:r>
              <w:t xml:space="preserve"> </w:t>
            </w:r>
            <w:r>
              <w:rPr>
                <w:b/>
                <w:i/>
              </w:rPr>
              <w:t>konštatuje však, že osobitná povaha bankového systému EÚ s veľkým počtom menších bánk si vyžaduje osobitné riešenia prispôsobené jeho charakteristikám;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konštatuje, že po zvýšeniach sadzby ECB sa ziskovosť a odolnosť bánk EÚ výrazne zlepšila</w:t>
            </w:r>
            <w:r>
              <w:rPr>
                <w:b/>
                <w:i/>
                <w:vertAlign w:val="superscript"/>
              </w:rPr>
              <w:t>14</w:t>
            </w:r>
            <w:r>
              <w:rPr>
                <w:b/>
                <w:i/>
              </w:rPr>
              <w:t>;</w:t>
            </w:r>
            <w:r>
              <w:t xml:space="preserve"> </w:t>
            </w:r>
            <w:r>
              <w:rPr>
                <w:b/>
                <w:i/>
              </w:rPr>
              <w:t>zdôrazňuje, že to môže podporiť dôležité investície a že inštitúcie, ktoré prijímajú štátnu pomoc, musia čeliť prísnym obmedzeniam, pokiaľ ide o dividendy, spätný výkup a pohyblivú zložku odmeňovania;</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MMF, júl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konštatuje, že po zvýšeniach sadzby ECB sa ziskovosť a odolnosť bánk EÚ výrazne zlepšila</w:t>
            </w:r>
            <w:r>
              <w:rPr>
                <w:b/>
                <w:i/>
                <w:vertAlign w:val="superscript"/>
              </w:rPr>
              <w:t>14</w:t>
            </w:r>
            <w:r>
              <w:t xml:space="preserve">; </w:t>
            </w:r>
            <w:r>
              <w:rPr>
                <w:b/>
                <w:i/>
              </w:rPr>
              <w:t>zdôrazňuje, že to môže podporiť dôležité investície a že inštitúcie, ktoré prijímajú štátnu pomoc, musia čeliť prísnym obmedzeniam, pokiaľ ide o dividendy, spätný výkup a pohyblivú zložku odmeňovania;</w:t>
            </w:r>
          </w:p>
        </w:tc>
        <w:tc>
          <w:tcPr>
            <w:tcW w:w="4876" w:type="dxa"/>
            <w:tcBorders>
              <w:top w:val="nil"/>
              <w:left w:val="nil"/>
              <w:bottom w:val="nil"/>
              <w:right w:val="nil"/>
            </w:tcBorders>
          </w:tcPr>
          <w:p>
            <w:pPr>
              <w:pStyle w:val="Normal6a"/>
            </w:pPr>
            <w:r>
              <w:t>6.</w:t>
            </w:r>
            <w:r>
              <w:tab/>
            </w:r>
            <w:r>
              <w:rPr>
                <w:b/>
                <w:i/>
              </w:rPr>
              <w:t>uznáva, že dlhotrvajúce reštriktívne menové politiky znížili čisté úrokové marže a zvýšili náklady na financovanie, čím sa znížila schopnosť bánk podporovať udržateľný rast úverov</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MMF, júl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konštatuje, že po zvýšeniach sadzby ECB sa</w:t>
            </w:r>
            <w:r>
              <w:t xml:space="preserve"> ziskovosť a odolnosť bánk EÚ výrazne zlepšila</w:t>
            </w:r>
            <w:r>
              <w:rPr>
                <w:vertAlign w:val="superscript"/>
              </w:rPr>
              <w:t>14</w:t>
            </w:r>
            <w:r>
              <w:t xml:space="preserve">; </w:t>
            </w:r>
            <w:r>
              <w:rPr>
                <w:b/>
                <w:i/>
              </w:rPr>
              <w:t>zdôrazňuje, že to môže podporiť dôležité investície a že inštitúcie, ktoré prijímajú štátnu pomoc, musia čeliť prísnym obmedzeniam, pokiaľ ide o dividendy, spätný výkup a pohyblivú zložku odmeňovania</w:t>
            </w:r>
            <w:r>
              <w:t>;</w:t>
            </w:r>
          </w:p>
        </w:tc>
        <w:tc>
          <w:tcPr>
            <w:tcW w:w="4876" w:type="dxa"/>
            <w:tcBorders>
              <w:top w:val="nil"/>
              <w:left w:val="nil"/>
              <w:bottom w:val="nil"/>
              <w:right w:val="nil"/>
            </w:tcBorders>
          </w:tcPr>
          <w:p>
            <w:pPr>
              <w:pStyle w:val="Normal6a"/>
            </w:pPr>
            <w:r>
              <w:t>6.</w:t>
            </w:r>
            <w:r>
              <w:tab/>
            </w:r>
            <w:r>
              <w:rPr>
                <w:b/>
                <w:i/>
              </w:rPr>
              <w:t>víta skutočnosť, že</w:t>
            </w:r>
            <w:r>
              <w:t xml:space="preserve"> ziskovosť a odolnosť bánk EÚ </w:t>
            </w:r>
            <w:r>
              <w:rPr>
                <w:b/>
                <w:i/>
              </w:rPr>
              <w:t>sa</w:t>
            </w:r>
            <w:r>
              <w:t xml:space="preserve"> výrazne zlepšila</w:t>
            </w:r>
            <w:r>
              <w:rPr>
                <w:vertAlign w:val="superscript"/>
              </w:rPr>
              <w:t>14</w:t>
            </w:r>
            <w:r>
              <w:t xml:space="preserve">; </w:t>
            </w:r>
            <w:r>
              <w:rPr>
                <w:b/>
                <w:i/>
              </w:rPr>
              <w:t>konštatuje však, že stále existuje rozdiel v ziskovosti v porovnaní s inými jurisdikciami, najmä s USA;</w:t>
            </w:r>
            <w:r>
              <w:t xml:space="preserve"> </w:t>
            </w:r>
            <w:r>
              <w:rPr>
                <w:b/>
                <w:i/>
              </w:rPr>
              <w:t>domnieva sa, že rozdiel v ziskovosti v porovnaní s inými jurisdikciami je spôsobený štrukturálnymi aj regulačnými dôvodmi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MMF, júl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Bank Profits and Bank Taxes in the EU </w:t>
            </w:r>
            <w:r>
              <w:rPr>
                <w:b/>
                <w:i/>
              </w:rPr>
              <w:t>(Zisky a zdanenie bánk v EÚ)</w:t>
            </w:r>
            <w:r>
              <w:t>, MMF, júl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konštatuje, že </w:t>
            </w:r>
            <w:r>
              <w:rPr>
                <w:b/>
                <w:i/>
              </w:rPr>
              <w:t>po zvýšeniach sadzby ECB sa</w:t>
            </w:r>
            <w:r>
              <w:t xml:space="preserve"> ziskovosť a odolnosť </w:t>
            </w:r>
            <w:r>
              <w:rPr>
                <w:b/>
                <w:i/>
              </w:rPr>
              <w:t>bánk EÚ výrazne zlepšila</w:t>
            </w:r>
            <w:r>
              <w:rPr>
                <w:b/>
                <w:i/>
                <w:vertAlign w:val="superscript"/>
              </w:rPr>
              <w:t>14</w:t>
            </w:r>
            <w:r>
              <w:t xml:space="preserve">; zdôrazňuje, že </w:t>
            </w:r>
            <w:r>
              <w:rPr>
                <w:b/>
                <w:i/>
              </w:rPr>
              <w:t>to</w:t>
            </w:r>
            <w:r>
              <w:t xml:space="preserve"> môže podporiť </w:t>
            </w:r>
            <w:r>
              <w:rPr>
                <w:b/>
                <w:i/>
              </w:rPr>
              <w:t>dôležité investície a že inštitúcie, ktoré prijímajú štátnu pomoc, musia čeliť prísnym obmedzeniam, pokiaľ ide o dividendy, spätný výkup a pohyblivú zložku odmeňovania</w:t>
            </w:r>
            <w:r>
              <w:t>;</w:t>
            </w:r>
          </w:p>
        </w:tc>
        <w:tc>
          <w:tcPr>
            <w:tcW w:w="4876" w:type="dxa"/>
            <w:tcBorders>
              <w:top w:val="nil"/>
              <w:left w:val="nil"/>
              <w:bottom w:val="nil"/>
              <w:right w:val="nil"/>
            </w:tcBorders>
          </w:tcPr>
          <w:p>
            <w:pPr>
              <w:pStyle w:val="Normal6a"/>
            </w:pPr>
            <w:r>
              <w:t>6.</w:t>
            </w:r>
            <w:r>
              <w:tab/>
            </w:r>
            <w:r>
              <w:t xml:space="preserve">konštatuje, že ziskovosť a odolnosť </w:t>
            </w:r>
            <w:r>
              <w:rPr>
                <w:b/>
                <w:i/>
              </w:rPr>
              <w:t>zostali v roku 2025 vysoké</w:t>
            </w:r>
            <w:r>
              <w:t xml:space="preserve">; zdôrazňuje, že </w:t>
            </w:r>
            <w:r>
              <w:rPr>
                <w:b/>
                <w:i/>
              </w:rPr>
              <w:t>táto ziskovosť</w:t>
            </w:r>
            <w:r>
              <w:t xml:space="preserve"> môže podporiť </w:t>
            </w:r>
            <w:r>
              <w:rPr>
                <w:b/>
                <w:i/>
              </w:rPr>
              <w:t>financovanie domácností a spoločností, najmä MSP a startupov, ako aj mladých odborníkov</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MMF, júl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t xml:space="preserve">; zdôrazňuje, že to môže podporiť dôležité investície </w:t>
            </w:r>
            <w:r>
              <w:rPr>
                <w:b/>
                <w:i/>
              </w:rPr>
              <w:t>a že inštitúcie, ktoré prijímajú štátnu pomoc, musia čeliť prísnym obmedzeniam, pokiaľ ide o dividendy, spätný výkup a pohyblivú zložku odmeňovania</w:t>
            </w:r>
            <w:r>
              <w:t>;</w:t>
            </w:r>
          </w:p>
        </w:tc>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t>; zdôrazňuje, že to môže podporiť dôležité investície</w:t>
            </w:r>
            <w:r>
              <w:rPr>
                <w:b/>
                <w:i/>
              </w:rPr>
              <w:t>;</w:t>
            </w:r>
            <w:r>
              <w:t xml:space="preserve"> </w:t>
            </w:r>
            <w:r>
              <w:rPr>
                <w:b/>
                <w:i/>
              </w:rPr>
              <w:t>pripomína, že toto zvýšenie ziskovosti je najmä cyklické a že konkurencieschopnosť bánk stále závisí od pokroku štrukturálnych reforiem bankovej únie, únie úspor a investícií a jednotného trhu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MMF, júl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Bank Profits and Bank Taxes in the EU </w:t>
            </w:r>
            <w:r>
              <w:rPr>
                <w:b/>
                <w:i/>
              </w:rPr>
              <w:t>(Zisky a zdanenie bánk v EÚ)</w:t>
            </w:r>
            <w:r>
              <w:t>, MMF, júl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t xml:space="preserve">; zdôrazňuje, že to môže podporiť dôležité investície </w:t>
            </w:r>
            <w:r>
              <w:rPr>
                <w:b/>
                <w:i/>
              </w:rPr>
              <w:t>a že inštitúcie, ktoré prijímajú štátnu pomoc, musia čeliť prísnym obmedzeniam, pokiaľ ide o dividendy, spätný výkup a pohyblivú zložku odmeňovania</w:t>
            </w:r>
            <w:r>
              <w:t>;</w:t>
            </w:r>
          </w:p>
        </w:tc>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t>; zdôrazňuje, že to môže podporiť dôležité investície;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MMF, júl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Bank Profits and Bank Taxes in the EU </w:t>
            </w:r>
            <w:r>
              <w:rPr>
                <w:b/>
                <w:i/>
              </w:rPr>
              <w:t>(Zisky a zdanenie bánk v EÚ)</w:t>
            </w:r>
            <w:r>
              <w:t>, MMF, júl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rPr>
                <w:b/>
                <w:i/>
              </w:rPr>
              <w:t>;</w:t>
            </w:r>
            <w:r>
              <w:t xml:space="preserve"> zdôrazňuje, že to môže podporiť dôležité investície </w:t>
            </w:r>
            <w:r>
              <w:rPr>
                <w:b/>
                <w:i/>
              </w:rPr>
              <w:t>a že inštitúcie, ktoré prijímajú štátnu pomoc, musia čeliť prísnym obmedzeniam, pokiaľ ide o dividendy, spätný výkup a pohyblivú zložku odmeňovania</w:t>
            </w:r>
            <w:r>
              <w:t>;</w:t>
            </w:r>
          </w:p>
        </w:tc>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t xml:space="preserve"> zdôrazňuje, že to môže podporiť dôležité investície;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MMF, júl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Bank Profits and Bank Taxes in the EU </w:t>
            </w:r>
            <w:r>
              <w:rPr>
                <w:b/>
                <w:i/>
              </w:rPr>
              <w:t>(Zisky a zdanenie bánk v EÚ)</w:t>
            </w:r>
            <w:r>
              <w:t>, MMF, júl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rPr>
                <w:b/>
                <w:i/>
              </w:rPr>
              <w:t>;</w:t>
            </w:r>
            <w:r>
              <w:t xml:space="preserve"> zdôrazňuje, že to môže podporiť dôležité investície </w:t>
            </w:r>
            <w:r>
              <w:rPr>
                <w:b/>
                <w:i/>
              </w:rPr>
              <w:t>a že inštitúcie, ktoré prijímajú štátnu pomoc, musia čeliť prísnym obmedzeniam, pokiaľ ide o dividendy, spätný výkup a pohyblivú zložku odmeňovania</w:t>
            </w:r>
            <w:r>
              <w:t>;</w:t>
            </w:r>
          </w:p>
        </w:tc>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t xml:space="preserve"> zdôrazňuje, že to môže podporiť dôležité investície;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MMF, júl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Bank Profits and Bank Taxes in the EU </w:t>
            </w:r>
            <w:r>
              <w:rPr>
                <w:b/>
                <w:i/>
              </w:rPr>
              <w:t>(Zisky a zdanenie bánk v EÚ)</w:t>
            </w:r>
            <w:r>
              <w:t>, MMF, júl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konštatuje</w:t>
            </w:r>
            <w:r>
              <w:t>, že po zvýšeniach sadzby ECB sa ziskovosť a odolnosť bánk EÚ výrazne zlepšila</w:t>
            </w:r>
            <w:r>
              <w:rPr>
                <w:vertAlign w:val="superscript"/>
              </w:rPr>
              <w:t>14</w:t>
            </w:r>
            <w:r>
              <w:t xml:space="preserve">; zdôrazňuje, že to môže </w:t>
            </w:r>
            <w:r>
              <w:rPr>
                <w:b/>
                <w:i/>
              </w:rPr>
              <w:t>podporiť</w:t>
            </w:r>
            <w:r>
              <w:t xml:space="preserve"> dôležité investície a že inštitúcie, ktoré prijímajú štátnu pomoc, musia čeliť prísnym obmedzeniam, pokiaľ ide o dividendy, spätný výkup a pohyblivú zložku odmeňovania;</w:t>
            </w:r>
          </w:p>
        </w:tc>
        <w:tc>
          <w:tcPr>
            <w:tcW w:w="4876" w:type="dxa"/>
            <w:tcBorders>
              <w:top w:val="nil"/>
              <w:left w:val="nil"/>
              <w:bottom w:val="nil"/>
              <w:right w:val="nil"/>
            </w:tcBorders>
          </w:tcPr>
          <w:p>
            <w:pPr>
              <w:pStyle w:val="Normal6a"/>
            </w:pPr>
            <w:r>
              <w:t>6.</w:t>
            </w:r>
            <w:r>
              <w:tab/>
            </w:r>
            <w:r>
              <w:rPr>
                <w:b/>
                <w:i/>
              </w:rPr>
              <w:t>zdôrazňuje</w:t>
            </w:r>
            <w:r>
              <w:t>, že po zvýšeniach sadzby ECB sa ziskovosť a odolnosť bánk EÚ výrazne zlepšila</w:t>
            </w:r>
            <w:r>
              <w:rPr>
                <w:vertAlign w:val="superscript"/>
              </w:rPr>
              <w:t>14</w:t>
            </w:r>
            <w:r>
              <w:t xml:space="preserve">; zdôrazňuje, že to môže </w:t>
            </w:r>
            <w:r>
              <w:rPr>
                <w:b/>
                <w:i/>
              </w:rPr>
              <w:t>posilniť</w:t>
            </w:r>
            <w:r>
              <w:t xml:space="preserve"> dôležité investície a že inštitúcie, ktoré prijímajú štátnu pomoc, musia čeliť prísnym obmedzeniam, pokiaľ ide o dividendy, spätný výkup a pohyblivú zložku odmeňovania; </w:t>
            </w:r>
            <w:r>
              <w:rPr>
                <w:b/>
                <w:i/>
              </w:rPr>
              <w:t>zdôrazňuje, že udržateľná ziskovosť podporuje akumuláciu kapitálu, schopnosť absorbovať otrasy a financovanie reálnej ekonomiky; </w:t>
            </w:r>
            <w:r>
              <w:t xml:space="preserve"> </w:t>
            </w:r>
            <w:r>
              <w:rPr>
                <w:b/>
                <w:i/>
              </w:rPr>
              <w:t>pripomína, že ako sa zdôrazňuje v nedávnych stanoviskách ECB k vnútroštátnym bankovým odvodom, dane z príjmov bánk môžu znížiť nerozdelené zisky a obmedziť schopnosť úverových inštitúcií vytvárať alebo dopĺňať kapitálové rezervy; </w:t>
            </w:r>
            <w:r>
              <w:t xml:space="preserve"> </w:t>
            </w:r>
            <w:r>
              <w:rPr>
                <w:b/>
                <w:i/>
              </w:rPr>
              <w:t>zdôrazňuje, že akékoľvek daňové opatrenia ovplyvňujúce banky by mali zostať výnimočné, primerané a dočasné; </w:t>
            </w:r>
            <w:r>
              <w:t xml:space="preserve"> </w:t>
            </w:r>
            <w:r>
              <w:rPr>
                <w:b/>
                <w:i/>
              </w:rPr>
              <w:t>okrem toho by nemali mať nepriaznivý vplyv na finančnú stabilitu a schopnosť bánk financovať reálnu ekonomiku;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MMF, júl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Bank Profits and Bank Taxes in the EU </w:t>
            </w:r>
            <w:r>
              <w:rPr>
                <w:b/>
                <w:i/>
              </w:rPr>
              <w:t>(Zisky a zdanenie bánk v EÚ)</w:t>
            </w:r>
            <w:r>
              <w:t>, MMF, júl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t>; zdôrazňuje, že to môže podporiť dôležité investície a že inštitúcie, ktoré prijímajú štátnu pomoc, musia čeliť prísnym obmedzeniam, pokiaľ ide o dividendy, spätný výkup a pohyblivú zložku odmeňovania;</w:t>
            </w:r>
          </w:p>
        </w:tc>
        <w:tc>
          <w:tcPr>
            <w:tcW w:w="4876" w:type="dxa"/>
            <w:tcBorders>
              <w:top w:val="nil"/>
              <w:left w:val="nil"/>
              <w:bottom w:val="nil"/>
              <w:right w:val="nil"/>
            </w:tcBorders>
          </w:tcPr>
          <w:p>
            <w:pPr>
              <w:pStyle w:val="Normal6a"/>
            </w:pPr>
            <w:r>
              <w:t>6.</w:t>
            </w:r>
            <w:r>
              <w:tab/>
            </w:r>
            <w:r>
              <w:t>konštatuje, že po zvýšeniach sadzby ECB sa ziskovosť a odolnosť bánk EÚ výrazne zlepšila</w:t>
            </w:r>
            <w:r>
              <w:rPr>
                <w:vertAlign w:val="superscript"/>
              </w:rPr>
              <w:t>14</w:t>
            </w:r>
            <w:r>
              <w:t xml:space="preserve">; zdôrazňuje, že to môže podporiť dôležité investície a </w:t>
            </w:r>
            <w:r>
              <w:rPr>
                <w:b/>
                <w:i/>
              </w:rPr>
              <w:t>financovanie európskeho hospodárstva a</w:t>
            </w:r>
            <w:r>
              <w:t xml:space="preserve"> že inštitúcie, ktoré prijímajú štátnu pomoc, musia čeliť prísnym obmedzeniam, pokiaľ ide o dividendy, spätný výkup a pohyblivú zložku odmeňovania;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MMF, júl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Bank Profits and Bank Taxes in the EU </w:t>
            </w:r>
            <w:r>
              <w:rPr>
                <w:b/>
                <w:i/>
              </w:rPr>
              <w:t>(Zisky a zdanenie bánk v EÚ)</w:t>
            </w:r>
            <w:r>
              <w:t>, MMF, júl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poukazuje na významné vystavenie bánk EÚ voči dlhodobému štátnemu dlhu, najmä voči domácim vystaveniam;</w:t>
            </w:r>
            <w:r>
              <w:t xml:space="preserve"> </w:t>
            </w:r>
            <w:r>
              <w:rPr>
                <w:b/>
                <w:i/>
              </w:rPr>
              <w:t>pripomína význam väčšej diverzifikácie týchto vystavení, aby bol európsky sektor odolnejší voči asymetrickým fiškálnym otrasom;</w:t>
            </w:r>
            <w:r>
              <w:t xml:space="preserve"> </w:t>
            </w:r>
            <w:r>
              <w:rPr>
                <w:b/>
                <w:i/>
              </w:rPr>
              <w:t>zdôrazňuje význam presadzovania fiškálnych pravidiel EÚ zameraných na zaručenie dôvery v štátny dlh členských štátov, diverzifikáciu, a teda zníženie systémového rizika v eurozóne;</w:t>
            </w:r>
            <w:r>
              <w:t xml:space="preserve"> </w:t>
            </w:r>
            <w:r>
              <w:rPr>
                <w:b/>
                <w:i/>
              </w:rPr>
              <w:t>pripomína, že absencia spoločného bezpečného aktíva ako referenčnej hodnoty znižuje efektívnosť na kapitálových trhoch a v bankovom sektore;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aby vypracovala usmernenia pre cielený solidárny príspevok bánk odrážajúci zisky v poslednom období, čím sa zabezpečí ich spravodlivý príspevok do verejných financií a zároveň sa podporí odolnosť a finančná stabilita;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zdôrazňuje, že riadne fungovanie a dôveryhodnosť bankovej únie závisí aj od úplného dodržiavania a účinného presadzovania právnych predpisov Únie v oblasti ochrany spotrebiteľa v bankovom sektore;</w:t>
            </w:r>
            <w:r>
              <w:t xml:space="preserve"> </w:t>
            </w:r>
            <w:r>
              <w:rPr>
                <w:b/>
                <w:i/>
              </w:rPr>
              <w:t>zdôrazňuje, že úverové inštitúcie sa musia zdržať používania nespravodlivých zmluvných podmienok a obchodných praktík, najmä pri hypotekárnych a retailových úveroch;</w:t>
            </w:r>
            <w:r>
              <w:t xml:space="preserve"> </w:t>
            </w:r>
            <w:r>
              <w:rPr>
                <w:b/>
                <w:i/>
              </w:rPr>
              <w:t>zdôrazňuje, že spotrebiteľom vrátane dlžníkov sa musí poskytnúť účinná ochrana, právna istota a prístup k účinnej náprave;</w:t>
            </w:r>
            <w:r>
              <w:t xml:space="preserve"> </w:t>
            </w:r>
            <w:r>
              <w:rPr>
                <w:b/>
                <w:i/>
              </w:rPr>
              <w:t>v tejto súvislosti vyzýva členské štáty a príslušné orgány, aby zabezpečili spoľahlivý dohľad a opatrenia na presadzovanie práva v prípadoch porušenia;</w:t>
            </w:r>
            <w:r>
              <w:t xml:space="preserve"> </w:t>
            </w:r>
            <w:r>
              <w:rPr>
                <w:b/>
                <w:i/>
              </w:rPr>
              <w:t>ďalej zdôrazňuje, že je dôležité zabezpečiť primeranú ochranu hlavného bývania menšieho ako 250 m², najmä v prípadoch, keď dlžníci už splatili podstatnú časť svojho úveru, napríklad 50 % počiatočného úveru;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zdôrazňuje, že akékoľvek vnútroštátne opatrenia ovplyvňujúce bankový sektor vrátane solidárnych príspevkov by mali byť výnimočné a primerané a nemali by oslabovať schopnosť bánk financovať reálnu ekonomiku, podporovať investície alebo udržiavať finančnú stabilitu;</w:t>
            </w:r>
            <w:r>
              <w:t xml:space="preserve"> </w:t>
            </w:r>
            <w:r>
              <w:rPr>
                <w:b/>
                <w:i/>
              </w:rPr>
              <w:t>vyzýva Komisiu, aby monitorovala ich vplyv na konkurencieschopnosť a cezhraničnú integráciu v rámci vnútorného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víta úlohu Úradu pre boj proti praniu špinavých peňazí a financovaniu terorizmu (AMLA) pri posilňovaní boja EÚ proti praniu špinavých peňazí a financovaniu terorizmu;</w:t>
            </w:r>
            <w:r>
              <w:t xml:space="preserve"> </w:t>
            </w:r>
            <w:r>
              <w:rPr>
                <w:b/>
                <w:i/>
              </w:rPr>
              <w:t>vyzýva na jeho dôsledné vykonávanie, posilnenú spoluprácu, výmenu informácií a koordinované presadzovanie v celej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víta</w:t>
            </w:r>
            <w:r>
              <w:t xml:space="preserve"> úlohu Úradu pre boj proti praniu špinavých peňazí a financovaniu terorizmu (AMLA) pri posilňovaní boja EÚ proti praniu špinavých peňazí a financovaniu terorizmu; vyzýva na jeho dôsledné vykonávanie, posilnenú spoluprácu, výmenu informácií a koordinované presadzovanie v celej EÚ;</w:t>
            </w:r>
          </w:p>
        </w:tc>
        <w:tc>
          <w:tcPr>
            <w:tcW w:w="4876" w:type="dxa"/>
            <w:tcBorders>
              <w:top w:val="nil"/>
              <w:left w:val="nil"/>
              <w:bottom w:val="nil"/>
              <w:right w:val="nil"/>
            </w:tcBorders>
          </w:tcPr>
          <w:p>
            <w:pPr>
              <w:pStyle w:val="Normal6a"/>
            </w:pPr>
            <w:r>
              <w:t>8.</w:t>
            </w:r>
            <w:r>
              <w:tab/>
            </w:r>
            <w:r>
              <w:rPr>
                <w:b/>
                <w:i/>
              </w:rPr>
              <w:t>s potešením očakáva</w:t>
            </w:r>
            <w:r>
              <w:t xml:space="preserve"> úlohu Úradu pre boj proti praniu špinavých peňazí a financovaniu terorizmu (AMLA) pri posilňovaní boja EÚ proti praniu špinavých peňazí a financovaniu terorizmu; vyzýva na jeho dôsledné vykonávanie, posilnenú spoluprácu, výmenu informácií a koordinované presadzovanie v celej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víta úlohu Úradu pre boj proti praniu špinavých peňazí a financovaniu terorizmu (AMLA) pri posilňovaní boja EÚ proti praniu špinavých peňazí a financovaniu terorizmu; vyzýva na jeho dôsledné vykonávanie, posilnenú spoluprácu, výmenu informácií a koordinované presadzovanie v celej EÚ;</w:t>
            </w:r>
          </w:p>
        </w:tc>
        <w:tc>
          <w:tcPr>
            <w:tcW w:w="4876" w:type="dxa"/>
            <w:tcBorders>
              <w:top w:val="nil"/>
              <w:left w:val="nil"/>
              <w:bottom w:val="nil"/>
              <w:right w:val="nil"/>
            </w:tcBorders>
          </w:tcPr>
          <w:p>
            <w:pPr>
              <w:pStyle w:val="Normal6a"/>
            </w:pPr>
            <w:r>
              <w:t>8.</w:t>
            </w:r>
            <w:r>
              <w:tab/>
            </w:r>
            <w:r>
              <w:t xml:space="preserve">víta úlohu Úradu pre boj proti praniu špinavých peňazí a financovaniu terorizmu (AMLA) pri posilňovaní boja EÚ proti praniu špinavých peňazí a financovaniu terorizmu; vyzýva na jeho dôsledné vykonávanie, posilnenú spoluprácu, výmenu informácií a koordinované presadzovanie v celej EÚ; </w:t>
            </w:r>
            <w:r>
              <w:rPr>
                <w:b/>
                <w:i/>
              </w:rPr>
              <w:t>zdôrazňuje, že je potrebné, aby úrad AMLA pri svojej práci v oblasti dohľadu a regulácie dodržiaval zásadu proporcionality;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víta úlohu Úradu pre boj proti praniu špinavých peňazí a financovaniu terorizmu (AMLA) pri posilňovaní boja EÚ proti praniu špinavých peňazí a financovaniu terorizmu; vyzýva na jeho dôsledné vykonávanie, posilnenú spoluprácu, výmenu informácií a koordinované presadzovanie v celej EÚ;</w:t>
            </w:r>
          </w:p>
        </w:tc>
        <w:tc>
          <w:tcPr>
            <w:tcW w:w="4876" w:type="dxa"/>
            <w:tcBorders>
              <w:top w:val="nil"/>
              <w:left w:val="nil"/>
              <w:bottom w:val="nil"/>
              <w:right w:val="nil"/>
            </w:tcBorders>
          </w:tcPr>
          <w:p>
            <w:pPr>
              <w:pStyle w:val="Normal6a"/>
            </w:pPr>
            <w:r>
              <w:t>8.</w:t>
            </w:r>
            <w:r>
              <w:tab/>
            </w:r>
            <w:r>
              <w:t xml:space="preserve">víta úlohu Úradu pre boj proti praniu špinavých peňazí a financovaniu terorizmu (AMLA) pri posilňovaní boja EÚ proti praniu špinavých peňazí a financovaniu terorizmu; vyzýva na jeho dôsledné vykonávanie, posilnenú spoluprácu, výmenu informácií a koordinované presadzovanie v celej EÚ; </w:t>
            </w:r>
            <w:r>
              <w:rPr>
                <w:b/>
                <w:i/>
              </w:rPr>
              <w:t>pripomína, že koordinovaný, zjednodušený a primeraný prístup by mal zostať hlavnou usmerňujúcou zásadou práce úradu AMLA na úrovni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víta úlohu Úradu pre boj proti praniu špinavých peňazí a financovaniu terorizmu (AMLA) pri posilňovaní boja EÚ proti praniu špinavých peňazí a financovaniu terorizmu; vyzýva na </w:t>
            </w:r>
            <w:r>
              <w:rPr>
                <w:b/>
                <w:i/>
              </w:rPr>
              <w:t>jeho</w:t>
            </w:r>
            <w:r>
              <w:t xml:space="preserve"> dôsledné vykonávanie, posilnenú spoluprácu, výmenu informácií a koordinované presadzovanie v celej EÚ;</w:t>
            </w:r>
          </w:p>
        </w:tc>
        <w:tc>
          <w:tcPr>
            <w:tcW w:w="4876" w:type="dxa"/>
            <w:tcBorders>
              <w:top w:val="nil"/>
              <w:left w:val="nil"/>
              <w:bottom w:val="nil"/>
              <w:right w:val="nil"/>
            </w:tcBorders>
          </w:tcPr>
          <w:p>
            <w:pPr>
              <w:pStyle w:val="Normal6a"/>
            </w:pPr>
            <w:r>
              <w:t>8.</w:t>
            </w:r>
            <w:r>
              <w:tab/>
            </w:r>
            <w:r>
              <w:t>víta úlohu Úradu pre boj proti praniu špinavých peňazí a financovaniu terorizmu (AMLA) pri posilňovaní boja EÚ proti praniu špinavých peňazí a financovaniu terorizmu; vyzýva na dôsledné vykonávanie, posilnenú spoluprácu, výmenu informácií a koordinované presadzovanie v celej EÚ</w:t>
            </w:r>
            <w:r>
              <w:rPr>
                <w:b/>
                <w:i/>
              </w:rPr>
              <w:t>, čím sa zabráni zbytočnému prekrývaniu právnych predpisov a nadmernej administratívnej záťaži pre finančné inštitúcie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víta úlohu Úradu pre boj proti praniu špinavých peňazí a financovaniu terorizmu (AMLA) pri posilňovaní boja EÚ proti praniu špinavých peňazí a financovaniu terorizmu; vyzýva na jeho dôsledné vykonávanie, posilnenú spoluprácu, výmenu informácií a koordinované presadzovanie v celej EÚ;</w:t>
            </w:r>
          </w:p>
        </w:tc>
        <w:tc>
          <w:tcPr>
            <w:tcW w:w="4876" w:type="dxa"/>
            <w:tcBorders>
              <w:top w:val="nil"/>
              <w:left w:val="nil"/>
              <w:bottom w:val="nil"/>
              <w:right w:val="nil"/>
            </w:tcBorders>
          </w:tcPr>
          <w:p>
            <w:pPr>
              <w:pStyle w:val="Normal6a"/>
            </w:pPr>
            <w:r>
              <w:t>8.</w:t>
            </w:r>
            <w:r>
              <w:tab/>
            </w:r>
            <w:r>
              <w:t xml:space="preserve">víta úlohu Úradu pre boj proti praniu špinavých peňazí a financovaniu terorizmu (AMLA) pri posilňovaní boja EÚ proti praniu špinavých peňazí a financovaniu terorizmu; vyzýva na jeho dôsledné vykonávanie, posilnenú spoluprácu, výmenu informácií a koordinované presadzovanie v celej EÚ; </w:t>
            </w:r>
            <w:r>
              <w:rPr>
                <w:b/>
                <w:i/>
              </w:rPr>
              <w:t>zdôrazňuje potrebu účinnej spolupráce medzi úradom AMLA a európskymi orgánmi dohľadu a prudenciálnymi orgánmi;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zdôrazňuje potrebu zjednodušenia európskeho regulačného rámca, rámca dohľadu a rámca výkaznictva pre banky s cieľom odstrániť zložitosť, ktorá zbytočne ovplyvňuje konkurencieschopnosť európskych bánk a ich schopnosť účinne poskytovať služby reálnej ekonomike;</w:t>
            </w:r>
            <w:r>
              <w:t xml:space="preserve"> </w:t>
            </w:r>
            <w:r>
              <w:rPr>
                <w:b/>
                <w:i/>
              </w:rPr>
              <w:t>zdôrazňuje, že úsilie o zjednodušenie by nemalo mať vplyv na odolnosť bánk, finančnú stabilitu ani účinnosť rámca pre riešenie krízových situácií;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zdôrazňuje, že spoľahlivé, konzistentné a včasné finančné výkazníctvo má zásadný význam pre dohľad a stabilitu;</w:t>
            </w:r>
            <w:r>
              <w:t xml:space="preserve"> zdôrazňuje, že zjednodušenie nesmie oslabiť normy obozretnosti, ochrany spotrebiteľa alebo stability</w:t>
            </w:r>
            <w:r>
              <w:rPr>
                <w:b/>
                <w:i/>
              </w:rPr>
              <w:t>;</w:t>
            </w:r>
            <w:r>
              <w:t xml:space="preserve"> </w:t>
            </w:r>
            <w:r>
              <w:rPr>
                <w:b/>
                <w:i/>
              </w:rPr>
              <w:t>požaduje vyvážený a integrovanejší</w:t>
            </w:r>
            <w:r>
              <w:t xml:space="preserve"> prístup </w:t>
            </w:r>
            <w:r>
              <w:rPr>
                <w:b/>
                <w:i/>
              </w:rPr>
              <w:t>so spoločným slovníkom</w:t>
            </w:r>
            <w:r>
              <w:t xml:space="preserve"> údajov </w:t>
            </w:r>
            <w:r>
              <w:rPr>
                <w:b/>
                <w:i/>
              </w:rPr>
              <w:t>a databázou žiadostí, aby sa obmedzila zbytočná zložitosť a zároveň zachovala odolnosť rámca bankovej únie</w:t>
            </w:r>
            <w:r>
              <w:t>;</w:t>
            </w:r>
          </w:p>
        </w:tc>
        <w:tc>
          <w:tcPr>
            <w:tcW w:w="4876" w:type="dxa"/>
            <w:tcBorders>
              <w:top w:val="nil"/>
              <w:left w:val="nil"/>
              <w:bottom w:val="nil"/>
              <w:right w:val="nil"/>
            </w:tcBorders>
          </w:tcPr>
          <w:p>
            <w:pPr>
              <w:pStyle w:val="Normal6a"/>
            </w:pPr>
            <w:r>
              <w:t>9.</w:t>
            </w:r>
            <w:r>
              <w:tab/>
            </w:r>
            <w:r>
              <w:t xml:space="preserve">zdôrazňuje, že zjednodušenie </w:t>
            </w:r>
            <w:r>
              <w:rPr>
                <w:b/>
                <w:i/>
              </w:rPr>
              <w:t>právnych predpisov</w:t>
            </w:r>
            <w:r>
              <w:t xml:space="preserve"> nesmie oslabiť normy obozretnosti, ochrany spotrebiteľa alebo stability</w:t>
            </w:r>
            <w:r>
              <w:rPr>
                <w:b/>
                <w:i/>
              </w:rPr>
              <w:t>, ale musí ich zefektívniť a zvýšiť ich primeranosť na konečný účel;</w:t>
            </w:r>
            <w:r>
              <w:t xml:space="preserve"> </w:t>
            </w:r>
            <w:r>
              <w:rPr>
                <w:b/>
                <w:i/>
              </w:rPr>
              <w:t>vyzýva na posilnenie digitálneho vývoja, najmä umelej inteligencie, pokiaľ ide o povinnosti dohľadu;</w:t>
            </w:r>
            <w:r>
              <w:t xml:space="preserve"> </w:t>
            </w:r>
            <w:r>
              <w:rPr>
                <w:b/>
                <w:i/>
              </w:rPr>
              <w:t>nabáda orgány dohľadu a regulačné orgány, aby znížili náklady na dodržiavanie predpisov a výkazníctvo pre regulované subjekty intenzívnejšou výmenou údajov medzi rôznymi orgánmi a preskúmaním možnosti umelej inteligencie, pokiaľ ide o prechod od aktívneho modelu „push“, podľa ktorého sa údaje regulujú z inštitúcií, nad ktorými sa vykonáva dohľad, k reaktívnemu modelu „pull“, podľa ktorého inštitúcie, nad ktorými sa vykonáva dohľad, poskytujú orgánom dohľadu</w:t>
            </w:r>
            <w:r>
              <w:t xml:space="preserve"> prístup </w:t>
            </w:r>
            <w:r>
              <w:rPr>
                <w:b/>
                <w:i/>
              </w:rPr>
              <w:t>k podrobnej úrovni</w:t>
            </w:r>
            <w:r>
              <w:t xml:space="preserve">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zdôrazňuje, že spoľahlivé, konzistentné a včasné finančné výkazníctvo má zásadný význam pre dohľad a stabilitu; zdôrazňuje</w:t>
            </w:r>
            <w:r>
              <w:rPr>
                <w:b/>
                <w:i/>
              </w:rPr>
              <w:t>, že</w:t>
            </w:r>
            <w:r>
              <w:t xml:space="preserve"> zjednodušenie </w:t>
            </w:r>
            <w:r>
              <w:rPr>
                <w:b/>
                <w:i/>
              </w:rPr>
              <w:t>nesmie oslabiť normy</w:t>
            </w:r>
            <w:r>
              <w:t xml:space="preserve"> obozretnosti, ochrany spotrebiteľa alebo stability; požaduje vyvážený a integrovanejší prístup </w:t>
            </w:r>
            <w:r>
              <w:rPr>
                <w:b/>
                <w:i/>
              </w:rPr>
              <w:t>so spoločným slovníkom</w:t>
            </w:r>
            <w:r>
              <w:t xml:space="preserve"> údajov a </w:t>
            </w:r>
            <w:r>
              <w:rPr>
                <w:b/>
                <w:i/>
              </w:rPr>
              <w:t>databázou žiadostí, aby sa obmedzila zbytočná zložitosť a zároveň zachovala odolnosť rámca bankovej únie</w:t>
            </w:r>
            <w:r>
              <w:t>;</w:t>
            </w:r>
          </w:p>
        </w:tc>
        <w:tc>
          <w:tcPr>
            <w:tcW w:w="4876" w:type="dxa"/>
            <w:tcBorders>
              <w:top w:val="nil"/>
              <w:left w:val="nil"/>
              <w:bottom w:val="nil"/>
              <w:right w:val="nil"/>
            </w:tcBorders>
          </w:tcPr>
          <w:p>
            <w:pPr>
              <w:pStyle w:val="Normal6a"/>
            </w:pPr>
            <w:r>
              <w:t>9.</w:t>
            </w:r>
            <w:r>
              <w:tab/>
            </w:r>
            <w:r>
              <w:t xml:space="preserve">zdôrazňuje, že spoľahlivé, konzistentné a včasné finančné výkazníctvo má zásadný význam pre dohľad a stabilitu; zdôrazňuje </w:t>
            </w:r>
            <w:r>
              <w:rPr>
                <w:b/>
                <w:i/>
              </w:rPr>
              <w:t>význam právnej istoty, predvídateľnosti a stability pre bankový sektor;</w:t>
            </w:r>
            <w:r>
              <w:t xml:space="preserve"> </w:t>
            </w:r>
            <w:r>
              <w:rPr>
                <w:b/>
                <w:i/>
              </w:rPr>
              <w:t>v tejto súvislosti zdôrazňuje potrebu ďalších opatrení, ktoré podporujú digitalizáciu a</w:t>
            </w:r>
            <w:r>
              <w:t xml:space="preserve"> zjednodušenie </w:t>
            </w:r>
            <w:r>
              <w:rPr>
                <w:b/>
                <w:i/>
              </w:rPr>
              <w:t>pri súčasnom zachovaní noriem</w:t>
            </w:r>
            <w:r>
              <w:t xml:space="preserve"> obozretnosti, ochrany spotrebiteľa alebo stability; požaduje vyvážený a integrovanejší prístup</w:t>
            </w:r>
            <w:r>
              <w:rPr>
                <w:b/>
                <w:i/>
              </w:rPr>
              <w:t>, ako je centralizované dátové centrum založené na štandardizovaných vymedzeniach pojmov a zdieľané medzi orgánmi s cieľom znížiť duplicitu, zlepšiť kvalitu</w:t>
            </w:r>
            <w:r>
              <w:t xml:space="preserve"> údajov a </w:t>
            </w:r>
            <w:r>
              <w:rPr>
                <w:b/>
                <w:i/>
              </w:rPr>
              <w:t>znížiť administratívnu záťaž bánk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zdôrazňuje, že spoľahlivé, konzistentné a včasné finančné výkazníctvo má zásadný význam pre dohľad a stabilitu; </w:t>
            </w:r>
            <w:r>
              <w:rPr>
                <w:b/>
                <w:i/>
              </w:rPr>
              <w:t>zdôrazňuje, že</w:t>
            </w:r>
            <w:r>
              <w:t xml:space="preserve"> zjednodušenie </w:t>
            </w:r>
            <w:r>
              <w:rPr>
                <w:b/>
                <w:i/>
              </w:rPr>
              <w:t>nesmie oslabiť normy obozretnosti, ochrany spotrebiteľa alebo stability;</w:t>
            </w:r>
            <w:r>
              <w:t xml:space="preserve"> </w:t>
            </w:r>
            <w:r>
              <w:rPr>
                <w:b/>
                <w:i/>
              </w:rPr>
              <w:t>požaduje vyvážený a integrovanejší prístup so spoločným slovníkom údajov a databázou žiadostí, aby sa obmedzila zbytočná zložitosť a zároveň zachovala odolnosť rámca bankovej únie</w:t>
            </w:r>
            <w:r>
              <w:t>;</w:t>
            </w:r>
          </w:p>
        </w:tc>
        <w:tc>
          <w:tcPr>
            <w:tcW w:w="4876" w:type="dxa"/>
            <w:tcBorders>
              <w:top w:val="nil"/>
              <w:left w:val="nil"/>
              <w:bottom w:val="nil"/>
              <w:right w:val="nil"/>
            </w:tcBorders>
          </w:tcPr>
          <w:p>
            <w:pPr>
              <w:pStyle w:val="Normal6a"/>
            </w:pPr>
            <w:r>
              <w:t>9.</w:t>
            </w:r>
            <w:r>
              <w:tab/>
            </w:r>
            <w:r>
              <w:t xml:space="preserve">zdôrazňuje, že spoľahlivé, konzistentné a včasné finančné výkazníctvo má zásadný význam pre dohľad a stabilitu; </w:t>
            </w:r>
            <w:r>
              <w:rPr>
                <w:b/>
                <w:i/>
              </w:rPr>
              <w:t>konštatuje však, že je potrebné</w:t>
            </w:r>
            <w:r>
              <w:t xml:space="preserve"> zjednodušenie</w:t>
            </w:r>
            <w:r>
              <w:rPr>
                <w:b/>
                <w:i/>
              </w:rPr>
              <w:t>, najmä pre menšie subjekty;</w:t>
            </w:r>
            <w:r>
              <w:t xml:space="preserve"> </w:t>
            </w:r>
            <w:r>
              <w:rPr>
                <w:b/>
                <w:i/>
              </w:rPr>
              <w:t>zastáva názor, že požiadavky v tejto oblasti by mali byť primerané a prispôsobené špecifikám európskeho bankového sektora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zdôrazňuje, že spoľahlivé, konzistentné a včasné finančné výkazníctvo má zásadný význam pre dohľad a stabilitu; zdôrazňuje, že zjednodušenie </w:t>
            </w:r>
            <w:r>
              <w:rPr>
                <w:b/>
                <w:i/>
              </w:rPr>
              <w:t>nesmie oslabiť</w:t>
            </w:r>
            <w:r>
              <w:t xml:space="preserve"> normy obozretnosti, ochrany spotrebiteľa alebo stability; </w:t>
            </w:r>
            <w:r>
              <w:rPr>
                <w:b/>
                <w:i/>
              </w:rPr>
              <w:t>požaduje vyvážený a integrovanejší prístup so spoločným slovníkom údajov a databázou žiadostí, aby sa obmedzila zbytočná zložitosť a zároveň zachovala odolnosť rámca bankovej únie;</w:t>
            </w:r>
          </w:p>
        </w:tc>
        <w:tc>
          <w:tcPr>
            <w:tcW w:w="4876" w:type="dxa"/>
            <w:tcBorders>
              <w:top w:val="nil"/>
              <w:left w:val="nil"/>
              <w:bottom w:val="nil"/>
              <w:right w:val="nil"/>
            </w:tcBorders>
          </w:tcPr>
          <w:p>
            <w:pPr>
              <w:pStyle w:val="Normal6a"/>
            </w:pPr>
            <w:r>
              <w:t>9.</w:t>
            </w:r>
            <w:r>
              <w:tab/>
            </w:r>
            <w:r>
              <w:t xml:space="preserve">zdôrazňuje, že spoľahlivé, konzistentné a včasné finančné výkazníctvo má zásadný význam pre dohľad a stabilitu; zdôrazňuje, že zjednodušenie </w:t>
            </w:r>
            <w:r>
              <w:rPr>
                <w:b/>
                <w:i/>
              </w:rPr>
              <w:t>sa musí zamerať na odstránenie duplicity a zbytočnej zložitosti, a to bez toho, aby sa oslabili</w:t>
            </w:r>
            <w:r>
              <w:t xml:space="preserve"> normy obozretnosti, ochrany spotrebiteľa alebo stability;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zdôrazňuje, že spoľahlivé, konzistentné a včasné finančné výkazníctvo má zásadný význam pre dohľad a stabilitu; </w:t>
            </w:r>
            <w:r>
              <w:rPr>
                <w:b/>
                <w:i/>
              </w:rPr>
              <w:t>zdôrazňuje, že zjednodušenie nesmie oslabiť normy obozretnosti, ochrany spotrebiteľa alebo stability;</w:t>
            </w:r>
            <w:r>
              <w:t xml:space="preserve"> požaduje vyvážený a integrovanejší prístup so spoločným slovníkom údajov a databázou žiadostí, aby sa obmedzila zbytočná zložitosť a zároveň zachovala odolnosť rámca bankovej únie;</w:t>
            </w:r>
          </w:p>
        </w:tc>
        <w:tc>
          <w:tcPr>
            <w:tcW w:w="4876" w:type="dxa"/>
            <w:tcBorders>
              <w:top w:val="nil"/>
              <w:left w:val="nil"/>
              <w:bottom w:val="nil"/>
              <w:right w:val="nil"/>
            </w:tcBorders>
          </w:tcPr>
          <w:p>
            <w:pPr>
              <w:pStyle w:val="Normal6a"/>
            </w:pPr>
            <w:r>
              <w:t>9.</w:t>
            </w:r>
            <w:r>
              <w:tab/>
            </w:r>
            <w:r>
              <w:t>zdôrazňuje, že spoľahlivé, konzistentné a včasné finančné výkazníctvo má zásadný význam pre dohľad a stabilitu; požaduje vyvážený</w:t>
            </w:r>
            <w:r>
              <w:rPr>
                <w:b/>
                <w:i/>
              </w:rPr>
              <w:t>, menej zaťažujúci</w:t>
            </w:r>
            <w:r>
              <w:t xml:space="preserve"> a integrovanejší prístup </w:t>
            </w:r>
            <w:r>
              <w:rPr>
                <w:b/>
                <w:i/>
              </w:rPr>
              <w:t>k vykazovaniu na účely dohľadu</w:t>
            </w:r>
            <w:r>
              <w:t xml:space="preserve"> so spoločným slovníkom údajov a databázou žiadostí, aby sa obmedzila zbytočná zložitosť a zároveň zachovala odolnosť rámca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zdôrazňuje, že spoľahlivé, konzistentné a včasné finančné výkazníctvo má zásadný význam pre dohľad a stabilitu; zdôrazňuje, že zjednodušenie nesmie oslabiť </w:t>
            </w:r>
            <w:r>
              <w:rPr>
                <w:b/>
                <w:i/>
              </w:rPr>
              <w:t>normy obozretnosti, ochrany</w:t>
            </w:r>
            <w:r>
              <w:t xml:space="preserve"> spotrebiteľa alebo </w:t>
            </w:r>
            <w:r>
              <w:rPr>
                <w:b/>
                <w:i/>
              </w:rPr>
              <w:t>stability</w:t>
            </w:r>
            <w:r>
              <w:t>; požaduje vyvážený a integrovanejší prístup so spoločným slovníkom údajov a databázou žiadostí, aby sa obmedzila zbytočná zložitosť a zároveň zachovala odolnosť rámca bankovej únie;</w:t>
            </w:r>
          </w:p>
        </w:tc>
        <w:tc>
          <w:tcPr>
            <w:tcW w:w="4876" w:type="dxa"/>
            <w:tcBorders>
              <w:top w:val="nil"/>
              <w:left w:val="nil"/>
              <w:bottom w:val="nil"/>
              <w:right w:val="nil"/>
            </w:tcBorders>
          </w:tcPr>
          <w:p>
            <w:pPr>
              <w:pStyle w:val="Normal6a"/>
            </w:pPr>
            <w:r>
              <w:t>9.</w:t>
            </w:r>
            <w:r>
              <w:tab/>
            </w:r>
            <w:r>
              <w:t xml:space="preserve">zdôrazňuje, že spoľahlivé, konzistentné a včasné finančné výkazníctvo má zásadný význam pre dohľad a stabilitu; zdôrazňuje, že zjednodušenie nesmie oslabiť </w:t>
            </w:r>
            <w:r>
              <w:rPr>
                <w:b/>
                <w:i/>
              </w:rPr>
              <w:t>prudenciálnu odolnosť, ochranu</w:t>
            </w:r>
            <w:r>
              <w:t xml:space="preserve"> spotrebiteľa alebo </w:t>
            </w:r>
            <w:r>
              <w:rPr>
                <w:b/>
                <w:i/>
              </w:rPr>
              <w:t>stabilitu</w:t>
            </w:r>
            <w:r>
              <w:t>; požaduje vyvážený a integrovanejší prístup so spoločným slovníkom údajov a databázou žiadostí, aby sa obmedzila zbytočná zložitosť a zároveň zachovala odolnosť rámca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konštatuje, že bankový sektor čelí mnohým prekrývajúcim sa, roztriešteným a niekedy protichodným pravidlám;</w:t>
            </w:r>
            <w:r>
              <w:t xml:space="preserve"> </w:t>
            </w:r>
            <w:r>
              <w:rPr>
                <w:b/>
                <w:i/>
              </w:rPr>
              <w:t>víta nadchádzajúce komplexné preskúmanie Komisie týkajúce sa konkurencieschopnosti bankového sektora EÚ v roku 2026;</w:t>
            </w:r>
            <w:r>
              <w:t xml:space="preserve"> </w:t>
            </w:r>
            <w:r>
              <w:rPr>
                <w:b/>
                <w:i/>
              </w:rPr>
              <w:t>vyzýva Komisiu, aby znížila zbytočnú regulačnú záťaž bankového sektora, aby sa nebránilo jeho konkurencieschopnosti;</w:t>
            </w:r>
            <w:r>
              <w:t xml:space="preserve"> </w:t>
            </w:r>
            <w:r>
              <w:rPr>
                <w:b/>
                <w:i/>
              </w:rPr>
              <w:t>v tejto súvislosti vyzýva Komisiu, aby zaviedla kontroly konkurencieschopnosti pre všetky nové právne predpisy s cieľom zefektívniť legislatívne procesy, ako je zníženie počtu doložiek o automatickom preskúmaní a moratórium na nové nepodstatné pravidlá, ako aj systematické odstraňovanie nadbytočných povinností týkajúcich sa výkazníctva alebo zverejňovania;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na to, aby sa uľahčilo, aby sa orgány dohľadu vyhli neprimeraným obmedzeniam pri uplatňovaní digitálnych inovačných nástrojov, ktoré môžu celkovo zvýšiť produktivitu a konkurencieschopnosť;</w:t>
            </w:r>
            <w:r>
              <w:t xml:space="preserve"> </w:t>
            </w:r>
            <w:r>
              <w:rPr>
                <w:b/>
                <w:i/>
              </w:rPr>
              <w:t>nabáda na prijatie primeraného prístupu založeného na zásadách, ktorý zabráni vytváraniu prekážok pre inovácie;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víta pracovnú skupinu Európskej centrálnej banky na vysokej úrovni poverenú zjednodušovaním politík a procesov;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zdôrazňuje, že je dôležité zabezpečiť proporcionalitu v bankovom regulačnom rámci EÚ s prihliadnutím na veľkosť a zložitosť rôznych inštitúcií;</w:t>
            </w:r>
            <w:r>
              <w:t xml:space="preserve"> </w:t>
            </w:r>
            <w:r>
              <w:rPr>
                <w:b/>
                <w:i/>
              </w:rPr>
              <w:t>zdôrazňuje význam malých bánk pri podpore MSP a miestnych hospodárstiev a vyzýva Komisiu, aby akákoľvek regulácia bola naďalej citlivá na riziká, vyvážená a podporovala rozmanitý a konkurencieschopný bankový sektor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uznáva inštitucionálny </w:t>
            </w:r>
            <w:r>
              <w:rPr>
                <w:b/>
                <w:i/>
              </w:rPr>
              <w:t>a regulačný pokrok, ktorým sa posilnila odolnosť bánk eurozóny</w:t>
            </w:r>
            <w:r>
              <w:t xml:space="preserve">; konštatuje, že </w:t>
            </w:r>
            <w:r>
              <w:rPr>
                <w:b/>
                <w:i/>
              </w:rPr>
              <w:t>stále pretrvávajú prekážky, ktoré bránia uvoľneniu plného potenciálu jednotného trhu EÚ s finančnými službami</w:t>
            </w:r>
            <w:r>
              <w:t xml:space="preserve">; </w:t>
            </w:r>
            <w:r>
              <w:rPr>
                <w:b/>
                <w:i/>
              </w:rPr>
              <w:t>vyzýva Komisiu, členské štáty a orgány EÚ, aby zosúladili ambície s konkrétnymi krokmi na dokončenie únie úspor a investícií a jednotného trhu, čím sa podporí zjednodušenie a konkurencieschopnosť;</w:t>
            </w:r>
          </w:p>
        </w:tc>
        <w:tc>
          <w:tcPr>
            <w:tcW w:w="4876" w:type="dxa"/>
            <w:tcBorders>
              <w:top w:val="nil"/>
              <w:left w:val="nil"/>
              <w:bottom w:val="nil"/>
              <w:right w:val="nil"/>
            </w:tcBorders>
          </w:tcPr>
          <w:p>
            <w:pPr>
              <w:pStyle w:val="Normal6a"/>
            </w:pPr>
            <w:r>
              <w:t>10.</w:t>
            </w:r>
            <w:r>
              <w:tab/>
            </w:r>
            <w:r>
              <w:t xml:space="preserve">uznáva inštitucionálny </w:t>
            </w:r>
            <w:r>
              <w:rPr>
                <w:b/>
                <w:i/>
              </w:rPr>
              <w:t>vývoj v oblasti odolnosti</w:t>
            </w:r>
            <w:r>
              <w:t xml:space="preserve">; konštatuje, že </w:t>
            </w:r>
            <w:r>
              <w:rPr>
                <w:b/>
                <w:i/>
              </w:rPr>
              <w:t>pokračujúce šírenie regulácie naďalej oslabuje skutočný potenciál európskeho bankového sektora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uznáva inštitucionálny a regulačný pokrok, ktorým sa posilnila odolnosť bánk </w:t>
            </w:r>
            <w:r>
              <w:rPr>
                <w:b/>
                <w:i/>
              </w:rPr>
              <w:t>eurozóny</w:t>
            </w:r>
            <w:r>
              <w:t xml:space="preserve">; konštatuje, že stále pretrvávajú prekážky, ktoré bránia uvoľneniu plného potenciálu jednotného trhu EÚ s finančnými službami; vyzýva Komisiu, členské štáty a orgány EÚ, aby zosúladili ambície s konkrétnymi krokmi na dokončenie únie úspor a investícií a jednotného trhu, </w:t>
            </w:r>
            <w:r>
              <w:rPr>
                <w:b/>
                <w:i/>
              </w:rPr>
              <w:t>čím sa podporí zjednodušenie a konkurencieschopnosť</w:t>
            </w:r>
            <w:r>
              <w:t>;</w:t>
            </w:r>
          </w:p>
        </w:tc>
        <w:tc>
          <w:tcPr>
            <w:tcW w:w="4876" w:type="dxa"/>
            <w:tcBorders>
              <w:top w:val="nil"/>
              <w:left w:val="nil"/>
              <w:bottom w:val="nil"/>
              <w:right w:val="nil"/>
            </w:tcBorders>
          </w:tcPr>
          <w:p>
            <w:pPr>
              <w:pStyle w:val="Normal6a"/>
            </w:pPr>
            <w:r>
              <w:t>10.</w:t>
            </w:r>
            <w:r>
              <w:tab/>
            </w:r>
            <w:r>
              <w:t xml:space="preserve">uznáva inštitucionálny a regulačný pokrok, ktorým sa posilnila odolnosť bánk </w:t>
            </w:r>
            <w:r>
              <w:rPr>
                <w:b/>
                <w:i/>
              </w:rPr>
              <w:t>EÚ</w:t>
            </w:r>
            <w:r>
              <w:t xml:space="preserve">; konštatuje, že stále pretrvávajú prekážky, ktoré bránia uvoľneniu plného potenciálu jednotného trhu EÚ s finančnými službami; vyzýva Komisiu, členské štáty a orgány EÚ, aby zosúladili ambície s konkrétnymi krokmi na dokončenie únie úspor a investícií a jednotného trhu, </w:t>
            </w:r>
            <w:r>
              <w:rPr>
                <w:b/>
                <w:i/>
              </w:rPr>
              <w:t>s cieľom uvoľniť potrebné investície pre spravodlivú zelenú transformáciu</w:t>
            </w:r>
            <w:r>
              <w:t xml:space="preserve">; </w:t>
            </w:r>
            <w:r>
              <w:rPr>
                <w:b/>
                <w:i/>
              </w:rPr>
              <w:t>zdôrazňuje význam nariadenia o taxonómii pre takéto úsilie;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uznáva inštitucionálny a regulačný pokrok, ktorým sa posilnila odolnosť bánk eurozóny; konštatuje, že stále pretrvávajú prekážky, ktoré bránia uvoľneniu plného potenciálu jednotného trhu EÚ s finančnými službami; vyzýva Komisiu, členské štáty a orgány EÚ, aby zosúladili ambície s konkrétnymi krokmi na dokončenie únie úspor a investícií a jednotného trhu, čím sa podporí zjednodušenie a konkurencieschopnosť;</w:t>
            </w:r>
          </w:p>
        </w:tc>
        <w:tc>
          <w:tcPr>
            <w:tcW w:w="4876" w:type="dxa"/>
            <w:tcBorders>
              <w:top w:val="nil"/>
              <w:left w:val="nil"/>
              <w:bottom w:val="nil"/>
              <w:right w:val="nil"/>
            </w:tcBorders>
          </w:tcPr>
          <w:p>
            <w:pPr>
              <w:pStyle w:val="Normal6a"/>
            </w:pPr>
            <w:r>
              <w:t>10.</w:t>
            </w:r>
            <w:r>
              <w:tab/>
            </w:r>
            <w:r>
              <w:t xml:space="preserve">uznáva inštitucionálny a regulačný pokrok, ktorým sa posilnila odolnosť bánk eurozóny; konštatuje, že stále pretrvávajú </w:t>
            </w:r>
            <w:r>
              <w:rPr>
                <w:b/>
                <w:i/>
              </w:rPr>
              <w:t>značné</w:t>
            </w:r>
            <w:r>
              <w:t xml:space="preserve"> prekážky, ktoré bránia uvoľneniu plného potenciálu jednotného trhu EÚ s finančnými službami; vyzýva Komisiu, členské štáty a orgány EÚ, aby zosúladili ambície s konkrétnymi krokmi na dokončenie únie úspor a investícií a jednotného trhu, čím sa podporí zjednodušenie a konkurencieschopnosť; </w:t>
            </w:r>
            <w:r>
              <w:rPr>
                <w:b/>
                <w:i/>
              </w:rPr>
              <w:t>vyzýva Komisiu, aby bola ambiciózna a odvážna vo svojej správe o konkurencieschopnosti bankového sektora EÚ za rok 2026 a aby išla nad rámec samotného zjednodušenia a predložila konkrétne a realizovateľné návrhy na posilnenie integrácie trhu, rovnakých podmienok na medzinárodnej úrovni a konkurencieschopnosti európskych bánk;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zdôrazňuje, že vzhľadom na pretrvávajúcu geopolitickú neistotu, potenciálne nadhodnotené akciové trhy a nedávne prípady otrasov v USA po netransparentnom poskytovaní úverov v nebankovom sektore (súkromné úvery) by si orgány dohľadu mali zachovať výhľad do budúcnosti a dostatočne monitorovať riziká a že banky by si mali zachovať primerané kapitálové vankúše a mali by byť prevádzkovo odolné;</w:t>
            </w:r>
            <w:r>
              <w:t xml:space="preserve"> </w:t>
            </w:r>
            <w:r>
              <w:rPr>
                <w:b/>
                <w:i/>
              </w:rPr>
              <w:t>v tejto súvislosti zdôrazňuje potrebu zlepšiť dohľad a odolnosť nebankových finančných sprostredkovateľov;</w:t>
            </w:r>
            <w:r>
              <w:t xml:space="preserve"> </w:t>
            </w:r>
            <w:r>
              <w:rPr>
                <w:b/>
                <w:i/>
              </w:rPr>
              <w:t>zdôrazňuje, že obozretný dohľad v súčasnosti môže chrániť daňovníkov, vkladateľov a reálnu ekonomiku pred stratami zajtrajška;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podporuje rastúce využívanie umelej inteligencie v bankovom sektore, pričom uznáva jej potenciál zlepšiť efektívnosť, inovácie a spotrebiteľské služby a posilniť predchádzanie podvodom;</w:t>
            </w:r>
            <w:r>
              <w:t xml:space="preserve"> </w:t>
            </w:r>
            <w:r>
              <w:rPr>
                <w:b/>
                <w:i/>
              </w:rPr>
              <w:t>zdôrazňuje, že regulácia na úrovni EÚ sa nesmie stať prekážkou technologických inovácií a prijatia technológií v bankovom sektore tým, že vytvorí neistotu a zmätok medzi účastníkmi trhu, pokiaľ ide o používanie umelej inteligencie v súlade s predpismi;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víta správu ECB o zjednodušení európskeho prudenciálneho regulačného rámca, rámca dohľadu a výkazníctva z decembra 2025 a správu EBA o efektívnosti regulačného rámca a rámca dohľadu;</w:t>
            </w:r>
            <w:r>
              <w:t xml:space="preserve"> </w:t>
            </w:r>
            <w:r>
              <w:rPr>
                <w:b/>
                <w:i/>
              </w:rPr>
              <w:t>vyzýva Komisiu, aby nadviazala na návrhy uvedené v týchto správach a ďalej ich rozvíjala v rámci svojho nadchádzajúceho preskúmania konkurencieschopnosti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vyzýva ECB, aby prijala vhodné opatrenia na odstránenie všetkých prekážok, ktoré bránia oživeniu krátkodobých nezabezpečených medzibankových trhov, ktoré sa od veľkej finančnej krízy výrazne obmedzili;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domnieva sa, že základná otázka subjektov, ktoré sú „príliš veľké na vyhlásenie úpadku“ nebola riadne vyriešená a že štrukturálna reforma je stále opodstatnená;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víta ambíciu Komisie zhodnotiť konkurencieschopnosť európskeho bankového sektora v roku 2026;</w:t>
            </w:r>
            <w:r>
              <w:t xml:space="preserve"> </w:t>
            </w:r>
            <w:r>
              <w:rPr>
                <w:b/>
                <w:i/>
              </w:rPr>
              <w:t>vyzýva Komisiu, aby predložila ambicióznu správu, ktorú budú sprevádzať legislatívne návrhy na podstatné zlepšenie konkurencieschopnosti európskeho bankového sektora;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nabáda ECB, aby odstránila všetky pretrvávajúce prekážky, ktoré bránia cezhraničným fúziám bánk, a zároveň zabezpečila finančnú stabilitu a pomohla integrácii európskeho bankového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zdôrazňuje, že európske bankové pravidlá musia byť lepšie prispôsobené veľkosti, obchodnému modelu, zložitosti a rizikovému profilu inštitúcií;</w:t>
            </w:r>
            <w:r>
              <w:t xml:space="preserve"> </w:t>
            </w:r>
            <w:r>
              <w:rPr>
                <w:b/>
                <w:i/>
              </w:rPr>
              <w:t>zdôrazňuje, že iné významné jurisdikcie sa rozhodli pre osobitný a primeranejší režim pre malé banky;</w:t>
            </w:r>
            <w:r>
              <w:t xml:space="preserve"> </w:t>
            </w:r>
            <w:r>
              <w:rPr>
                <w:b/>
                <w:i/>
              </w:rPr>
              <w:t>vyzýva Komisiu, aby využila nadchádzajúce preskúmanie konkurencieschopnosti bánk ako príležitosť na vytvorenie skutočného malého bankového režimu pre malé banky, ktoré nie sú aktívne na medzinárodnej úrovni, ktorý je podstatne jednoduchší ako veľmi zložité prudenciálne požiadavky a požiadavky v oblasti dohľadu, ktoré sa v súčasnosti uplatňujú na všetky európske banky a ktoré boli navrhnuté predovšetkým pre veľké, medzinárodne aktívne a systémovo relevantné bankové skupiny;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konštatuje, že regulácia, ktorá má vplyv na bankový sektor, by mohla byť primeranejšia, a vyjadruje poľutovanie nad nadmernou záťažou, ktorú znášajú malé banky a ktorá im bráni rásť a byť konkurencieschopnejšími; nabáda na navrhnutie úplne špecifického súboru pravidiel pre malé banky, ktoré sa môžu rozhodnúť pre jeho prijatie;</w:t>
            </w:r>
            <w:r>
              <w:t xml:space="preserve"> </w:t>
            </w:r>
            <w:r>
              <w:rPr>
                <w:b/>
                <w:i/>
              </w:rPr>
              <w:t>zastáva názor, že tento navrhovaný „malý bankový režim“ musí reagovať na potreby týchto bánk prostredníctvom primeranejšej regulácie, ako to už zaviedli iné jurisdikcie a globálne finančné centrá;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so znepokojením konštatuje, že vystavenia bánk voči domácim štátnym dlhopisom sú naďalej veľmi vysoké;</w:t>
            </w:r>
            <w:r>
              <w:t xml:space="preserve"> </w:t>
            </w:r>
            <w:r>
              <w:rPr>
                <w:b/>
                <w:i/>
              </w:rPr>
              <w:t>pripomína, že prerušenie prepojenia medzi bankovým rizikom a rizikom štátneho dlhu zostáva pre bankovú úniu výzvou;</w:t>
            </w:r>
            <w:r>
              <w:t xml:space="preserve"> </w:t>
            </w:r>
            <w:r>
              <w:rPr>
                <w:b/>
                <w:i/>
              </w:rPr>
              <w:t>zdôrazňuje, že riziko v súvahách bánk možno ďalej znižovať prostredníctvom vhodnejšieho regulačného zaobchádzania s vystavením voči štátnym dlhopisom;</w:t>
            </w:r>
            <w:r>
              <w:t xml:space="preserve"> </w:t>
            </w:r>
            <w:r>
              <w:rPr>
                <w:b/>
                <w:i/>
              </w:rPr>
              <w:t>vyzýva Komisiu, aby predložila legislatívny návrh na zavedenie primeraných rizikových váh pre vystavenia voči štátnym dlhopisom;</w:t>
            </w:r>
            <w:r>
              <w:t xml:space="preserve"> </w:t>
            </w:r>
            <w:r>
              <w:rPr>
                <w:b/>
                <w:i/>
              </w:rPr>
              <w:t>zdôrazňuje, že zvyšujúca sa úroveň verejného dlhu zvyšuje naliehavosť primeraného zaobchádzania s vystaveniami voči štátnym dlhopisom;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nabáda, aby sa pokračovalo v komplexnom zefektívňovaní súboru finančných pravidiel EÚ odstránením nadbytočných povinností týkajúcich sa vykazovania alebo zverejňovania informácií;</w:t>
            </w:r>
            <w:r>
              <w:t xml:space="preserve"> </w:t>
            </w:r>
            <w:r>
              <w:rPr>
                <w:b/>
                <w:i/>
              </w:rPr>
              <w:t>vyzýva na zjednodušenie kapitálového balíka znížením počtu prekrývajúcich sa vankúšov a navýšení dohľadu s cieľom vytvoriť jasnejšiu a transparentnejšiu hierarchiu kapitálových požiadaviek;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poukazuje na fragmentáciu európskeho bankového trhu, ktorá bráni efektívnosti a vytvára prekrývajúce sa právne predpisy a duplicitné požiadavky, a to aj v oblasti ochrany spotrebiteľa;</w:t>
            </w:r>
            <w:r>
              <w:t xml:space="preserve"> </w:t>
            </w:r>
            <w:r>
              <w:rPr>
                <w:b/>
                <w:i/>
              </w:rPr>
              <w:t>zdôrazňuje, že je potrebné dokončiť jednotný bankový trh a znížiť súčasné štrukturálne oddelenie, ktoré núti dcérske spoločnosti držať kapitál a likviditu na miestnej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vyzýva Komisiu, aby zvážila, či by sa postavenie a úlohy Európskeho orgánu pre bankovníctvo mohli ďalej rozvíjať s cieľom lepšie zohľadniť vplyv regulačných noriem a noriem dohľadu na inovácie a medzinárodnú konkurencieschopnosť bankového sektora EÚ bez toho, aby bol dotknutý jeho základný prudenciálny mandát;</w:t>
            </w:r>
            <w:r>
              <w:t xml:space="preserve"> </w:t>
            </w:r>
            <w:r>
              <w:rPr>
                <w:b/>
                <w:i/>
              </w:rPr>
              <w:t>zdôrazňuje, že podpora primeraných postupov dohľadu priaznivých pre inovácie je nevyhnutná na zabezpečenie toho, aby banková únia zostala odolná, konkurencieschopná a schopná podporovať rast v reálnej ekonomike;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konštatuje, že súhrnný podiel vlastného kapitálu Tier 1 (CET1) bánk JMD dosiahol v </w:t>
            </w:r>
            <w:r>
              <w:rPr>
                <w:b/>
                <w:i/>
              </w:rPr>
              <w:t>2</w:t>
            </w:r>
            <w:r>
              <w:t xml:space="preserve">. štvrťroku 2025 úroveň </w:t>
            </w:r>
            <w:r>
              <w:rPr>
                <w:b/>
                <w:i/>
              </w:rPr>
              <w:t>16,12</w:t>
            </w:r>
            <w:r>
              <w:t xml:space="preserve"> %, pričom návratnosť vlastného kapitálu (ROE) dosiahla </w:t>
            </w:r>
            <w:r>
              <w:rPr>
                <w:b/>
                <w:i/>
              </w:rPr>
              <w:t>10,11</w:t>
            </w:r>
            <w:r>
              <w:t> %, zatiaľ čo podiel nesplácaných úverov sa znížil na 2,22 % a úvery vo fáze 2 sú na úrovni 9,59 %</w:t>
            </w:r>
            <w:r>
              <w:rPr>
                <w:vertAlign w:val="superscript"/>
              </w:rPr>
              <w:t>15</w:t>
            </w:r>
            <w:r>
              <w:t>; zdôrazňuje, že treba monitorovať úverové riziko a zároveň zachovať dostatočný kapitál a likviditu pre odolnosť bankového sektora;</w:t>
            </w:r>
          </w:p>
        </w:tc>
        <w:tc>
          <w:tcPr>
            <w:tcW w:w="4876" w:type="dxa"/>
            <w:tcBorders>
              <w:top w:val="nil"/>
              <w:left w:val="nil"/>
              <w:bottom w:val="nil"/>
              <w:right w:val="nil"/>
            </w:tcBorders>
          </w:tcPr>
          <w:p>
            <w:pPr>
              <w:pStyle w:val="Normal6a"/>
            </w:pPr>
            <w:r>
              <w:t>11.</w:t>
            </w:r>
            <w:r>
              <w:tab/>
            </w:r>
            <w:r>
              <w:t xml:space="preserve">konštatuje, že súhrnný podiel vlastného kapitálu Tier 1 (CET1) bánk JMD dosiahol v </w:t>
            </w:r>
            <w:r>
              <w:rPr>
                <w:b/>
                <w:i/>
              </w:rPr>
              <w:t>3</w:t>
            </w:r>
            <w:r>
              <w:t xml:space="preserve">. štvrťroku 2025 úroveň </w:t>
            </w:r>
            <w:r>
              <w:rPr>
                <w:b/>
                <w:i/>
              </w:rPr>
              <w:t>16,10</w:t>
            </w:r>
            <w:r>
              <w:t xml:space="preserve"> %, pričom návratnosť vlastného kapitálu (ROE) dosiahla </w:t>
            </w:r>
            <w:r>
              <w:rPr>
                <w:b/>
                <w:i/>
              </w:rPr>
              <w:t>9,88</w:t>
            </w:r>
            <w:r>
              <w:t xml:space="preserve"> %, zatiaľ čo podiel nesplácaných úverov sa znížil na 2,22 % a úvery vo fáze 2 sú na úrovni 9,59 %</w:t>
            </w:r>
            <w:r>
              <w:rPr>
                <w:vertAlign w:val="superscript"/>
              </w:rPr>
              <w:t>15</w:t>
            </w:r>
            <w:r>
              <w:t>; zdôrazňuje, že treba monitorovať úverové riziko a zároveň zachovať dostatočný kapitál a likviditu pre odolnosť bankového sektora;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ECB, Supervisory banking statistics (</w:t>
            </w:r>
            <w:r>
              <w:rPr>
                <w:b/>
                <w:i/>
              </w:rPr>
              <w:t>2</w:t>
            </w:r>
            <w:r>
              <w:t>. štvrťrok 2025).</w:t>
            </w:r>
          </w:p>
        </w:tc>
        <w:tc>
          <w:tcPr>
            <w:tcW w:w="4876" w:type="dxa"/>
            <w:tcBorders>
              <w:top w:val="nil"/>
              <w:left w:val="nil"/>
              <w:bottom w:val="nil"/>
              <w:right w:val="nil"/>
            </w:tcBorders>
          </w:tcPr>
          <w:p>
            <w:pPr>
              <w:pStyle w:val="Normal6a"/>
            </w:pPr>
            <w:r>
              <w:rPr>
                <w:vertAlign w:val="superscript"/>
              </w:rPr>
              <w:t>15</w:t>
            </w:r>
            <w:r>
              <w:t xml:space="preserve"> </w:t>
            </w:r>
            <w:r>
              <w:t>ECB, Supervisory banking statistics (</w:t>
            </w:r>
            <w:r>
              <w:rPr>
                <w:b/>
                <w:i/>
              </w:rPr>
              <w:t>3</w:t>
            </w:r>
            <w:r>
              <w:t>. štvrťrok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konštatuje, že súhrnný podiel vlastného kapitálu Tier 1 (CET1) bánk JMD dosiahol v 2. štvrťroku 2025 úroveň 16,12 %, pričom návratnosť vlastného kapitálu (ROE) dosiahla 10,11 %, zatiaľ čo podiel nesplácaných úverov sa znížil na 2,22 % a úvery vo fáze 2 sú na úrovni 9,59 %</w:t>
            </w:r>
            <w:r>
              <w:rPr>
                <w:b/>
                <w:i/>
                <w:vertAlign w:val="superscript"/>
              </w:rPr>
              <w:t>15</w:t>
            </w:r>
            <w:r>
              <w:t>; zdôrazňuje, že treba monitorovať úverové riziko a zároveň zachovať dostatočný kapitál a likviditu pre odolnosť bankového sektora;</w:t>
            </w:r>
          </w:p>
        </w:tc>
        <w:tc>
          <w:tcPr>
            <w:tcW w:w="4876" w:type="dxa"/>
            <w:tcBorders>
              <w:top w:val="nil"/>
              <w:left w:val="nil"/>
              <w:bottom w:val="nil"/>
              <w:right w:val="nil"/>
            </w:tcBorders>
          </w:tcPr>
          <w:p>
            <w:pPr>
              <w:pStyle w:val="Normal6a"/>
            </w:pPr>
            <w:r>
              <w:t>11.</w:t>
            </w:r>
            <w:r>
              <w:tab/>
            </w:r>
            <w:r>
              <w:t xml:space="preserve">konštatuje, že súhrnný podiel vlastného kapitálu Tier 1 (CET1) bánk JMD dosiahol v 2. štvrťroku 2025 úroveň 16,12 %, pričom návratnosť vlastného kapitálu (ROE) dosiahla 10,11 %, zatiaľ čo podiel nesplácaných úverov sa znížil na 2,22 % a úvery vo fáze 2 sú na úrovni 9,59 %; zdôrazňuje, že treba monitorovať úverové riziko a zároveň zachovať dostatočný kapitál a likviditu pre odolnosť bankového sektora; </w:t>
            </w:r>
            <w:r>
              <w:rPr>
                <w:b/>
                <w:i/>
              </w:rPr>
              <w:t>zdôrazňuje, že tomuto pokroku v oblasti znižovania rizika nezodpovedá primeraný pokrok v oblasti rozdelenia rizika;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ECB, Supervisory banking statistics (2.</w:t>
            </w:r>
            <w:r>
              <w:t xml:space="preserve"> </w:t>
            </w:r>
            <w:r>
              <w:rPr>
                <w:b/>
                <w:i/>
              </w:rPr>
              <w:t>štvrťrok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zdôrazňuje nepriaznivé makroekonomické podmienky a geopolitické nepriaznivé vplyvy, ktoré by mohli viesť k zhoršeniu kvality aktív;</w:t>
            </w:r>
            <w:r>
              <w:t xml:space="preserve"> </w:t>
            </w:r>
            <w:r>
              <w:rPr>
                <w:b/>
                <w:i/>
              </w:rPr>
              <w:t>zdôrazňuje preto význam obozretného riadenia rizík a primeranej tvorby rezerv;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zdôrazňuje, že vystavenie bánk eurozóny voči štátnym dlhopisom je naďalej vysoké, a upozorňuje na súvisiace riziká;</w:t>
            </w:r>
            <w:r>
              <w:t xml:space="preserve"> </w:t>
            </w:r>
            <w:r>
              <w:rPr>
                <w:b/>
                <w:i/>
              </w:rPr>
              <w:t>pripomína, že jedným z hlavných cieľov bankovej únie je prelomiť začarovaný kruh medzi medzi štátom a bankami;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zdôrazňuje, že Rada pre finančnú stabilitu, Európsky výbor pre systémové riziká (ESRB) a iné medzinárodné a európske orgány opakovane zdôraznili riziko vyplývajúce z nebankového finančného sektora, najmä z dôvodu jeho zvýšenej prepojenosti s tradičným bankovým sektorom;</w:t>
            </w:r>
            <w:r>
              <w:t xml:space="preserve"> </w:t>
            </w:r>
            <w:r>
              <w:rPr>
                <w:b/>
                <w:i/>
              </w:rPr>
              <w:t>podporuje odporúčanie Eurosystému zaviesť celosystémové stresové testy s cieľom identifikovať a kvantifikovať riziká pre odolnosť hlavných trhov;</w:t>
            </w:r>
            <w:r>
              <w:t xml:space="preserve"> </w:t>
            </w:r>
            <w:r>
              <w:rPr>
                <w:b/>
                <w:i/>
              </w:rPr>
              <w:t>naliehavo vyzýva Komisiu, aby preskúmala, či v súbore nástrojov dohľadu existujú nejaké nedostatky, a to aj v súvislosti s potenciálnymi nedostatkami v oblasti likvidity a dôsledkami pre systémové riziko;</w:t>
            </w:r>
            <w:r>
              <w:t xml:space="preserve"> </w:t>
            </w:r>
            <w:r>
              <w:rPr>
                <w:b/>
                <w:i/>
              </w:rPr>
              <w:t>vyzýva Komisiu, aby predložila primerané legislatívne návrhy na zabezpečenie finančnej 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w:t>
            </w:r>
            <w:r>
              <w:rPr>
                <w:b/>
                <w:i/>
              </w:rPr>
              <w:t>potrebu včasného, úplného a dôsledného vykonávania noriem</w:t>
            </w:r>
            <w:r>
              <w:t xml:space="preserve"> Bazilej III </w:t>
            </w:r>
            <w:r>
              <w:rPr>
                <w:b/>
                <w:i/>
              </w:rPr>
              <w:t>s cieľom posilniť odolnosť a konkurencieschopnosť;</w:t>
            </w:r>
            <w:r>
              <w:t xml:space="preserve"> </w:t>
            </w:r>
            <w:r>
              <w:rPr>
                <w:b/>
                <w:i/>
              </w:rPr>
              <w:t>vyjadruje poľutovanie nad odchýlkami a vyzýva Komisiu, aby preskúmala rozhodnutia o rovnocennosti s jurisdikciami, ktoré tieto normy neuplatňujú</w:t>
            </w:r>
            <w:r>
              <w:t>;</w:t>
            </w:r>
          </w:p>
        </w:tc>
        <w:tc>
          <w:tcPr>
            <w:tcW w:w="4876" w:type="dxa"/>
            <w:tcBorders>
              <w:top w:val="nil"/>
              <w:left w:val="nil"/>
              <w:bottom w:val="nil"/>
              <w:right w:val="nil"/>
            </w:tcBorders>
          </w:tcPr>
          <w:p>
            <w:pPr>
              <w:pStyle w:val="Normal6a"/>
            </w:pPr>
            <w:r>
              <w:t>12.</w:t>
            </w:r>
            <w:r>
              <w:tab/>
            </w:r>
            <w:r>
              <w:t>zdôrazňuje</w:t>
            </w:r>
            <w:r>
              <w:rPr>
                <w:b/>
                <w:i/>
              </w:rPr>
              <w:t>, že pravidlá</w:t>
            </w:r>
            <w:r>
              <w:t xml:space="preserve"> Bazilej III </w:t>
            </w:r>
            <w:r>
              <w:rPr>
                <w:b/>
                <w:i/>
              </w:rPr>
              <w:t>by sa mali prispôsobiť špecifikám európskeho bankového sektora, pričom by sa malo zohľadniť kritérium proporcionality a zavedenie zjednodušení pre menšie banky, čo je v súlade s výsledkami pracovnej skupiny Európskej centrálnej banky na vysokej úrovni pre zjednodušenie, ktorú podporuje Rada guvernérov ECB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potrebu </w:t>
            </w:r>
            <w:r>
              <w:rPr>
                <w:b/>
                <w:i/>
              </w:rPr>
              <w:t>včasného, úplného a dôsledného vykonávania noriem</w:t>
            </w:r>
            <w:r>
              <w:t xml:space="preserve"> Bazilej III </w:t>
            </w:r>
            <w:r>
              <w:rPr>
                <w:b/>
                <w:i/>
              </w:rPr>
              <w:t>s cieľom posilniť odolnosť a</w:t>
            </w:r>
            <w:r>
              <w:t xml:space="preserve"> konkurencieschopnosť</w:t>
            </w:r>
            <w:r>
              <w:rPr>
                <w:b/>
                <w:i/>
              </w:rPr>
              <w:t>;</w:t>
            </w:r>
            <w:r>
              <w:t xml:space="preserve"> </w:t>
            </w:r>
            <w:r>
              <w:rPr>
                <w:b/>
                <w:i/>
              </w:rPr>
              <w:t>vyjadruje poľutovanie nad odchýlkami a vyzýva Komisiu, aby preskúmala rozhodnutia o rovnocennosti s jurisdikciami, ktoré tieto normy neuplatňujú</w:t>
            </w:r>
            <w:r>
              <w:t>;</w:t>
            </w:r>
          </w:p>
        </w:tc>
        <w:tc>
          <w:tcPr>
            <w:tcW w:w="4876" w:type="dxa"/>
            <w:tcBorders>
              <w:top w:val="nil"/>
              <w:left w:val="nil"/>
              <w:bottom w:val="nil"/>
              <w:right w:val="nil"/>
            </w:tcBorders>
          </w:tcPr>
          <w:p>
            <w:pPr>
              <w:pStyle w:val="Normal6a"/>
            </w:pPr>
            <w:r>
              <w:t>12.</w:t>
            </w:r>
            <w:r>
              <w:tab/>
            </w:r>
            <w:r>
              <w:t xml:space="preserve">zdôrazňuje potrebu </w:t>
            </w:r>
            <w:r>
              <w:rPr>
                <w:b/>
                <w:i/>
              </w:rPr>
              <w:t>vykonávať normy</w:t>
            </w:r>
            <w:r>
              <w:t xml:space="preserve"> Bazilej III </w:t>
            </w:r>
            <w:r>
              <w:rPr>
                <w:b/>
                <w:i/>
              </w:rPr>
              <w:t>spôsobom, ktorý zohľadňuje globálny vývoj a potrebu chrániť medzinárodnú</w:t>
            </w:r>
            <w:r>
              <w:t xml:space="preserve"> konkurencieschopnosť </w:t>
            </w:r>
            <w:r>
              <w:rPr>
                <w:b/>
                <w:i/>
              </w:rPr>
              <w:t>európskych bánk;</w:t>
            </w:r>
            <w:r>
              <w:t xml:space="preserve"> </w:t>
            </w:r>
            <w:r>
              <w:rPr>
                <w:b/>
                <w:i/>
              </w:rPr>
              <w:t>so znepokojením konštatuje, že iné jurisdikcie realizovali menej ambiciózny program vykonávania;</w:t>
            </w:r>
            <w:r>
              <w:t xml:space="preserve"> </w:t>
            </w:r>
            <w:r>
              <w:rPr>
                <w:b/>
                <w:i/>
              </w:rPr>
              <w:t>zdôrazňuje, že Komisia by mala dôkladne posúdiť, či je posunutie vykonávania potrebné na zachovanie medzinárodnej konkurencieschopnosti bánk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potrebu </w:t>
            </w:r>
            <w:r>
              <w:rPr>
                <w:b/>
                <w:i/>
              </w:rPr>
              <w:t>včasného, úplného a dôsledného vykonávania</w:t>
            </w:r>
            <w:r>
              <w:t xml:space="preserve"> noriem Bazilej III s cieľom posilniť odolnosť a konkurencieschopnosť; </w:t>
            </w:r>
            <w:r>
              <w:rPr>
                <w:b/>
                <w:i/>
              </w:rPr>
              <w:t>vyjadruje poľutovanie nad odchýlkami a vyzýva Komisiu, aby preskúmala rozhodnutia o rovnocennosti s jurisdikciami, ktoré tieto normy neuplatňujú</w:t>
            </w:r>
            <w:r>
              <w:t>;</w:t>
            </w:r>
          </w:p>
        </w:tc>
        <w:tc>
          <w:tcPr>
            <w:tcW w:w="4876" w:type="dxa"/>
            <w:tcBorders>
              <w:top w:val="nil"/>
              <w:left w:val="nil"/>
              <w:bottom w:val="nil"/>
              <w:right w:val="nil"/>
            </w:tcBorders>
          </w:tcPr>
          <w:p>
            <w:pPr>
              <w:pStyle w:val="Normal6a"/>
            </w:pPr>
            <w:r>
              <w:t>12.</w:t>
            </w:r>
            <w:r>
              <w:tab/>
            </w:r>
            <w:r>
              <w:t xml:space="preserve">zdôrazňuje potrebu </w:t>
            </w:r>
            <w:r>
              <w:rPr>
                <w:b/>
                <w:i/>
              </w:rPr>
              <w:t>zabezpečiť úplné vykonávanie</w:t>
            </w:r>
            <w:r>
              <w:t xml:space="preserve"> noriem Bazilej III s cieľom posilniť odolnosť a </w:t>
            </w:r>
            <w:r>
              <w:rPr>
                <w:b/>
                <w:i/>
              </w:rPr>
              <w:t>globálnu</w:t>
            </w:r>
            <w:r>
              <w:t xml:space="preserve"> konkurencieschopnosť; </w:t>
            </w:r>
            <w:r>
              <w:rPr>
                <w:b/>
                <w:i/>
              </w:rPr>
              <w:t>berie na vedomie pretrvávajúci nedostatok jasnosti, pokiaľ ide o vykonávanie v niektorých hlavných jurisdikciách mimo EÚ, a zdôrazňuje, že zachovanie finančnej stability, integrity rámca Bazilej a rovnakých podmienok je nevyhnutné na zabezpečenie dlhodobej konkurencieschopnosti v medzinárodnom kontexte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potrebu včasného, úplného a dôsledného vykonávania noriem Bazilej III </w:t>
            </w:r>
            <w:r>
              <w:rPr>
                <w:b/>
                <w:i/>
              </w:rPr>
              <w:t>s cieľom posilniť</w:t>
            </w:r>
            <w:r>
              <w:t xml:space="preserve"> odolnosť a konkurencieschopnosť; </w:t>
            </w:r>
            <w:r>
              <w:rPr>
                <w:b/>
                <w:i/>
              </w:rPr>
              <w:t>vyjadruje poľutovanie nad odchýlkami a</w:t>
            </w:r>
            <w:r>
              <w:t xml:space="preserve"> vyzýva Komisiu, aby </w:t>
            </w:r>
            <w:r>
              <w:rPr>
                <w:b/>
                <w:i/>
              </w:rPr>
              <w:t>preskúmala rozhodnutia o rovnocennosti s jurisdikciami, ktoré tieto normy neuplatňujú</w:t>
            </w:r>
            <w:r>
              <w:t>;</w:t>
            </w:r>
          </w:p>
        </w:tc>
        <w:tc>
          <w:tcPr>
            <w:tcW w:w="4876" w:type="dxa"/>
            <w:tcBorders>
              <w:top w:val="nil"/>
              <w:left w:val="nil"/>
              <w:bottom w:val="nil"/>
              <w:right w:val="nil"/>
            </w:tcBorders>
          </w:tcPr>
          <w:p>
            <w:pPr>
              <w:pStyle w:val="Normal6a"/>
            </w:pPr>
            <w:r>
              <w:t>12.</w:t>
            </w:r>
            <w:r>
              <w:tab/>
            </w:r>
            <w:r>
              <w:t>zdôrazňuje potrebu včasného, úplného a dôsledného vykonávania noriem Bazilej III</w:t>
            </w:r>
            <w:r>
              <w:rPr>
                <w:b/>
                <w:i/>
              </w:rPr>
              <w:t>, pokiaľ posilňujú</w:t>
            </w:r>
            <w:r>
              <w:t xml:space="preserve"> odolnosť a konkurencieschopnosť; </w:t>
            </w:r>
            <w:r>
              <w:rPr>
                <w:b/>
                <w:i/>
              </w:rPr>
              <w:t>so znepokojením konštatuje, že iné jurisdikcie presadzovali menej ambiciózny program, čo môže ohroziť rovnaké podmienky na medzinárodnej úrovni;</w:t>
            </w:r>
            <w:r>
              <w:t xml:space="preserve"> vyzýva Komisiu, aby </w:t>
            </w:r>
            <w:r>
              <w:rPr>
                <w:b/>
                <w:i/>
              </w:rPr>
              <w:t>vyhodnotila a zabezpečila medzinárodnú konkurencieschopnosť bánk EÚ bez toho, aby sa oslabila ich odolnosť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potrebu včasného, úplného a dôsledného vykonávania noriem Bazilej III s cieľom posilniť odolnosť a konkurencieschopnosť; vyjadruje poľutovanie nad odchýlkami </w:t>
            </w:r>
            <w:r>
              <w:rPr>
                <w:b/>
                <w:i/>
              </w:rPr>
              <w:t>a vyzýva Komisiu, aby preskúmala rozhodnutia o rovnocennosti s jurisdikciami, ktoré tieto normy neuplatňujú</w:t>
            </w:r>
            <w:r>
              <w:t>;</w:t>
            </w:r>
          </w:p>
        </w:tc>
        <w:tc>
          <w:tcPr>
            <w:tcW w:w="4876" w:type="dxa"/>
            <w:tcBorders>
              <w:top w:val="nil"/>
              <w:left w:val="nil"/>
              <w:bottom w:val="nil"/>
              <w:right w:val="nil"/>
            </w:tcBorders>
          </w:tcPr>
          <w:p>
            <w:pPr>
              <w:pStyle w:val="Normal6a"/>
            </w:pPr>
            <w:r>
              <w:t>12.</w:t>
            </w:r>
            <w:r>
              <w:tab/>
            </w:r>
            <w:r>
              <w:t xml:space="preserve">zdôrazňuje potrebu včasného, úplného a dôsledného vykonávania noriem Bazilej III </w:t>
            </w:r>
            <w:r>
              <w:rPr>
                <w:b/>
                <w:i/>
              </w:rPr>
              <w:t>výlučne v prípade medzinárodne aktívnych bánk, pre ktoré boli tieto normy navrhnuté,</w:t>
            </w:r>
            <w:r>
              <w:t xml:space="preserve"> s cieľom posilniť odolnosť a konkurencieschopnosť; vyjadruje poľutovanie nad odchýlkami;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zdôrazňuje potrebu včasného</w:t>
            </w:r>
            <w:r>
              <w:rPr>
                <w:b/>
                <w:i/>
              </w:rPr>
              <w:t>, úplného</w:t>
            </w:r>
            <w:r>
              <w:t xml:space="preserve"> a dôsledného vykonávania noriem Bazilej III s cieľom posilniť odolnosť a konkurencieschopnosť; </w:t>
            </w:r>
            <w:r>
              <w:rPr>
                <w:b/>
                <w:i/>
              </w:rPr>
              <w:t>vyjadruje poľutovanie nad odchýlkami a</w:t>
            </w:r>
            <w:r>
              <w:t xml:space="preserve"> vyzýva Komisiu, aby </w:t>
            </w:r>
            <w:r>
              <w:rPr>
                <w:b/>
                <w:i/>
              </w:rPr>
              <w:t>preskúmala</w:t>
            </w:r>
            <w:r>
              <w:t xml:space="preserve"> rozhodnutia o rovnocennosti </w:t>
            </w:r>
            <w:r>
              <w:rPr>
                <w:b/>
                <w:i/>
              </w:rPr>
              <w:t>s</w:t>
            </w:r>
            <w:r>
              <w:t xml:space="preserve"> jurisdikciami, ktoré </w:t>
            </w:r>
            <w:r>
              <w:rPr>
                <w:b/>
                <w:i/>
              </w:rPr>
              <w:t>tieto normy</w:t>
            </w:r>
            <w:r>
              <w:t xml:space="preserve"> neuplatňujú;</w:t>
            </w:r>
          </w:p>
        </w:tc>
        <w:tc>
          <w:tcPr>
            <w:tcW w:w="4876" w:type="dxa"/>
            <w:tcBorders>
              <w:top w:val="nil"/>
              <w:left w:val="nil"/>
              <w:bottom w:val="nil"/>
              <w:right w:val="nil"/>
            </w:tcBorders>
          </w:tcPr>
          <w:p>
            <w:pPr>
              <w:pStyle w:val="Normal6a"/>
            </w:pPr>
            <w:r>
              <w:t>12.</w:t>
            </w:r>
            <w:r>
              <w:tab/>
            </w:r>
            <w:r>
              <w:t xml:space="preserve">zdôrazňuje potrebu včasného a dôsledného vykonávania noriem Bazilej III s cieľom posilniť odolnosť a konkurencieschopnosť; </w:t>
            </w:r>
            <w:r>
              <w:rPr>
                <w:b/>
                <w:i/>
              </w:rPr>
              <w:t>berie na vedomie súčasnú nedostatočnú jasnosť, pokiaľ ide o vykonávanie noriem Bazilej III v niektorých iných jurisdikciách, a potenciálne riziko pre rovnaké podmienky na medzinárodnej úrovni;</w:t>
            </w:r>
            <w:r>
              <w:t xml:space="preserve"> </w:t>
            </w:r>
            <w:r>
              <w:rPr>
                <w:b/>
                <w:i/>
              </w:rPr>
              <w:t>zdôrazňuje, že Komisia by mala posúdiť, či by cielené zmeny mohli pomôcť zachovať medzinárodnú konkurencieschopnosť bánk EÚ bez toho, aby sa oslabila ich odolnosť;</w:t>
            </w:r>
            <w:r>
              <w:t xml:space="preserve"> vyzýva Komisiu, aby </w:t>
            </w:r>
            <w:r>
              <w:rPr>
                <w:b/>
                <w:i/>
              </w:rPr>
              <w:t>posúdila, či treba preskúmať</w:t>
            </w:r>
            <w:r>
              <w:t xml:space="preserve"> rozhodnutia o rovnocennosti </w:t>
            </w:r>
            <w:r>
              <w:rPr>
                <w:b/>
                <w:i/>
              </w:rPr>
              <w:t>prijaté</w:t>
            </w:r>
            <w:r>
              <w:t xml:space="preserve"> jurisdikciami, ktoré neuplatňujú </w:t>
            </w:r>
            <w:r>
              <w:rPr>
                <w:b/>
                <w:i/>
              </w:rPr>
              <w:t>normy Bazilej III, aby sa zachovala finančná stabilita finančného sektora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w:t>
            </w:r>
            <w:r>
              <w:rPr>
                <w:b/>
                <w:i/>
              </w:rPr>
              <w:t>potrebu včasného, úplného a dôsledného vykonávania</w:t>
            </w:r>
            <w:r>
              <w:t xml:space="preserve"> noriem Bazilej III </w:t>
            </w:r>
            <w:r>
              <w:rPr>
                <w:b/>
                <w:i/>
              </w:rPr>
              <w:t>s cieľom posilniť</w:t>
            </w:r>
            <w:r>
              <w:t xml:space="preserve"> odolnosť a konkurencieschopnosť; vyjadruje poľutovanie nad odchýlkami a vyzýva Komisiu, aby </w:t>
            </w:r>
            <w:r>
              <w:rPr>
                <w:b/>
                <w:i/>
              </w:rPr>
              <w:t>preskúmala</w:t>
            </w:r>
            <w:r>
              <w:t xml:space="preserve"> rozhodnutia o rovnocennosti s jurisdikciami, ktoré tieto normy neuplatňujú;</w:t>
            </w:r>
          </w:p>
        </w:tc>
        <w:tc>
          <w:tcPr>
            <w:tcW w:w="4876" w:type="dxa"/>
            <w:tcBorders>
              <w:top w:val="nil"/>
              <w:left w:val="nil"/>
              <w:bottom w:val="nil"/>
              <w:right w:val="nil"/>
            </w:tcBorders>
          </w:tcPr>
          <w:p>
            <w:pPr>
              <w:pStyle w:val="Normal6a"/>
            </w:pPr>
            <w:r>
              <w:t>12.</w:t>
            </w:r>
            <w:r>
              <w:tab/>
            </w:r>
            <w:r>
              <w:t>zdôrazňuje</w:t>
            </w:r>
            <w:r>
              <w:rPr>
                <w:b/>
                <w:i/>
              </w:rPr>
              <w:t>, že včasné, úplné a dôsledné vykonávanie</w:t>
            </w:r>
            <w:r>
              <w:t xml:space="preserve"> noriem Bazilej III </w:t>
            </w:r>
            <w:r>
              <w:rPr>
                <w:b/>
                <w:i/>
              </w:rPr>
              <w:t>posilní</w:t>
            </w:r>
            <w:r>
              <w:t xml:space="preserve"> odolnosť a konkurencieschopnosť; vyjadruje poľutovanie nad odchýlkami a vyzýva Komisiu, aby </w:t>
            </w:r>
            <w:r>
              <w:rPr>
                <w:b/>
                <w:i/>
              </w:rPr>
              <w:t>prehodnotila</w:t>
            </w:r>
            <w:r>
              <w:t xml:space="preserve"> rozhodnutia o rovnocennosti s jurisdikciami, ktoré tieto normy neuplatňujú; </w:t>
            </w:r>
            <w:r>
              <w:rPr>
                <w:b/>
                <w:i/>
              </w:rPr>
              <w:t>zároveň zdôrazňuje, že pri vykonávaní noriem rámca Bazilej III by sa mali zachovať rovnaké podmienky na celosvetovej úrovni a zároveň by sa malo zabrániť gold-platingu zo strany vnútroštátnych orgánov pri vykonávaní pravidiel EÚ na úrovni 3 a zabrániť neželaným vplyvom na schopnosť bánk EÚ financovať reálnu ekonomiku; </w:t>
            </w:r>
            <w:r>
              <w:t xml:space="preserve"> </w:t>
            </w:r>
            <w:r>
              <w:rPr>
                <w:b/>
                <w:i/>
              </w:rPr>
              <w:t>v tejto súvislosti víta iniciatívu Komisie uverejniť správu o konkurencieschopnosti a integrácii bankového sektora EÚ a vyzýva na predloženie konkrétnych návrhov na podporu úverovej kapacity bánk, najmä pre domácnosti a MSP, a požaduje súkromné a verejné produktívne investície vrátane – vo vhodných prípadoch – opatrení na podporu efektívneho využívania nízkorizikových a krátkodobých finančných nástrojov, ako je faktoring a financovanie obchodu;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w:t>
            </w:r>
            <w:r>
              <w:rPr>
                <w:b/>
                <w:i/>
              </w:rPr>
              <w:t>potrebu včasného, úplného a dôsledného vykonávania noriem</w:t>
            </w:r>
            <w:r>
              <w:t xml:space="preserve"> Bazilej III </w:t>
            </w:r>
            <w:r>
              <w:rPr>
                <w:b/>
                <w:i/>
              </w:rPr>
              <w:t>s cieľom posilniť</w:t>
            </w:r>
            <w:r>
              <w:t xml:space="preserve"> odolnosť a konkurencieschopnosť</w:t>
            </w:r>
            <w:r>
              <w:rPr>
                <w:b/>
                <w:i/>
              </w:rPr>
              <w:t>;</w:t>
            </w:r>
            <w:r>
              <w:t xml:space="preserve"> </w:t>
            </w:r>
            <w:r>
              <w:rPr>
                <w:b/>
                <w:i/>
              </w:rPr>
              <w:t>vyjadruje poľutovanie nad odchýlkami a vyzýva Komisiu, aby preskúmala rozhodnutia o rovnocennosti s jurisdikciami</w:t>
            </w:r>
            <w:r>
              <w:t xml:space="preserve">, ktoré </w:t>
            </w:r>
            <w:r>
              <w:rPr>
                <w:b/>
                <w:i/>
              </w:rPr>
              <w:t>tieto normy neuplatňujú</w:t>
            </w:r>
            <w:r>
              <w:t>;</w:t>
            </w:r>
          </w:p>
        </w:tc>
        <w:tc>
          <w:tcPr>
            <w:tcW w:w="4876" w:type="dxa"/>
            <w:tcBorders>
              <w:top w:val="nil"/>
              <w:left w:val="nil"/>
              <w:bottom w:val="nil"/>
              <w:right w:val="nil"/>
            </w:tcBorders>
          </w:tcPr>
          <w:p>
            <w:pPr>
              <w:pStyle w:val="Normal6a"/>
            </w:pPr>
            <w:r>
              <w:t>12.</w:t>
            </w:r>
            <w:r>
              <w:tab/>
            </w:r>
            <w:r>
              <w:t>zdôrazňuje</w:t>
            </w:r>
            <w:r>
              <w:rPr>
                <w:b/>
                <w:i/>
              </w:rPr>
              <w:t>, že finančná stabilita je predpokladom účinnej menovej politiky a odolného finančného systému;</w:t>
            </w:r>
            <w:r>
              <w:t xml:space="preserve"> </w:t>
            </w:r>
            <w:r>
              <w:rPr>
                <w:b/>
                <w:i/>
              </w:rPr>
              <w:t>víta dokončenie a vykonávanie rámca</w:t>
            </w:r>
            <w:r>
              <w:t xml:space="preserve"> Bazilej III</w:t>
            </w:r>
            <w:r>
              <w:rPr>
                <w:b/>
                <w:i/>
              </w:rPr>
              <w:t>, ktorý posilní</w:t>
            </w:r>
            <w:r>
              <w:t xml:space="preserve"> odolnosť a konkurencieschopnosť </w:t>
            </w:r>
            <w:r>
              <w:rPr>
                <w:b/>
                <w:i/>
              </w:rPr>
              <w:t>v EÚ;</w:t>
            </w:r>
            <w:r>
              <w:t xml:space="preserve"> </w:t>
            </w:r>
            <w:r>
              <w:rPr>
                <w:b/>
                <w:i/>
              </w:rPr>
              <w:t>zdôrazňuje pretrvávajúcu nejasnosť, pokiaľ ide o vykonávanie noriem Bazilej III v niektorých iných jurisdikciách, a riziko problémov s rovnakými podmienkami na medzinárodnej úrovni</w:t>
            </w:r>
            <w:r>
              <w:t xml:space="preserve">, ktoré </w:t>
            </w:r>
            <w:r>
              <w:rPr>
                <w:b/>
                <w:i/>
              </w:rPr>
              <w:t>by to mohlo spôsobiť</w:t>
            </w:r>
            <w:r>
              <w:t xml:space="preserve">; </w:t>
            </w:r>
            <w:r>
              <w:rPr>
                <w:b/>
                <w:i/>
              </w:rPr>
              <w:t>zdôrazňuje, že je dôležité zabezpečiť správnu rovnováhu medzi finančnou stabilitou, dodržiavaním medzinárodných rámcov a rovnakými podmienkami na medzinárodnej úrovni, aby sa zabezpečilo, že európske banky budú schopné súťažiť za rovnakých podmienok s bankami z iných jurisdikcií;</w:t>
            </w:r>
            <w:r>
              <w:t xml:space="preserve"> </w:t>
            </w:r>
            <w:r>
              <w:rPr>
                <w:b/>
                <w:i/>
              </w:rPr>
              <w:t>zdôrazňuje, že je dôležité zohľadniť európske špecifiká s cieľom zabezpečiť konkurencieschopný európsky bankový sektor;</w:t>
            </w:r>
            <w:r>
              <w:t xml:space="preserve"> </w:t>
            </w:r>
            <w:r>
              <w:rPr>
                <w:b/>
                <w:i/>
              </w:rPr>
              <w:t>zdôrazňuje význam konzistentného a medzinárodne zosúladeného vykonávania zásadného preskúmania obchodnej knihy;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potrebu včasného, úplného a dôsledného vykonávania noriem Bazilej III s cieľom posilniť odolnosť a konkurencieschopnosť; </w:t>
            </w:r>
            <w:r>
              <w:rPr>
                <w:b/>
                <w:i/>
              </w:rPr>
              <w:t>vyjadruje poľutovanie nad odchýlkami a</w:t>
            </w:r>
            <w:r>
              <w:t xml:space="preserve"> vyzýva Komisiu, aby </w:t>
            </w:r>
            <w:r>
              <w:rPr>
                <w:b/>
                <w:i/>
              </w:rPr>
              <w:t>preskúmala rozhodnutia</w:t>
            </w:r>
            <w:r>
              <w:t xml:space="preserve"> o rovnocennosti s jurisdikciami, ktoré tieto normy neuplatňujú;</w:t>
            </w:r>
          </w:p>
        </w:tc>
        <w:tc>
          <w:tcPr>
            <w:tcW w:w="4876" w:type="dxa"/>
            <w:tcBorders>
              <w:top w:val="nil"/>
              <w:left w:val="nil"/>
              <w:bottom w:val="nil"/>
              <w:right w:val="nil"/>
            </w:tcBorders>
          </w:tcPr>
          <w:p>
            <w:pPr>
              <w:pStyle w:val="Normal6a"/>
            </w:pPr>
            <w:r>
              <w:t>12.</w:t>
            </w:r>
            <w:r>
              <w:tab/>
            </w:r>
            <w:r>
              <w:t xml:space="preserve">zdôrazňuje potrebu včasného, úplného a dôsledného vykonávania noriem Bazilej III s cieľom posilniť odolnosť a konkurencieschopnosť; vyzýva Komisiu, aby </w:t>
            </w:r>
            <w:r>
              <w:rPr>
                <w:b/>
                <w:i/>
              </w:rPr>
              <w:t>vykonala konzistentné posúdenie založené na riziku týkajúce sa rozhodnutí</w:t>
            </w:r>
            <w:r>
              <w:t xml:space="preserve"> o rovnocennosti s jurisdikciami, ktoré tieto normy neuplatňujú</w:t>
            </w:r>
            <w:r>
              <w:rPr>
                <w:b/>
                <w:i/>
              </w:rPr>
              <w:t>, zaručujúc podmienky hospodárskej súťaže na celosvetovej úrovni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zdôrazňuje potrebu včasného, úplného a dôsledného vykonávania noriem Bazilej III s cieľom posilniť odolnosť a konkurencieschopnosť; vyjadruje poľutovanie nad odchýlkami a vyzýva Komisiu, aby preskúmala rozhodnutia o rovnocennosti s jurisdikciami, ktoré tieto normy neuplatňujú;</w:t>
            </w:r>
          </w:p>
        </w:tc>
        <w:tc>
          <w:tcPr>
            <w:tcW w:w="4876" w:type="dxa"/>
            <w:tcBorders>
              <w:top w:val="nil"/>
              <w:left w:val="nil"/>
              <w:bottom w:val="nil"/>
              <w:right w:val="nil"/>
            </w:tcBorders>
          </w:tcPr>
          <w:p>
            <w:pPr>
              <w:pStyle w:val="Normal6a"/>
            </w:pPr>
            <w:r>
              <w:t>12.</w:t>
            </w:r>
            <w:r>
              <w:tab/>
            </w:r>
            <w:r>
              <w:t xml:space="preserve">zdôrazňuje potrebu včasného, úplného a dôsledného vykonávania noriem Bazilej III s cieľom posilniť odolnosť a </w:t>
            </w:r>
            <w:r>
              <w:rPr>
                <w:b/>
                <w:i/>
              </w:rPr>
              <w:t>konkurencieschopnosť vrátane zásadného preskúmania obchodnej knihy;</w:t>
            </w:r>
            <w:r>
              <w:t xml:space="preserve"> </w:t>
            </w:r>
            <w:r>
              <w:rPr>
                <w:b/>
                <w:i/>
              </w:rPr>
              <w:t>pripomína, že jednotný mechanizmus dohľadu niekoľkokrát zopakoval, že zavedením základného preskúmania obchodnej knihy by sa posilnila odolnosť bánk EÚ a neoslabila by sa ich</w:t>
            </w:r>
            <w:r>
              <w:t xml:space="preserve"> konkurencieschopnosť; vyjadruje poľutovanie nad odchýlkami a vyzýva Komisiu, aby preskúmala rozhodnutia o rovnocennosti s jurisdikciami, ktoré tieto normy neuplatňujú; </w:t>
            </w:r>
            <w:r>
              <w:rPr>
                <w:b/>
                <w:i/>
              </w:rPr>
              <w:t>zdôrazňuje, že EÚ doteraz dodržiava rámec Bazilej menej ako niektorí jej medzinárodní partneri;</w:t>
            </w:r>
            <w:r>
              <w:t xml:space="preserve"> </w:t>
            </w:r>
            <w:r>
              <w:rPr>
                <w:b/>
                <w:i/>
              </w:rPr>
              <w:t>domnieva sa, že nedostatočné vykonávanie v iných medzinárodných jurisdikciách zvyšuje riziká, ktorým čelia banky EÚ, a že by sa to malo primerane zohľadniť v rámci dohľadu;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zdôrazňuje potrebu včasného, úplného a dôsledného vykonávania noriem Bazilej III s cieľom posilniť odolnosť a konkurencieschopnosť; vyjadruje poľutovanie nad odchýlkami a vyzýva Komisiu, aby preskúmala rozhodnutia o rovnocennosti s jurisdikciami, ktoré tieto normy neuplatňujú;</w:t>
            </w:r>
          </w:p>
        </w:tc>
        <w:tc>
          <w:tcPr>
            <w:tcW w:w="4876" w:type="dxa"/>
            <w:tcBorders>
              <w:top w:val="nil"/>
              <w:left w:val="nil"/>
              <w:bottom w:val="nil"/>
              <w:right w:val="nil"/>
            </w:tcBorders>
          </w:tcPr>
          <w:p>
            <w:pPr>
              <w:pStyle w:val="Normal6a"/>
            </w:pPr>
            <w:r>
              <w:t>12.</w:t>
            </w:r>
            <w:r>
              <w:tab/>
            </w:r>
            <w:r>
              <w:t xml:space="preserve">zdôrazňuje potrebu včasného, úplného a dôsledného vykonávania noriem Bazilej III s cieľom posilniť odolnosť a konkurencieschopnosť; vyjadruje poľutovanie nad odchýlkami a vyzýva Komisiu, aby preskúmala rozhodnutia o rovnocennosti s jurisdikciami, ktoré tieto normy neuplatňujú; </w:t>
            </w:r>
            <w:r>
              <w:rPr>
                <w:b/>
                <w:i/>
              </w:rPr>
              <w:t>zdôrazňuje, že odchýlky EÚ od úplného vykonávania rámca Bazilej III vrátane postupných úprav a odložených pravidiel trhového rizika poškodzujú konkurencieschopnosť aj finančnú stabilitu tým, že umožňujú regulačnú arbitráž a nejednotné váženie rizika;</w:t>
            </w:r>
            <w:r>
              <w:t xml:space="preserve"> </w:t>
            </w:r>
            <w:r>
              <w:rPr>
                <w:b/>
                <w:i/>
              </w:rPr>
              <w:t>tieto odchýlky by sa mali urýchlene odstrániť, aby sa banky EÚ zosúladili s globálnymi partnermi;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konštatuje, že banky sú čoraz viac vystavené nebankovým finančným sprostredkovateľom, čo vytvára širokú škálu rizík od likvidity až po riziká protistrany;</w:t>
            </w:r>
            <w:r>
              <w:t xml:space="preserve"> </w:t>
            </w:r>
            <w:r>
              <w:rPr>
                <w:b/>
                <w:i/>
              </w:rPr>
              <w:t>zdôrazňuje potrebu komplexného európskeho dohľadu nad sektorom nebankových finančných sprostredkovateľov;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berie na vedomie zistenia ECB, že vysoké kapitálové požiadavky neobmedzujú konkurencieschopnosť bánk, ale skôr zabezpečujú ich odolnosť a schopnosť financovať hospodárstvo počas celého cyklu;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vyjadruje poľutovanie nad rastúcim počtom zatvorených bankových pobočiek, čo ovplyvňuje zraniteľné a okrajové komunity;</w:t>
            </w:r>
            <w:r>
              <w:t xml:space="preserve"> </w:t>
            </w:r>
            <w:r>
              <w:rPr>
                <w:b/>
                <w:i/>
              </w:rPr>
              <w:t>zdôrazňuje úlohu menších bánk v prístupe domácností k službám;</w:t>
            </w:r>
            <w:r>
              <w:t xml:space="preserve"> </w:t>
            </w:r>
            <w:r>
              <w:rPr>
                <w:b/>
                <w:i/>
              </w:rPr>
              <w:t>so znepokojením berie na vedomie stratu pracovných miest v súvislosti s umelou inteligenciou;</w:t>
            </w:r>
            <w:r>
              <w:t xml:space="preserve"> </w:t>
            </w:r>
            <w:r>
              <w:rPr>
                <w:b/>
                <w:i/>
              </w:rPr>
              <w:t>zdôrazňuje potrebu zabezpečiť kvalitu pracovných miest, spravodlivé podmienky a spravodlivý prístup k bankovým službám;</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vyjadruje poľutovanie nad rastúcim počtom</w:t>
            </w:r>
            <w:r>
              <w:t xml:space="preserve"> zatvorených bankových pobočiek</w:t>
            </w:r>
            <w:r>
              <w:rPr>
                <w:b/>
                <w:i/>
              </w:rPr>
              <w:t>, čo ovplyvňuje zraniteľné a okrajové komunity</w:t>
            </w:r>
            <w:r>
              <w:t>; zdôrazňuje úlohu menších bánk v prístupe domácností k službám</w:t>
            </w:r>
            <w:r>
              <w:rPr>
                <w:b/>
                <w:i/>
              </w:rPr>
              <w:t>;</w:t>
            </w:r>
            <w:r>
              <w:t xml:space="preserve"> </w:t>
            </w:r>
            <w:r>
              <w:rPr>
                <w:b/>
                <w:i/>
              </w:rPr>
              <w:t>so znepokojením berie na vedomie stratu pracovných miest v súvislosti s umelou inteligenciou</w:t>
            </w:r>
            <w:r>
              <w:t xml:space="preserve">; zdôrazňuje potrebu </w:t>
            </w:r>
            <w:r>
              <w:rPr>
                <w:b/>
                <w:i/>
              </w:rPr>
              <w:t>zabezpečiť kvalitu pracovných miest, spravodlivé podmienky a spravodlivý prístup k bankovým službám</w:t>
            </w:r>
            <w:r>
              <w:t>;</w:t>
            </w:r>
          </w:p>
        </w:tc>
        <w:tc>
          <w:tcPr>
            <w:tcW w:w="4876" w:type="dxa"/>
            <w:tcBorders>
              <w:top w:val="nil"/>
              <w:left w:val="nil"/>
              <w:bottom w:val="nil"/>
              <w:right w:val="nil"/>
            </w:tcBorders>
          </w:tcPr>
          <w:p>
            <w:pPr>
              <w:pStyle w:val="Normal6a"/>
            </w:pPr>
            <w:r>
              <w:t>13.</w:t>
            </w:r>
            <w:r>
              <w:tab/>
            </w:r>
            <w:r>
              <w:rPr>
                <w:b/>
                <w:i/>
              </w:rPr>
              <w:t>berie na vedomie rastúci počet</w:t>
            </w:r>
            <w:r>
              <w:t xml:space="preserve"> zatvorených bankových pobočiek; zdôrazňuje úlohu menších bánk v prístupe domácností </w:t>
            </w:r>
            <w:r>
              <w:rPr>
                <w:b/>
                <w:i/>
              </w:rPr>
              <w:t>a miestnych podnikov</w:t>
            </w:r>
            <w:r>
              <w:t xml:space="preserve"> k službám; zdôrazňuje potrebu </w:t>
            </w:r>
            <w:r>
              <w:rPr>
                <w:b/>
                <w:i/>
              </w:rPr>
              <w:t>prispôsobiť reguláciu dohľadu a prudenciálnu reguláciu veľkosti, zložitosti a rizikovému profilu menších bánk v súlade so zásadou proporcionality s cieľom odstrániť neprimeranú regulačnú záťaž, ktorá bráni ich schopnosti rásť, byť konkurencieschopné a naďalej slúžiť reálnej ekonomike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vyjadruje poľutovanie nad rastúcim počtom zatvorených</w:t>
            </w:r>
            <w:r>
              <w:t xml:space="preserve"> bankových pobočiek, </w:t>
            </w:r>
            <w:r>
              <w:rPr>
                <w:b/>
                <w:i/>
              </w:rPr>
              <w:t>čo ovplyvňuje</w:t>
            </w:r>
            <w:r>
              <w:t xml:space="preserve"> zraniteľné a okrajové komunity; zdôrazňuje úlohu menších bánk v prístupe domácností k službám; so znepokojením berie na vedomie stratu pracovných miest v súvislosti s umelou inteligenciou; zdôrazňuje potrebu zabezpečiť kvalitu pracovných miest, spravodlivé podmienky a spravodlivý prístup k bankovým službám;</w:t>
            </w:r>
          </w:p>
        </w:tc>
        <w:tc>
          <w:tcPr>
            <w:tcW w:w="4876" w:type="dxa"/>
            <w:tcBorders>
              <w:top w:val="nil"/>
              <w:left w:val="nil"/>
              <w:bottom w:val="nil"/>
              <w:right w:val="nil"/>
            </w:tcBorders>
          </w:tcPr>
          <w:p>
            <w:pPr>
              <w:pStyle w:val="Normal6a"/>
            </w:pPr>
            <w:r>
              <w:t>13.</w:t>
            </w:r>
            <w:r>
              <w:tab/>
            </w:r>
            <w:r>
              <w:rPr>
                <w:b/>
                <w:i/>
              </w:rPr>
              <w:t>berie na vedomie rastúci počet zatvorení</w:t>
            </w:r>
            <w:r>
              <w:t xml:space="preserve"> bankových pobočiek, </w:t>
            </w:r>
            <w:r>
              <w:rPr>
                <w:b/>
                <w:i/>
              </w:rPr>
              <w:t>ku ktorým dochádza v rôznej miere v rôznych členských štátoch;</w:t>
            </w:r>
            <w:r>
              <w:t xml:space="preserve"> </w:t>
            </w:r>
            <w:r>
              <w:rPr>
                <w:b/>
                <w:i/>
              </w:rPr>
              <w:t>uznáva potenciálny významný vplyv, ktorý môžu mať tieto zatvorenia na</w:t>
            </w:r>
            <w:r>
              <w:t xml:space="preserve"> zraniteľné a okrajové komunity</w:t>
            </w:r>
            <w:r>
              <w:rPr>
                <w:b/>
                <w:i/>
              </w:rPr>
              <w:t>, a zároveň zdôrazňuje príklady inovácií, ktoré niektorým používateľom umožňujú mať zlepšené služby na diaľku vďaka technologickému vývoju;</w:t>
            </w:r>
            <w:r>
              <w:t xml:space="preserve"> </w:t>
            </w:r>
            <w:r>
              <w:rPr>
                <w:b/>
                <w:i/>
              </w:rPr>
              <w:t>pripomína príklady spolupráce rôznych bánk pri poskytovaní fyzických bankových služieb zákazníkom napriek zatvoreniu niektorých bankových pobočiek vo vidieckych aj mestských oblastiach</w:t>
            </w:r>
            <w:r>
              <w:t>; zdôrazňuje úlohu menších bánk v prístupe domácností k službám</w:t>
            </w:r>
            <w:r>
              <w:rPr>
                <w:b/>
                <w:i/>
              </w:rPr>
              <w:t>;</w:t>
            </w:r>
            <w:r>
              <w:t xml:space="preserve"> </w:t>
            </w:r>
            <w:r>
              <w:rPr>
                <w:b/>
                <w:i/>
              </w:rPr>
              <w:t>zdôrazňuje prínos väčších bánk ku konkurencieschopnosti a financovaniu európskeho hospodárstva</w:t>
            </w:r>
            <w:r>
              <w:t xml:space="preserve">; so znepokojením berie na vedomie stratu pracovných miest v súvislosti s umelou inteligenciou </w:t>
            </w:r>
            <w:r>
              <w:rPr>
                <w:b/>
                <w:i/>
              </w:rPr>
              <w:t>a potenciálne nebezpečenstvá spojené s umelou inteligenciou vedúce ku koncentrácii rizík v súvahách bánk</w:t>
            </w:r>
            <w:r>
              <w:t xml:space="preserve">; zdôrazňuje potrebu zabezpečiť </w:t>
            </w:r>
            <w:r>
              <w:rPr>
                <w:b/>
                <w:i/>
              </w:rPr>
              <w:t>veľmi kvalitné riadenie rizika,</w:t>
            </w:r>
            <w:r>
              <w:t xml:space="preserve"> kvalitu pracovných miest, spravodlivé podmienky a spravodlivý prístup k bankovým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vyjadruje poľutovanie nad rastúcim počtom zatvorených bankových pobočiek, čo ovplyvňuje zraniteľné a okrajové komunity; zdôrazňuje úlohu menších bánk </w:t>
            </w:r>
            <w:r>
              <w:rPr>
                <w:b/>
                <w:i/>
              </w:rPr>
              <w:t>v prístupe</w:t>
            </w:r>
            <w:r>
              <w:t xml:space="preserve"> domácností k službám</w:t>
            </w:r>
            <w:r>
              <w:rPr>
                <w:b/>
                <w:i/>
              </w:rPr>
              <w:t>;</w:t>
            </w:r>
            <w:r>
              <w:t xml:space="preserve"> </w:t>
            </w:r>
            <w:r>
              <w:rPr>
                <w:b/>
                <w:i/>
              </w:rPr>
              <w:t>so znepokojením berie na vedomie stratu pracovných miest v súvislosti s umelou inteligenciou;</w:t>
            </w:r>
            <w:r>
              <w:t xml:space="preserve"> zdôrazňuje potrebu </w:t>
            </w:r>
            <w:r>
              <w:rPr>
                <w:b/>
                <w:i/>
              </w:rPr>
              <w:t>zabezpečiť kvalitu pracovných miest, spravodlivé podmienky a spravodlivý prístup k bankovým službám</w:t>
            </w:r>
            <w:r>
              <w:t>;</w:t>
            </w:r>
          </w:p>
        </w:tc>
        <w:tc>
          <w:tcPr>
            <w:tcW w:w="4876" w:type="dxa"/>
            <w:tcBorders>
              <w:top w:val="nil"/>
              <w:left w:val="nil"/>
              <w:bottom w:val="nil"/>
              <w:right w:val="nil"/>
            </w:tcBorders>
          </w:tcPr>
          <w:p>
            <w:pPr>
              <w:pStyle w:val="Normal6a"/>
            </w:pPr>
            <w:r>
              <w:t>13.</w:t>
            </w:r>
            <w:r>
              <w:tab/>
            </w:r>
            <w:r>
              <w:t>vyjadruje poľutovanie nad rastúcim počtom zatvorených bankových pobočiek, čo ovplyvňuje zraniteľné a okrajové komunity; zdôrazňuje</w:t>
            </w:r>
            <w:r>
              <w:rPr>
                <w:b/>
                <w:i/>
              </w:rPr>
              <w:t>, že tento trend je aspoň čiastočne spôsobený nadmernou regulačnou záťažou;</w:t>
            </w:r>
            <w:r>
              <w:t xml:space="preserve"> </w:t>
            </w:r>
            <w:r>
              <w:rPr>
                <w:b/>
                <w:i/>
              </w:rPr>
              <w:t>zdôrazňuje</w:t>
            </w:r>
            <w:r>
              <w:t xml:space="preserve"> úlohu menších bánk </w:t>
            </w:r>
            <w:r>
              <w:rPr>
                <w:b/>
                <w:i/>
              </w:rPr>
              <w:t>pri zabezpečovaní prístupu</w:t>
            </w:r>
            <w:r>
              <w:t xml:space="preserve"> domácností k službám </w:t>
            </w:r>
            <w:r>
              <w:rPr>
                <w:b/>
                <w:i/>
              </w:rPr>
              <w:t>a</w:t>
            </w:r>
            <w:r>
              <w:t xml:space="preserve"> zdôrazňuje potrebu </w:t>
            </w:r>
            <w:r>
              <w:rPr>
                <w:b/>
                <w:i/>
              </w:rPr>
              <w:t>ďalšieho rozvoja malého bankového režimu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vyjadruje poľutovanie nad rastúcim počtom zatvorených bankových pobočiek, čo ovplyvňuje zraniteľné a okrajové komunity; zdôrazňuje úlohu menších bánk v prístupe domácností k službám; so znepokojením berie na vedomie stratu pracovných miest v súvislosti s umelou inteligenciou; zdôrazňuje potrebu zabezpečiť kvalitu pracovných miest, spravodlivé podmienky a spravodlivý prístup k bankovým službám;</w:t>
            </w:r>
          </w:p>
        </w:tc>
        <w:tc>
          <w:tcPr>
            <w:tcW w:w="4876" w:type="dxa"/>
            <w:tcBorders>
              <w:top w:val="nil"/>
              <w:left w:val="nil"/>
              <w:bottom w:val="nil"/>
              <w:right w:val="nil"/>
            </w:tcBorders>
          </w:tcPr>
          <w:p>
            <w:pPr>
              <w:pStyle w:val="Normal6a"/>
            </w:pPr>
            <w:r>
              <w:t>13.</w:t>
            </w:r>
            <w:r>
              <w:tab/>
            </w:r>
            <w:r>
              <w:t xml:space="preserve">vyjadruje poľutovanie nad rastúcim počtom zatvorených bankových pobočiek, čo ovplyvňuje zraniteľné a okrajové komunity; </w:t>
            </w:r>
            <w:r>
              <w:rPr>
                <w:b/>
                <w:i/>
              </w:rPr>
              <w:t>pripomína práva občanov na prístup k základným finančným službám;</w:t>
            </w:r>
            <w:r>
              <w:t xml:space="preserve"> zdôrazňuje úlohu menších bánk v prístupe domácností k službám</w:t>
            </w:r>
            <w:r>
              <w:rPr>
                <w:b/>
                <w:i/>
              </w:rPr>
              <w:t>;</w:t>
            </w:r>
            <w:r>
              <w:t xml:space="preserve"> </w:t>
            </w:r>
            <w:r>
              <w:rPr>
                <w:b/>
                <w:i/>
              </w:rPr>
              <w:t>zdôrazňuje, že rozmanitosť bankových obchodných modelov zvyšuje odolnosť finančného systému</w:t>
            </w:r>
            <w:r>
              <w:t>; so znepokojením berie na vedomie stratu pracovných miest v súvislosti s umelou inteligenciou</w:t>
            </w:r>
            <w:r>
              <w:rPr>
                <w:b/>
                <w:i/>
              </w:rPr>
              <w:t>;</w:t>
            </w:r>
            <w:r>
              <w:t xml:space="preserve"> </w:t>
            </w:r>
            <w:r>
              <w:rPr>
                <w:b/>
                <w:i/>
              </w:rPr>
              <w:t>vyzýva úverové inštitúcie, aby zaviedli politiky rekvalifikácie a zabezpečili ľudský dohľad v automatizovaných rozhodnutiach</w:t>
            </w:r>
            <w:r>
              <w:t>; zdôrazňuje potrebu zabezpečiť kvalitu pracovných miest, spravodlivé podmienky a spravodlivý prístup k bankovým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vyjadruje poľutovanie nad rastúcim počtom zatvorených bankových pobočiek, čo ovplyvňuje zraniteľné </w:t>
            </w:r>
            <w:r>
              <w:rPr>
                <w:b/>
                <w:i/>
              </w:rPr>
              <w:t>a okrajové</w:t>
            </w:r>
            <w:r>
              <w:t xml:space="preserve"> komunity; zdôrazňuje úlohu menších bánk v prístupe domácností k službám; </w:t>
            </w:r>
            <w:r>
              <w:rPr>
                <w:b/>
                <w:i/>
              </w:rPr>
              <w:t>so znepokojením berie na vedomie stratu pracovných miest v súvislosti s umelou inteligenciou;</w:t>
            </w:r>
            <w:r>
              <w:t xml:space="preserve"> zdôrazňuje </w:t>
            </w:r>
            <w:r>
              <w:rPr>
                <w:b/>
                <w:i/>
              </w:rPr>
              <w:t>potrebu zabezpečiť kvalitu</w:t>
            </w:r>
            <w:r>
              <w:t xml:space="preserve"> pracovných miest, </w:t>
            </w:r>
            <w:r>
              <w:rPr>
                <w:b/>
                <w:i/>
              </w:rPr>
              <w:t>spravodlivé podmienky a spravodlivý prístup</w:t>
            </w:r>
            <w:r>
              <w:t xml:space="preserve"> k bankovým službám;</w:t>
            </w:r>
          </w:p>
        </w:tc>
        <w:tc>
          <w:tcPr>
            <w:tcW w:w="4876" w:type="dxa"/>
            <w:tcBorders>
              <w:top w:val="nil"/>
              <w:left w:val="nil"/>
              <w:bottom w:val="nil"/>
              <w:right w:val="nil"/>
            </w:tcBorders>
          </w:tcPr>
          <w:p>
            <w:pPr>
              <w:pStyle w:val="Normal6a"/>
            </w:pPr>
            <w:r>
              <w:t>13.</w:t>
            </w:r>
            <w:r>
              <w:tab/>
            </w:r>
            <w:r>
              <w:t xml:space="preserve">vyjadruje poľutovanie nad rastúcim počtom zatvorených bankových pobočiek </w:t>
            </w:r>
            <w:r>
              <w:rPr>
                <w:b/>
                <w:i/>
              </w:rPr>
              <w:t>vo vidieckych oblastiach</w:t>
            </w:r>
            <w:r>
              <w:t xml:space="preserve">, čo ovplyvňuje zraniteľné komunity; zdôrazňuje úlohu menších bánk v prístupe domácností k službám; zdôrazňuje </w:t>
            </w:r>
            <w:r>
              <w:rPr>
                <w:b/>
                <w:i/>
              </w:rPr>
              <w:t>význam digitalizácie a umelej inteligencie pri posilňovaní účinnosti bankového sektora, ako je zefektívnenie operácií, zníženie nákladov a zlepšenie rýchlosti a kvality služieb zákazníkom, a to pri súčasnom zabezpečení kvality</w:t>
            </w:r>
            <w:r>
              <w:t xml:space="preserve"> pracovných miest, </w:t>
            </w:r>
            <w:r>
              <w:rPr>
                <w:b/>
                <w:i/>
              </w:rPr>
              <w:t>spravodlivých podmienok a spravodlivého prístupu</w:t>
            </w:r>
            <w:r>
              <w:t xml:space="preserve"> k bankovým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vyjadruje poľutovanie nad rastúcim počtom zatvorených bankových pobočiek, čo ovplyvňuje zraniteľné a okrajové komunity; zdôrazňuje úlohu menších bánk v prístupe domácností k službám; so znepokojením berie na vedomie stratu pracovných miest v súvislosti s umelou inteligenciou; zdôrazňuje potrebu zabezpečiť kvalitu pracovných miest, spravodlivé podmienky a spravodlivý prístup k bankovým službám;</w:t>
            </w:r>
          </w:p>
        </w:tc>
        <w:tc>
          <w:tcPr>
            <w:tcW w:w="4876" w:type="dxa"/>
            <w:tcBorders>
              <w:top w:val="nil"/>
              <w:left w:val="nil"/>
              <w:bottom w:val="nil"/>
              <w:right w:val="nil"/>
            </w:tcBorders>
          </w:tcPr>
          <w:p>
            <w:pPr>
              <w:pStyle w:val="Normal6a"/>
            </w:pPr>
            <w:r>
              <w:t>13.</w:t>
            </w:r>
            <w:r>
              <w:tab/>
            </w:r>
            <w:r>
              <w:t>vyjadruje poľutovanie nad rastúcim počtom zatvorených bankových pobočiek, čo ovplyvňuje zraniteľné a okrajové komunity</w:t>
            </w:r>
            <w:r>
              <w:rPr>
                <w:b/>
                <w:i/>
              </w:rPr>
              <w:t>, okrem iného v dôsledku rastúceho regulačného zaťaženia</w:t>
            </w:r>
            <w:r>
              <w:t xml:space="preserve">; zdôrazňuje úlohu menších bánk v prístupe domácností k službám; so znepokojením berie na vedomie stratu pracovných miest v súvislosti s umelou inteligenciou; zdôrazňuje potrebu zabezpečiť kvalitu pracovných miest, spravodlivé podmienky a spravodlivý prístup k bankovým službám; </w:t>
            </w:r>
            <w:r>
              <w:rPr>
                <w:b/>
                <w:i/>
              </w:rPr>
              <w:t>víta prístup k zavedeniu malého bankového režimu;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vyjadruje poľutovanie nad rastúcim počtom zatvorených bankových pobočiek, čo ovplyvňuje zraniteľné a okrajové komunity; zdôrazňuje úlohu menších bánk v prístupe domácností k službám; so znepokojením berie na vedomie stratu pracovných miest v súvislosti s umelou inteligenciou; zdôrazňuje potrebu zabezpečiť kvalitu pracovných miest, spravodlivé podmienky a spravodlivý prístup k bankovým službám;</w:t>
            </w:r>
          </w:p>
        </w:tc>
        <w:tc>
          <w:tcPr>
            <w:tcW w:w="4876" w:type="dxa"/>
            <w:tcBorders>
              <w:top w:val="nil"/>
              <w:left w:val="nil"/>
              <w:bottom w:val="nil"/>
              <w:right w:val="nil"/>
            </w:tcBorders>
          </w:tcPr>
          <w:p>
            <w:pPr>
              <w:pStyle w:val="Normal6a"/>
            </w:pPr>
            <w:r>
              <w:t>13.</w:t>
            </w:r>
            <w:r>
              <w:tab/>
            </w:r>
            <w:r>
              <w:t>vyjadruje poľutovanie nad rastúcim počtom zatvorených bankových pobočiek, čo ovplyvňuje zraniteľné a okrajové komunity</w:t>
            </w:r>
            <w:r>
              <w:rPr>
                <w:b/>
                <w:i/>
              </w:rPr>
              <w:t>, čiastočne z dôvodu rastúceho regulačného zaťaženia</w:t>
            </w:r>
            <w:r>
              <w:t xml:space="preserve">; zdôrazňuje úlohu menších bánk v prístupe domácností k službám; so znepokojením berie na vedomie stratu pracovných miest v súvislosti s umelou inteligenciou; zdôrazňuje potrebu zabezpečiť kvalitu pracovných miest, spravodlivé podmienky a spravodlivý prístup k bankovým službám; </w:t>
            </w:r>
            <w:r>
              <w:rPr>
                <w:b/>
                <w:i/>
              </w:rPr>
              <w:t>víta prístup k zavedeniu malého bankového režimu;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vyjadruje poľutovanie nad rastúcim počtom zatvorených bankových pobočiek, čo </w:t>
            </w:r>
            <w:r>
              <w:rPr>
                <w:b/>
                <w:i/>
              </w:rPr>
              <w:t>ovplyvňuje</w:t>
            </w:r>
            <w:r>
              <w:t xml:space="preserve"> zraniteľné a okrajové komunity; zdôrazňuje úlohu menších bánk v prístupe domácností k službám; so znepokojením berie na vedomie stratu pracovných miest v súvislosti s umelou inteligenciou; zdôrazňuje potrebu zabezpečiť kvalitu pracovných miest, spravodlivé podmienky a spravodlivý prístup k bankovým službám;</w:t>
            </w:r>
          </w:p>
        </w:tc>
        <w:tc>
          <w:tcPr>
            <w:tcW w:w="4876" w:type="dxa"/>
            <w:tcBorders>
              <w:top w:val="nil"/>
              <w:left w:val="nil"/>
              <w:bottom w:val="nil"/>
              <w:right w:val="nil"/>
            </w:tcBorders>
          </w:tcPr>
          <w:p>
            <w:pPr>
              <w:pStyle w:val="Normal6a"/>
            </w:pPr>
            <w:r>
              <w:t>13.</w:t>
            </w:r>
            <w:r>
              <w:tab/>
            </w:r>
            <w:r>
              <w:t xml:space="preserve">vyjadruje poľutovanie nad rastúcim počtom zatvorených bankových pobočiek, čo </w:t>
            </w:r>
            <w:r>
              <w:rPr>
                <w:b/>
                <w:i/>
              </w:rPr>
              <w:t>je čiastočne spôsobené rastúcim regulačným zaťažením;</w:t>
            </w:r>
            <w:r>
              <w:t xml:space="preserve"> </w:t>
            </w:r>
            <w:r>
              <w:rPr>
                <w:b/>
                <w:i/>
              </w:rPr>
              <w:t>v tejto súvislosti víta prístup k zavedeniu malého bankového režimu;</w:t>
            </w:r>
            <w:r>
              <w:t xml:space="preserve"> </w:t>
            </w:r>
            <w:r>
              <w:rPr>
                <w:b/>
                <w:i/>
              </w:rPr>
              <w:t>konštatuje tiež, že tieto zatvorenia neúmerne postihujú</w:t>
            </w:r>
            <w:r>
              <w:t xml:space="preserve"> zraniteľné a okrajové komunity; zdôrazňuje úlohu menších bánk v prístupe domácností k službám; so znepokojením berie na vedomie stratu pracovných miest v súvislosti s umelou inteligenciou; zdôrazňuje potrebu zabezpečiť kvalitu pracovných miest, spravodlivé podmienky a spravodlivý prístup k bankovým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zdôrazňuje závažnosť rastúceho javu zatvárania bankových pobočiek a následné riziko tzv. bankovej púšte, ktorá postihuje najmä najzraniteľnejších občanov a oblasti EÚ, ktoré sú najviac ovplyvňované digitálnou priepasťou; </w:t>
            </w:r>
            <w:r>
              <w:t xml:space="preserve"> </w:t>
            </w:r>
            <w:r>
              <w:rPr>
                <w:b/>
                <w:i/>
              </w:rPr>
              <w:t>zdôrazňuje zásadnú úlohu stredných a malých bánk pri zabezpečovaní základných bankových služieb, najmä vo vidieckych, horských, vnútrozemských, ostrovných a najvzdialenejších oblastiach EÚ, na podporu domácností, MSP a miestnych hospodárstiev; </w:t>
            </w:r>
            <w:r>
              <w:t xml:space="preserve"> </w:t>
            </w:r>
            <w:r>
              <w:rPr>
                <w:b/>
                <w:i/>
              </w:rPr>
              <w:t>zdôrazňuje potrebu znížiť regulačné zaťaženie týchto subjektov, ktoré zohrávajú dôležitú sociálno-ekonomickú úlohu, a to uplatňovaním zásady proporcionality v bankovom dohľade;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uznáva štrukturálne zmeny v bankových obchodných modeloch vrátane tých, ktoré vyplývajú z digitalizácie, a zdôrazňuje, že je dôležité zabezpečiť, aby rodiny a MSP mali naďalej účinný prístup k základným finančným službám;</w:t>
            </w:r>
            <w:r>
              <w:t xml:space="preserve"> </w:t>
            </w:r>
            <w:r>
              <w:rPr>
                <w:b/>
                <w:i/>
              </w:rPr>
              <w:t>zdôrazňuje úlohu, ktorú môžu v tejto súvislosti zohrávať menšie subjekty a nové digitálne kanály;</w:t>
            </w:r>
            <w:r>
              <w:t xml:space="preserve"> </w:t>
            </w:r>
            <w:r>
              <w:rPr>
                <w:b/>
                <w:i/>
              </w:rPr>
              <w:t>poukazuje na to, že zavádzanie nových technológií vrátane umelej inteligencie sa musí riadiť zodpovedne, pričom sa musí podporovať prispôsobenie zručností a produktivita bez toho, aby sa bránilo inováciám a konkurencieschopnosti európskeho finančného sektora;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vyzýva Európsku komisiu, aby preskúmala vhodnosť iniciatív zameraných na to, aby na celom území členských štátov bola jednotným spôsobom zabezpečená minimálna úroveň fyzického prístupu k finančným službám, a aby ako reakciu na jav bankovej púšte zvážila pridelenie časti zvýšenia ziskovosti na podporu siete bankových pobočiek;</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uznáva </w:t>
            </w:r>
            <w:r>
              <w:rPr>
                <w:b/>
                <w:i/>
              </w:rPr>
              <w:t>riziká a príležitosti, ktoré prinášajú kryptoaktíva</w:t>
            </w:r>
            <w:r>
              <w:t xml:space="preserve">; požaduje </w:t>
            </w:r>
            <w:r>
              <w:rPr>
                <w:b/>
                <w:i/>
              </w:rPr>
              <w:t>dôsledný dohľad v tejto oblasti s cieľom zabezpečiť, aby inovácie slúžili verejnosti</w:t>
            </w:r>
            <w:r>
              <w:t>; vyzýva orgány EÚ a vnútroštátne orgány, aby monitorovali expozície, riešili riziká špekulácií, bojovali proti finančnej trestnej činnosti a chránili spotrebiteľov;</w:t>
            </w:r>
          </w:p>
        </w:tc>
        <w:tc>
          <w:tcPr>
            <w:tcW w:w="4876" w:type="dxa"/>
            <w:tcBorders>
              <w:top w:val="nil"/>
              <w:left w:val="nil"/>
              <w:bottom w:val="nil"/>
              <w:right w:val="nil"/>
            </w:tcBorders>
          </w:tcPr>
          <w:p>
            <w:pPr>
              <w:pStyle w:val="Normal6a"/>
            </w:pPr>
            <w:r>
              <w:t>14.</w:t>
            </w:r>
            <w:r>
              <w:tab/>
            </w:r>
            <w:r>
              <w:t xml:space="preserve">uznáva </w:t>
            </w:r>
            <w:r>
              <w:rPr>
                <w:b/>
                <w:i/>
              </w:rPr>
              <w:t>tokenizáciu rizík a príležitostí finančných aktív</w:t>
            </w:r>
            <w:r>
              <w:t xml:space="preserve">; požaduje </w:t>
            </w:r>
            <w:r>
              <w:rPr>
                <w:b/>
                <w:i/>
              </w:rPr>
              <w:t>primeraný prístup k regulácii a dohľadu založený na zásadách, ktorý nebráni inováciám</w:t>
            </w:r>
            <w:r>
              <w:t>; vyzýva orgány EÚ a vnútroštátne orgány, aby monitorovali expozície, riešili riziká špekulácií, bojovali proti finančnej trestnej činnosti a chránili spotrebiteľov;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uznáva</w:t>
            </w:r>
            <w:r>
              <w:t xml:space="preserve"> riziká </w:t>
            </w:r>
            <w:r>
              <w:rPr>
                <w:b/>
                <w:i/>
              </w:rPr>
              <w:t>a príležitosti</w:t>
            </w:r>
            <w:r>
              <w:t xml:space="preserve">, ktoré prinášajú kryptoaktíva; požaduje dôsledný dohľad v tejto oblasti s cieľom zabezpečiť, aby inovácie slúžili verejnosti; vyzýva orgány EÚ a vnútroštátne orgány, aby monitorovali expozície, riešili riziká </w:t>
            </w:r>
            <w:r>
              <w:rPr>
                <w:b/>
                <w:i/>
              </w:rPr>
              <w:t>špekulácií</w:t>
            </w:r>
            <w:r>
              <w:t>, bojovali proti finančnej trestnej činnosti a chránili spotrebiteľov;</w:t>
            </w:r>
          </w:p>
        </w:tc>
        <w:tc>
          <w:tcPr>
            <w:tcW w:w="4876" w:type="dxa"/>
            <w:tcBorders>
              <w:top w:val="nil"/>
              <w:left w:val="nil"/>
              <w:bottom w:val="nil"/>
              <w:right w:val="nil"/>
            </w:tcBorders>
          </w:tcPr>
          <w:p>
            <w:pPr>
              <w:pStyle w:val="Normal6a"/>
            </w:pPr>
            <w:r>
              <w:t>14.</w:t>
            </w:r>
            <w:r>
              <w:tab/>
            </w:r>
            <w:r>
              <w:rPr>
                <w:b/>
                <w:i/>
              </w:rPr>
              <w:t>zdôrazňuje</w:t>
            </w:r>
            <w:r>
              <w:t xml:space="preserve"> riziká, ktoré prinášajú kryptoaktíva; požaduje dôsledný dohľad v tejto oblasti s cieľom zabezpečiť, aby inovácie slúžili verejnosti; vyzýva orgány EÚ a vnútroštátne orgány, aby monitorovali expozície, riešili riziká, bojovali proti </w:t>
            </w:r>
            <w:r>
              <w:rPr>
                <w:b/>
                <w:i/>
              </w:rPr>
              <w:t>špekulatívnemu správaniu a</w:t>
            </w:r>
            <w:r>
              <w:t xml:space="preserve"> finančnej trestnej činnosti a chránili spotrebiteľov;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uznáva</w:t>
            </w:r>
            <w:r>
              <w:t xml:space="preserve"> riziká </w:t>
            </w:r>
            <w:r>
              <w:rPr>
                <w:b/>
                <w:i/>
              </w:rPr>
              <w:t>a príležitosti</w:t>
            </w:r>
            <w:r>
              <w:t xml:space="preserve">, ktoré </w:t>
            </w:r>
            <w:r>
              <w:rPr>
                <w:b/>
                <w:i/>
              </w:rPr>
              <w:t>prinášajú</w:t>
            </w:r>
            <w:r>
              <w:t xml:space="preserve"> kryptoaktíva; požaduje dôsledný dohľad v tejto oblasti s cieľom zabezpečiť, aby inovácie slúžili verejnosti; vyzýva orgány EÚ a vnútroštátne orgány, aby monitorovali expozície, riešili riziká špekulácií, bojovali proti finančnej trestnej činnosti a chránili spotrebiteľov;</w:t>
            </w:r>
          </w:p>
        </w:tc>
        <w:tc>
          <w:tcPr>
            <w:tcW w:w="4876" w:type="dxa"/>
            <w:tcBorders>
              <w:top w:val="nil"/>
              <w:left w:val="nil"/>
              <w:bottom w:val="nil"/>
              <w:right w:val="nil"/>
            </w:tcBorders>
          </w:tcPr>
          <w:p>
            <w:pPr>
              <w:pStyle w:val="Normal6a"/>
            </w:pPr>
            <w:r>
              <w:t>14.</w:t>
            </w:r>
            <w:r>
              <w:tab/>
            </w:r>
            <w:r>
              <w:rPr>
                <w:b/>
                <w:i/>
              </w:rPr>
              <w:t>zdôrazňuje osobitné</w:t>
            </w:r>
            <w:r>
              <w:t xml:space="preserve"> riziká, ktoré </w:t>
            </w:r>
            <w:r>
              <w:rPr>
                <w:b/>
                <w:i/>
              </w:rPr>
              <w:t>predstavujú</w:t>
            </w:r>
            <w:r>
              <w:t xml:space="preserve"> kryptoaktíva</w:t>
            </w:r>
            <w:r>
              <w:rPr>
                <w:b/>
                <w:i/>
              </w:rPr>
              <w:t>;</w:t>
            </w:r>
            <w:r>
              <w:t xml:space="preserve"> </w:t>
            </w:r>
            <w:r>
              <w:rPr>
                <w:b/>
                <w:i/>
              </w:rPr>
              <w:t>pripomína, že kryptoaktíva sú veľmi volatilné a neproduktívne aktíva, ktoré sa väčšinou používajú na špekulatívne účely</w:t>
            </w:r>
            <w:r>
              <w:t>; požaduje dôsledný dohľad v tejto oblasti s cieľom zabezpečiť, aby inovácie slúžili verejnosti; vyzýva orgány EÚ a vnútroštátne orgány, aby monitorovali expozície, riešili riziká špekulácií, bojovali proti finančnej trestnej činnosti a chránili spotrebiteľov;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uznáva riziká a príležitosti, ktoré prinášajú kryptoaktíva; požaduje dôsledný dohľad </w:t>
            </w:r>
            <w:r>
              <w:rPr>
                <w:b/>
                <w:i/>
              </w:rPr>
              <w:t>v tejto oblasti s cieľom zabezpečiť, aby</w:t>
            </w:r>
            <w:r>
              <w:t xml:space="preserve"> inovácie </w:t>
            </w:r>
            <w:r>
              <w:rPr>
                <w:b/>
                <w:i/>
              </w:rPr>
              <w:t>slúžili verejnosti</w:t>
            </w:r>
            <w:r>
              <w:t>; vyzýva orgány EÚ a vnútroštátne orgány, aby monitorovali expozície, riešili riziká špekulácií, bojovali proti finančnej trestnej činnosti a chránili spotrebiteľov;</w:t>
            </w:r>
          </w:p>
        </w:tc>
        <w:tc>
          <w:tcPr>
            <w:tcW w:w="4876" w:type="dxa"/>
            <w:tcBorders>
              <w:top w:val="nil"/>
              <w:left w:val="nil"/>
              <w:bottom w:val="nil"/>
              <w:right w:val="nil"/>
            </w:tcBorders>
          </w:tcPr>
          <w:p>
            <w:pPr>
              <w:pStyle w:val="Normal6a"/>
            </w:pPr>
            <w:r>
              <w:t>14.</w:t>
            </w:r>
            <w:r>
              <w:tab/>
            </w:r>
            <w:r>
              <w:t xml:space="preserve">uznáva riziká a príležitosti, ktoré prinášajú kryptoaktíva; požaduje dôsledný dohľad </w:t>
            </w:r>
            <w:r>
              <w:rPr>
                <w:b/>
                <w:i/>
              </w:rPr>
              <w:t>priaznivý pre</w:t>
            </w:r>
            <w:r>
              <w:t xml:space="preserve"> inovácie; vyzýva orgány EÚ a vnútroštátne orgány, aby monitorovali expozície, riešili riziká špekulácií, bojovali proti finančnej trestnej činnosti a chránili spotrebiteľov;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uznáva riziká a príležitosti, ktoré prinášajú kryptoaktíva; požaduje </w:t>
            </w:r>
            <w:r>
              <w:rPr>
                <w:b/>
                <w:i/>
              </w:rPr>
              <w:t>dôsledný</w:t>
            </w:r>
            <w:r>
              <w:t xml:space="preserve"> dohľad v tejto oblasti s cieľom zabezpečiť, aby inovácie slúžili verejnosti; vyzýva orgány EÚ a vnútroštátne orgány, aby monitorovali expozície, riešili riziká špekulácií, bojovali proti finančnej trestnej činnosti a chránili spotrebiteľov;</w:t>
            </w:r>
          </w:p>
        </w:tc>
        <w:tc>
          <w:tcPr>
            <w:tcW w:w="4876" w:type="dxa"/>
            <w:tcBorders>
              <w:top w:val="nil"/>
              <w:left w:val="nil"/>
              <w:bottom w:val="nil"/>
              <w:right w:val="nil"/>
            </w:tcBorders>
          </w:tcPr>
          <w:p>
            <w:pPr>
              <w:pStyle w:val="Normal6a"/>
            </w:pPr>
            <w:r>
              <w:t>14.</w:t>
            </w:r>
            <w:r>
              <w:tab/>
            </w:r>
            <w:r>
              <w:t xml:space="preserve">uznáva riziká a príležitosti, ktoré prinášajú kryptoaktíva; požaduje </w:t>
            </w:r>
            <w:r>
              <w:rPr>
                <w:b/>
                <w:i/>
              </w:rPr>
              <w:t>riadny</w:t>
            </w:r>
            <w:r>
              <w:t xml:space="preserve"> dohľad v tejto oblasti s cieľom zabezpečiť, aby inovácie slúžili verejnosti; vyzýva orgány EÚ a vnútroštátne orgány, aby monitorovali expozície, riešili riziká špekulácií, bojovali proti finančnej trestnej činnosti a chránili spotrebiteľov;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uznáva riziká a príležitosti, ktoré prinášajú kryptoaktíva; požaduje dôsledný dohľad v tejto oblasti s cieľom zabezpečiť, aby inovácie slúžili verejnosti; vyzýva orgány EÚ a vnútroštátne orgány, aby monitorovali expozície, riešili riziká špekulácií, bojovali proti finančnej trestnej činnosti a chránili spotrebiteľov;</w:t>
            </w:r>
          </w:p>
        </w:tc>
        <w:tc>
          <w:tcPr>
            <w:tcW w:w="4876" w:type="dxa"/>
            <w:tcBorders>
              <w:top w:val="nil"/>
              <w:left w:val="nil"/>
              <w:bottom w:val="nil"/>
              <w:right w:val="nil"/>
            </w:tcBorders>
          </w:tcPr>
          <w:p>
            <w:pPr>
              <w:pStyle w:val="Normal6a"/>
            </w:pPr>
            <w:r>
              <w:t>14.</w:t>
            </w:r>
            <w:r>
              <w:tab/>
            </w:r>
            <w:r>
              <w:t xml:space="preserve">uznáva riziká a príležitosti, ktoré prinášajú kryptoaktíva; požaduje dôsledný dohľad v tejto oblasti s cieľom zabezpečiť, aby inovácie slúžili verejnosti; vyzýva orgány EÚ a vnútroštátne orgány, aby monitorovali expozície, riešili riziká špekulácií, bojovali proti finančnej trestnej činnosti a chránili spotrebiteľov; </w:t>
            </w:r>
            <w:r>
              <w:rPr>
                <w:b/>
                <w:i/>
              </w:rPr>
              <w:t>zdôrazňuje význam globálnych noriem v tejto oblasti a potrebu preskúmať spôsoby, ako podporiť rozvoj stablecoinov denominovaných v eurách, s cieľom zachovať menovú suverenitu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vyzýva Komisiu, EBA a príslušné vnútroštátne orgány v rámci bankovej únie, aby zabezpečili prísne, konzistentné a dôsledné vykonávanie a presadzovanie nariadenia (EÚ) 2023/1114 (nariadenia o trhoch s kryptoaktívami) ako potrebného doplnku rámca finančnej stability Únie založeného na bankách;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uznáva riziká, ktoré pre banky EÚ predstavujú stablecoiny z tretích krajín s viacerými emisiami, a to, že regulačná arbitráž medzi jurisdikciami by mohla potenciálne viesť k masívnemu vyberaniu vkladov z bánk EÚ a mať účinky presahovania;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vyzýva Komisiu, EBA a príslušné vnútroštátne orgány, aby náležite zohľadnili stanoviská, rady a odporúčania ECB a ESRB;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zdôrazňuje, že akákoľvek zhovievavosť v oblasti dohľadu, fragmentácia alebo výnimky pri uplatňovaní nariadenia o trhoch s kryptoaktívami by zvýšili riziko paniky v súvislosti so stablecoinami, ktorá by sa mohla rozšíriť na banky, trhy so štátnymi dlhopismi a platobné systémy v rámci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víta reformu</w:t>
            </w:r>
            <w:r>
              <w:t xml:space="preserve"> krízového riadenia a ochrany vkladov (CMDI) </w:t>
            </w:r>
            <w:r>
              <w:rPr>
                <w:b/>
                <w:i/>
              </w:rPr>
              <w:t>v záujme súdržného krízového riadenia a ochrany vkladov, posilnenia stability, ochrany úspor a daňovníkov;</w:t>
            </w:r>
            <w:r>
              <w:t xml:space="preserve"> </w:t>
            </w:r>
            <w:r>
              <w:rPr>
                <w:b/>
                <w:i/>
              </w:rPr>
              <w:t>zdôrazňuje potrebu flexibility pre menšie banky a pre orgány, aby mali účinné nástroje na zabezpečenie odolnej a sociálne zodpovednej bankovej únie</w:t>
            </w:r>
            <w:r>
              <w:t>;</w:t>
            </w:r>
          </w:p>
        </w:tc>
        <w:tc>
          <w:tcPr>
            <w:tcW w:w="4876" w:type="dxa"/>
            <w:tcBorders>
              <w:top w:val="nil"/>
              <w:left w:val="nil"/>
              <w:bottom w:val="nil"/>
              <w:right w:val="nil"/>
            </w:tcBorders>
          </w:tcPr>
          <w:p>
            <w:pPr>
              <w:pStyle w:val="Normal6a"/>
            </w:pPr>
            <w:r>
              <w:t>15.</w:t>
            </w:r>
            <w:r>
              <w:tab/>
            </w:r>
            <w:r>
              <w:rPr>
                <w:b/>
                <w:i/>
              </w:rPr>
              <w:t>vyjadruje znepokojenie nad súčasnou reformou</w:t>
            </w:r>
            <w:r>
              <w:t xml:space="preserve"> krízového riadenia a ochrany vkladov (CMDI)</w:t>
            </w:r>
            <w:r>
              <w:rPr>
                <w:b/>
                <w:i/>
              </w:rPr>
              <w:t>;</w:t>
            </w:r>
            <w:r>
              <w:t xml:space="preserve"> </w:t>
            </w:r>
            <w:r>
              <w:rPr>
                <w:b/>
                <w:i/>
              </w:rPr>
              <w:t>odmieta akúkoľvek koncepciu, ktorá maskuje základné riziká platobnej neschopnosti prostredníctvom zložitých zabezpečovacích mechanizmov a rozdelenia rizika, a kritizuje samotný pojem mutualizácie strát medzi členskými štátmi, čo by v podstate viedlo k socializácii bankových rizík a zníženiu trhovej disciplíny;</w:t>
            </w:r>
            <w:r>
              <w:t xml:space="preserve"> </w:t>
            </w:r>
            <w:r>
              <w:rPr>
                <w:b/>
                <w:i/>
              </w:rPr>
              <w:t>súčasný rámec CMDI by nemal odôvodňovať predčasné rozšírenie cezhraničného rozdelenia rizika bez jasných mechanizmov ukončenia a zodpovednosti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víta</w:t>
            </w:r>
            <w:r>
              <w:t xml:space="preserve"> reformu krízového riadenia a ochrany vkladov (CMDI) v záujme </w:t>
            </w:r>
            <w:r>
              <w:rPr>
                <w:b/>
                <w:i/>
              </w:rPr>
              <w:t>súdržného</w:t>
            </w:r>
            <w:r>
              <w:t xml:space="preserve"> krízového riadenia a ochrany vkladov, posilnenia stability, ochrany úspor a daňovníkov; zdôrazňuje potrebu flexibility pre </w:t>
            </w:r>
            <w:r>
              <w:rPr>
                <w:b/>
                <w:i/>
              </w:rPr>
              <w:t>menšie</w:t>
            </w:r>
            <w:r>
              <w:t xml:space="preserve"> banky a pre orgány, aby mali účinné nástroje na zabezpečenie odolnej a </w:t>
            </w:r>
            <w:r>
              <w:rPr>
                <w:b/>
                <w:i/>
              </w:rPr>
              <w:t>sociálne zodpovednej</w:t>
            </w:r>
            <w:r>
              <w:t xml:space="preserve"> bankovej únie;</w:t>
            </w:r>
          </w:p>
        </w:tc>
        <w:tc>
          <w:tcPr>
            <w:tcW w:w="4876" w:type="dxa"/>
            <w:tcBorders>
              <w:top w:val="nil"/>
              <w:left w:val="nil"/>
              <w:bottom w:val="nil"/>
              <w:right w:val="nil"/>
            </w:tcBorders>
          </w:tcPr>
          <w:p>
            <w:pPr>
              <w:pStyle w:val="Normal6a"/>
            </w:pPr>
            <w:r>
              <w:t>15.</w:t>
            </w:r>
            <w:r>
              <w:tab/>
            </w:r>
            <w:r>
              <w:rPr>
                <w:b/>
                <w:i/>
              </w:rPr>
              <w:t>berie na vedomie</w:t>
            </w:r>
            <w:r>
              <w:t xml:space="preserve"> reformu </w:t>
            </w:r>
            <w:r>
              <w:rPr>
                <w:b/>
                <w:i/>
              </w:rPr>
              <w:t>rámca</w:t>
            </w:r>
            <w:r>
              <w:t xml:space="preserve"> krízového riadenia a ochrany vkladov (CMDI) v záujme </w:t>
            </w:r>
            <w:r>
              <w:rPr>
                <w:b/>
                <w:i/>
              </w:rPr>
              <w:t>zlepšenia</w:t>
            </w:r>
            <w:r>
              <w:t xml:space="preserve"> krízového riadenia a ochrany vkladov, posilnenia stability, ochrany úspor a daňovníkov; zdôrazňuje potrebu flexibility pre </w:t>
            </w:r>
            <w:r>
              <w:rPr>
                <w:b/>
                <w:i/>
              </w:rPr>
              <w:t>malé a stredné</w:t>
            </w:r>
            <w:r>
              <w:t xml:space="preserve"> banky a pre orgány, aby mali účinné nástroje na zabezpečenie odolnej a bankovej únie; </w:t>
            </w:r>
            <w:r>
              <w:rPr>
                <w:b/>
                <w:i/>
              </w:rPr>
              <w:t>zdôrazňuje, že riešenie krízových situácií by malo byť štandardnou možnosťou len pre tie banky, ktorých zlyhanie by malo vplyv na finančnú stabilitu, a že platobná neschopnosť preto zostáva štandardom pre malé a stredné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potrebu flexibility pre menšie banky a pre orgány, aby mali účinné nástroje na </w:t>
            </w:r>
            <w:r>
              <w:rPr>
                <w:b/>
                <w:i/>
              </w:rPr>
              <w:t>zabezpečenie odolnej a sociálne zodpovednej bankovej únie</w:t>
            </w:r>
            <w:r>
              <w:t>;</w:t>
            </w:r>
          </w:p>
        </w:tc>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potrebu flexibility pre menšie banky a pre orgány, aby mali účinné nástroje na </w:t>
            </w:r>
            <w:r>
              <w:rPr>
                <w:b/>
                <w:i/>
              </w:rPr>
              <w:t>reakciu na zlyhania bánk a ochranu finančnej stability, a to aj v systémovom scenári</w:t>
            </w:r>
            <w:r>
              <w:t xml:space="preserve">; </w:t>
            </w:r>
            <w:r>
              <w:rPr>
                <w:b/>
                <w:i/>
              </w:rPr>
              <w:t>opakuje, že cieľom riešenia krízových situácií bánk je chrániť finančnú stabilitu a zabezpečiť kritické funkcie bánk, a nie zachraňovať veriteľov alebo akcionárov;</w:t>
            </w:r>
            <w:r>
              <w:t xml:space="preserve"> </w:t>
            </w:r>
            <w:r>
              <w:rPr>
                <w:b/>
                <w:i/>
              </w:rPr>
              <w:t>zdôrazňuje, že riešenie krízovej situácie zlyhávajúcej banky prostredníctvom bežného konkurzného konania by malo zostať štandardom pre banky, ktoré nie sú systémovo dôležité, a ak to najúčinnejšie chráni kritické funkcie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w:t>
            </w:r>
            <w:r>
              <w:rPr>
                <w:b/>
                <w:i/>
              </w:rPr>
              <w:t>potrebu flexibility pre menšie banky a pre</w:t>
            </w:r>
            <w:r>
              <w:t xml:space="preserve"> orgány</w:t>
            </w:r>
            <w:r>
              <w:rPr>
                <w:b/>
                <w:i/>
              </w:rPr>
              <w:t>, aby</w:t>
            </w:r>
            <w:r>
              <w:t xml:space="preserve"> mali účinné nástroje na zabezpečenie odolnej a sociálne zodpovednej bankovej únie;</w:t>
            </w:r>
          </w:p>
        </w:tc>
        <w:tc>
          <w:tcPr>
            <w:tcW w:w="4876" w:type="dxa"/>
            <w:tcBorders>
              <w:top w:val="nil"/>
              <w:left w:val="nil"/>
              <w:bottom w:val="nil"/>
              <w:right w:val="nil"/>
            </w:tcBorders>
          </w:tcPr>
          <w:p>
            <w:pPr>
              <w:pStyle w:val="Normal6a"/>
            </w:pPr>
            <w:r>
              <w:t>15.</w:t>
            </w:r>
            <w:r>
              <w:tab/>
            </w:r>
            <w:r>
              <w:t>víta reformu krízového riadenia a ochrany vkladov (CMDI) v záujme súdržného krízového riadenia a ochrany vkladov, posilnenia stability, ochrany úspor a daňovníkov; zdôrazňuje</w:t>
            </w:r>
            <w:r>
              <w:rPr>
                <w:b/>
                <w:i/>
              </w:rPr>
              <w:t>, že je potrebné, aby</w:t>
            </w:r>
            <w:r>
              <w:t xml:space="preserve"> orgány mali účinné </w:t>
            </w:r>
            <w:r>
              <w:rPr>
                <w:b/>
                <w:i/>
              </w:rPr>
              <w:t>a primerané</w:t>
            </w:r>
            <w:r>
              <w:t xml:space="preserve"> nástroje na zabezpečenie odolnej a sociálne zodpovednej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potrebu flexibility pre menšie banky a pre orgány, aby mali účinné nástroje </w:t>
            </w:r>
            <w:r>
              <w:rPr>
                <w:b/>
                <w:i/>
              </w:rPr>
              <w:t>na zabezpečenie</w:t>
            </w:r>
            <w:r>
              <w:t xml:space="preserve"> odolnej a </w:t>
            </w:r>
            <w:r>
              <w:rPr>
                <w:b/>
                <w:i/>
              </w:rPr>
              <w:t>sociálne zodpovednej</w:t>
            </w:r>
            <w:r>
              <w:t xml:space="preserve"> bankovej </w:t>
            </w:r>
            <w:r>
              <w:rPr>
                <w:b/>
                <w:i/>
              </w:rPr>
              <w:t>únie</w:t>
            </w:r>
            <w:r>
              <w:t>;</w:t>
            </w:r>
          </w:p>
        </w:tc>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potrebu flexibility pre menšie banky a pre orgány, aby mali účinné nástroje </w:t>
            </w:r>
            <w:r>
              <w:rPr>
                <w:b/>
                <w:i/>
              </w:rPr>
              <w:t>podporované regulačným rámcom, ktorý podporuje rozvoj bánk a prispieva k</w:t>
            </w:r>
            <w:r>
              <w:t xml:space="preserve"> odolnej a </w:t>
            </w:r>
            <w:r>
              <w:rPr>
                <w:b/>
                <w:i/>
              </w:rPr>
              <w:t>finančne stabilnej</w:t>
            </w:r>
            <w:r>
              <w:t xml:space="preserve"> bankovej </w:t>
            </w:r>
            <w:r>
              <w:rPr>
                <w:b/>
                <w:i/>
              </w:rPr>
              <w:t>únii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potrebu flexibility pre menšie banky a pre orgány, aby mali účinné nástroje na zabezpečenie odolnej </w:t>
            </w:r>
            <w:r>
              <w:rPr>
                <w:b/>
                <w:i/>
              </w:rPr>
              <w:t>a sociálne zodpovednej</w:t>
            </w:r>
            <w:r>
              <w:t xml:space="preserve"> bankovej únie;</w:t>
            </w:r>
          </w:p>
        </w:tc>
        <w:tc>
          <w:tcPr>
            <w:tcW w:w="4876" w:type="dxa"/>
            <w:tcBorders>
              <w:top w:val="nil"/>
              <w:left w:val="nil"/>
              <w:bottom w:val="nil"/>
              <w:right w:val="nil"/>
            </w:tcBorders>
          </w:tcPr>
          <w:p>
            <w:pPr>
              <w:pStyle w:val="Normal6a"/>
            </w:pPr>
            <w:r>
              <w:t>15.</w:t>
            </w:r>
            <w:r>
              <w:tab/>
            </w:r>
            <w:r>
              <w:t>víta reformu krízového riadenia a ochrany vkladov (CMDI) v záujme súdržného krízového riadenia a ochrany vkladov, posilnenia stability, ochrany úspor a daňovníkov; zdôrazňuje potrebu flexibility pre menšie banky a pre orgány, aby mali účinné nástroje na zabezpečenie odolnej bankovej únie;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w:t>
            </w:r>
            <w:r>
              <w:rPr>
                <w:b/>
                <w:i/>
              </w:rPr>
              <w:t>potrebu flexibility pre menšie banky a pre</w:t>
            </w:r>
            <w:r>
              <w:t xml:space="preserve"> orgány</w:t>
            </w:r>
            <w:r>
              <w:rPr>
                <w:b/>
                <w:i/>
              </w:rPr>
              <w:t>, aby</w:t>
            </w:r>
            <w:r>
              <w:t xml:space="preserve"> mali účinné nástroje na zabezpečenie odolnej a sociálne zodpovednej bankovej únie;</w:t>
            </w:r>
          </w:p>
        </w:tc>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w:t>
            </w:r>
            <w:r>
              <w:rPr>
                <w:b/>
                <w:i/>
              </w:rPr>
              <w:t>a zabezpečenia lepšieho využívania verejných finančných prostriedkov na riešenie krízových situácií vo verejnom záujme</w:t>
            </w:r>
            <w:r>
              <w:t xml:space="preserve">; zdôrazňuje </w:t>
            </w:r>
            <w:r>
              <w:rPr>
                <w:b/>
                <w:i/>
              </w:rPr>
              <w:t>význam jasného regulačného rámca a toho, aby</w:t>
            </w:r>
            <w:r>
              <w:t xml:space="preserve"> orgány mali účinné nástroje</w:t>
            </w:r>
            <w:r>
              <w:rPr>
                <w:b/>
                <w:i/>
              </w:rPr>
              <w:t>, údaje a rozhodovacie mechanizmy</w:t>
            </w:r>
            <w:r>
              <w:t xml:space="preserve"> na zabezpečenie odolnej a sociálne zodpovednej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víta reformu krízového riadenia a ochrany vkladov (CMDI) v záujme súdržného krízového riadenia a ochrany vkladov, posilnenia stability, ochrany úspor a daňovníkov; zdôrazňuje potrebu flexibility pre menšie banky a pre orgány, aby mali účinné nástroje na zabezpečenie odolnej a sociálne zodpovednej bankovej únie;</w:t>
            </w:r>
          </w:p>
        </w:tc>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potrebu flexibility pre menšie </w:t>
            </w:r>
            <w:r>
              <w:rPr>
                <w:b/>
                <w:i/>
              </w:rPr>
              <w:t>a stredné</w:t>
            </w:r>
            <w:r>
              <w:t xml:space="preserve"> banky</w:t>
            </w:r>
            <w:r>
              <w:rPr>
                <w:b/>
                <w:i/>
              </w:rPr>
              <w:t>, pre ktoré rámec pre riešenie krízových situácií často nebude najvhodnejším nástrojom a pre ktoré zostáva uprednostňovanou možnosťou likvidácia v bežnom konkurznom konaní,</w:t>
            </w:r>
            <w:r>
              <w:t xml:space="preserve"> a pre orgány, aby mali účinné nástroje na zabezpečenie odolnej a sociálne zodpovednej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víta reformu krízového riadenia a ochrany vkladov (CMDI) v záujme súdržného krízového riadenia a ochrany vkladov, posilnenia stability, ochrany úspor a daňovníkov; zdôrazňuje potrebu flexibility pre menšie banky a pre orgány, aby mali účinné nástroje na zabezpečenie odolnej a sociálne zodpovednej bankovej únie;</w:t>
            </w:r>
          </w:p>
        </w:tc>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potrebu flexibility pre menšie </w:t>
            </w:r>
            <w:r>
              <w:rPr>
                <w:b/>
                <w:i/>
              </w:rPr>
              <w:t>a stredné</w:t>
            </w:r>
            <w:r>
              <w:t xml:space="preserve"> banky</w:t>
            </w:r>
            <w:r>
              <w:rPr>
                <w:b/>
                <w:i/>
              </w:rPr>
              <w:t>, pre ktoré rámec pre riešenie krízových situácií často nebude najvhodnejším nástrojom a pre ktoré zostáva uprednostňovanou možnosťou likvidácia v bežnom konkurznom konaní,</w:t>
            </w:r>
            <w:r>
              <w:t xml:space="preserve"> a pre orgány, aby mali účinné nástroje na zabezpečenie odolnej a sociálne zodpovednej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víta reformu krízového riadenia a ochrany vkladov (CMDI) v záujme súdržného krízového riadenia a ochrany vkladov, posilnenia stability, ochrany úspor a daňovníkov; zdôrazňuje potrebu flexibility pre menšie banky a pre orgány, aby mali účinné nástroje na zabezpečenie odolnej a sociálne zodpovednej bankovej únie;</w:t>
            </w:r>
          </w:p>
        </w:tc>
        <w:tc>
          <w:tcPr>
            <w:tcW w:w="4876" w:type="dxa"/>
            <w:tcBorders>
              <w:top w:val="nil"/>
              <w:left w:val="nil"/>
              <w:bottom w:val="nil"/>
              <w:right w:val="nil"/>
            </w:tcBorders>
          </w:tcPr>
          <w:p>
            <w:pPr>
              <w:pStyle w:val="Normal6a"/>
            </w:pPr>
            <w:r>
              <w:t>15.</w:t>
            </w:r>
            <w:r>
              <w:tab/>
            </w:r>
            <w:r>
              <w:t xml:space="preserve">víta reformu krízového riadenia a ochrany vkladov (CMDI) v záujme súdržného krízového riadenia a ochrany vkladov, posilnenia stability, ochrany úspor a daňovníkov; zdôrazňuje potrebu flexibility pre menšie banky a pre orgány, aby mali účinné nástroje na zabezpečenie odolnej a sociálne zodpovednej bankovej únie; </w:t>
            </w:r>
            <w:r>
              <w:rPr>
                <w:b/>
                <w:i/>
              </w:rPr>
              <w:t>zdôrazňuje, že je potrebné uľahčiť využívanie fondov ochrany vkladov na riešenie krízových situácií;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víta návrh smernice Európskeho parlamentu a Rady, ktorou sa harmonizujú určité aspekty insolvenčného práva, keďže ďalšie zosúladenie insolvenčných právnych predpisov a reštrukturalizačných postupov by mohlo podporiť dobudovanie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zdôrazňuje</w:t>
            </w:r>
            <w:r>
              <w:rPr>
                <w:b/>
                <w:i/>
              </w:rPr>
              <w:t>, že</w:t>
            </w:r>
            <w:r>
              <w:t xml:space="preserve"> v prípade zlyhania bánk </w:t>
            </w:r>
            <w:r>
              <w:rPr>
                <w:b/>
                <w:i/>
              </w:rPr>
              <w:t>by akcionári, veritelia alebo mechanizmy financované odvetvím mali niesť</w:t>
            </w:r>
            <w:r>
              <w:t xml:space="preserve"> zodpovednosť </w:t>
            </w:r>
            <w:r>
              <w:rPr>
                <w:b/>
                <w:i/>
              </w:rPr>
              <w:t>ako prví a verejné finančné prostriedky by sa mali použiť len ako posledná možnosť v súlade s fiškálnou zodpovednosťou, sociálnou spravodlivosťou a trhovou disciplínou</w:t>
            </w:r>
            <w:r>
              <w:t>;</w:t>
            </w:r>
          </w:p>
        </w:tc>
        <w:tc>
          <w:tcPr>
            <w:tcW w:w="4876" w:type="dxa"/>
            <w:tcBorders>
              <w:top w:val="nil"/>
              <w:left w:val="nil"/>
              <w:bottom w:val="nil"/>
              <w:right w:val="nil"/>
            </w:tcBorders>
          </w:tcPr>
          <w:p>
            <w:pPr>
              <w:pStyle w:val="Normal6a"/>
            </w:pPr>
            <w:r>
              <w:t>16.</w:t>
            </w:r>
            <w:r>
              <w:tab/>
            </w:r>
            <w:r>
              <w:t xml:space="preserve">zdôrazňuje </w:t>
            </w:r>
            <w:r>
              <w:rPr>
                <w:b/>
                <w:i/>
              </w:rPr>
              <w:t>potrebu nepretržitého a účinného dohľadu nad dodržiavaním prudenciálnych pravidiel a pravidiel riešenia krízových situácií, ktoré zabezpečujú dôveryhodnosť a účinné vykonávanie nástrojov záchrany pomocou vnútorných zdrojov</w:t>
            </w:r>
            <w:r>
              <w:t xml:space="preserve"> v prípade zlyhania bánk</w:t>
            </w:r>
            <w:r>
              <w:rPr>
                <w:b/>
                <w:i/>
              </w:rPr>
              <w:t>;</w:t>
            </w:r>
            <w:r>
              <w:t xml:space="preserve"> </w:t>
            </w:r>
            <w:r>
              <w:rPr>
                <w:b/>
                <w:i/>
              </w:rPr>
              <w:t>zdôrazňuje, že záchrana finančných inštitúcií pomocou verejných finančných prostriedkov musí zostať prísne poslednou možnosťou, aby sa zachovala fiškálna</w:t>
            </w:r>
            <w:r>
              <w:t xml:space="preserve"> zodpovednosť</w:t>
            </w:r>
            <w:r>
              <w:rPr>
                <w:b/>
                <w:i/>
              </w:rPr>
              <w:t>, chránili daňovníci a dodržiavala trhová disciplína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zdôrazňuje, že v prípade zlyhania bánk by akcionári, veritelia alebo mechanizmy financované odvetvím mali niesť </w:t>
            </w:r>
            <w:r>
              <w:rPr>
                <w:b/>
                <w:i/>
              </w:rPr>
              <w:t>zodpovednosť</w:t>
            </w:r>
            <w:r>
              <w:t xml:space="preserve"> ako prví </w:t>
            </w:r>
            <w:r>
              <w:rPr>
                <w:b/>
                <w:i/>
              </w:rPr>
              <w:t>a verejné finančné prostriedky by sa mali použiť len ako posledná možnosť</w:t>
            </w:r>
            <w:r>
              <w:t xml:space="preserve"> v súlade </w:t>
            </w:r>
            <w:r>
              <w:rPr>
                <w:b/>
                <w:i/>
              </w:rPr>
              <w:t>s fiškálnou zodpovednosťou, sociálnou spravodlivosťou</w:t>
            </w:r>
            <w:r>
              <w:t xml:space="preserve"> a trhovou disciplínou;</w:t>
            </w:r>
          </w:p>
        </w:tc>
        <w:tc>
          <w:tcPr>
            <w:tcW w:w="4876" w:type="dxa"/>
            <w:tcBorders>
              <w:top w:val="nil"/>
              <w:left w:val="nil"/>
              <w:bottom w:val="nil"/>
              <w:right w:val="nil"/>
            </w:tcBorders>
          </w:tcPr>
          <w:p>
            <w:pPr>
              <w:pStyle w:val="Normal6a"/>
            </w:pPr>
            <w:r>
              <w:t>16.</w:t>
            </w:r>
            <w:r>
              <w:tab/>
            </w:r>
            <w:r>
              <w:t xml:space="preserve">zdôrazňuje, že v prípade zlyhania bánk by akcionári, veritelia alebo mechanizmy financované odvetvím mali niesť </w:t>
            </w:r>
            <w:r>
              <w:rPr>
                <w:b/>
                <w:i/>
              </w:rPr>
              <w:t>straty</w:t>
            </w:r>
            <w:r>
              <w:t xml:space="preserve"> ako prví v súlade </w:t>
            </w:r>
            <w:r>
              <w:rPr>
                <w:b/>
                <w:i/>
              </w:rPr>
              <w:t>so zásadou zodpovednosti</w:t>
            </w:r>
            <w:r>
              <w:t xml:space="preserve"> a trhovou disciplínou; </w:t>
            </w:r>
            <w:r>
              <w:rPr>
                <w:b/>
                <w:i/>
              </w:rPr>
              <w:t>zdôrazňuje, že o použití verejných finančných prostriedkov by sa malo uvažovať len ako o poslednej možnosti a za výnimočných okolností, s cieľom chrániť daňovníkov a zachovať finančnú stabilitu;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zdôrazňuje, že v prípade zlyhania bánk by </w:t>
            </w:r>
            <w:r>
              <w:rPr>
                <w:b/>
                <w:i/>
              </w:rPr>
              <w:t>akcionári, veritelia alebo mechanizmy financované odvetvím</w:t>
            </w:r>
            <w:r>
              <w:t xml:space="preserve"> mali niesť zodpovednosť ako prví </w:t>
            </w:r>
            <w:r>
              <w:rPr>
                <w:b/>
                <w:i/>
              </w:rPr>
              <w:t>a</w:t>
            </w:r>
            <w:r>
              <w:t xml:space="preserve"> verejné finančné prostriedky by sa mali použiť len ako posledná možnosť v súlade s fiškálnou zodpovednosťou, sociálnou spravodlivosťou a trhovou disciplínou;</w:t>
            </w:r>
          </w:p>
        </w:tc>
        <w:tc>
          <w:tcPr>
            <w:tcW w:w="4876" w:type="dxa"/>
            <w:tcBorders>
              <w:top w:val="nil"/>
              <w:left w:val="nil"/>
              <w:bottom w:val="nil"/>
              <w:right w:val="nil"/>
            </w:tcBorders>
          </w:tcPr>
          <w:p>
            <w:pPr>
              <w:pStyle w:val="Normal6a"/>
            </w:pPr>
            <w:r>
              <w:t>16.</w:t>
            </w:r>
            <w:r>
              <w:tab/>
            </w:r>
            <w:r>
              <w:t xml:space="preserve">zdôrazňuje, že v prípade zlyhania bánk by mali niesť zodpovednosť ako prví </w:t>
            </w:r>
            <w:r>
              <w:rPr>
                <w:b/>
                <w:i/>
              </w:rPr>
              <w:t>akcionári a veritelia, ktorí by sa mali zapojiť do záchrany pomocou vnútorných zdrojov, ktorá by mala byť hlavným zdrojom financovania riešenia krízových situácií, a to pred akýmkoľvek použitím mechanizmov financovaných odvetvím ako druhej línie obrany, zatiaľ čo</w:t>
            </w:r>
            <w:r>
              <w:t xml:space="preserve"> verejné finančné prostriedky by sa mali použiť len ako posledná možnosť v súlade s fiškálnou zodpovednosťou, sociálnou spravodlivosťou a trhovou disciplínou;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zdôrazňuje, že v prípade zlyhania bánk by akcionári, veritelia alebo mechanizmy financované odvetvím mali niesť zodpovednosť ako prví a verejné finančné prostriedky by sa mali použiť len ako posledná možnosť v súlade s fiškálnou zodpovednosťou</w:t>
            </w:r>
            <w:r>
              <w:rPr>
                <w:b/>
                <w:i/>
              </w:rPr>
              <w:t>, sociálnou spravodlivosťou</w:t>
            </w:r>
            <w:r>
              <w:t xml:space="preserve"> a trhovou disciplínou;</w:t>
            </w:r>
          </w:p>
        </w:tc>
        <w:tc>
          <w:tcPr>
            <w:tcW w:w="4876" w:type="dxa"/>
            <w:tcBorders>
              <w:top w:val="nil"/>
              <w:left w:val="nil"/>
              <w:bottom w:val="nil"/>
              <w:right w:val="nil"/>
            </w:tcBorders>
          </w:tcPr>
          <w:p>
            <w:pPr>
              <w:pStyle w:val="Normal6a"/>
            </w:pPr>
            <w:r>
              <w:t>16.</w:t>
            </w:r>
            <w:r>
              <w:tab/>
            </w:r>
            <w:r>
              <w:t>zdôrazňuje, že v prípade zlyhania bánk by akcionári, veritelia alebo mechanizmy financované odvetvím mali niesť zodpovednosť ako prví a verejné finančné prostriedky by sa mali použiť len ako posledná možnosť</w:t>
            </w:r>
            <w:r>
              <w:rPr>
                <w:b/>
                <w:i/>
              </w:rPr>
              <w:t>, pretože je nutné zabrániť spoliehaniu sa na použitie peňazí daňovníkov na riešenie krízových situácií bánk,</w:t>
            </w:r>
            <w:r>
              <w:t xml:space="preserve"> v súlade s fiškálnou zodpovednosťou a trhovou disciplínou;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zdôrazňuje, že v prípade zlyhania bánk by akcionári, veritelia alebo mechanizmy financované odvetvím mali niesť zodpovednosť ako prví a verejné finančné prostriedky by sa mali použiť len ako posledná možnosť v súlade s fiškálnou zodpovednosťou</w:t>
            </w:r>
            <w:r>
              <w:rPr>
                <w:b/>
                <w:i/>
              </w:rPr>
              <w:t>, sociálnou spravodlivosťou</w:t>
            </w:r>
            <w:r>
              <w:t xml:space="preserve"> a trhovou disciplínou;</w:t>
            </w:r>
          </w:p>
        </w:tc>
        <w:tc>
          <w:tcPr>
            <w:tcW w:w="4876" w:type="dxa"/>
            <w:tcBorders>
              <w:top w:val="nil"/>
              <w:left w:val="nil"/>
              <w:bottom w:val="nil"/>
              <w:right w:val="nil"/>
            </w:tcBorders>
          </w:tcPr>
          <w:p>
            <w:pPr>
              <w:pStyle w:val="Normal6a"/>
            </w:pPr>
            <w:r>
              <w:t>16.</w:t>
            </w:r>
            <w:r>
              <w:tab/>
            </w:r>
            <w:r>
              <w:t>zdôrazňuje, že v prípade zlyhania bánk by akcionári, veritelia alebo mechanizmy financované odvetvím mali niesť zodpovednosť ako prví a verejné finančné prostriedky by sa mali použiť len ako posledná možnosť v súlade s fiškálnou zodpovednosťou a trhovou disciplínou;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zdôrazňuje, že v prípade zlyhania bánk </w:t>
            </w:r>
            <w:r>
              <w:rPr>
                <w:b/>
                <w:i/>
              </w:rPr>
              <w:t>by</w:t>
            </w:r>
            <w:r>
              <w:t xml:space="preserve"> akcionári, veritelia alebo mechanizmy financované odvetvím </w:t>
            </w:r>
            <w:r>
              <w:rPr>
                <w:b/>
                <w:i/>
              </w:rPr>
              <w:t>mali</w:t>
            </w:r>
            <w:r>
              <w:t xml:space="preserve"> niesť zodpovednosť ako prví a verejné finančné prostriedky by sa mali použiť len ako posledná možnosť v súlade s fiškálnou zodpovednosťou, sociálnou spravodlivosťou a trhovou disciplínou;</w:t>
            </w:r>
          </w:p>
        </w:tc>
        <w:tc>
          <w:tcPr>
            <w:tcW w:w="4876" w:type="dxa"/>
            <w:tcBorders>
              <w:top w:val="nil"/>
              <w:left w:val="nil"/>
              <w:bottom w:val="nil"/>
              <w:right w:val="nil"/>
            </w:tcBorders>
          </w:tcPr>
          <w:p>
            <w:pPr>
              <w:pStyle w:val="Normal6a"/>
            </w:pPr>
            <w:r>
              <w:t>16.</w:t>
            </w:r>
            <w:r>
              <w:tab/>
            </w:r>
            <w:r>
              <w:t xml:space="preserve">zdôrazňuje, že v prípade zlyhania bánk akcionári, veritelia alebo mechanizmy financované odvetvím </w:t>
            </w:r>
            <w:r>
              <w:rPr>
                <w:b/>
                <w:i/>
              </w:rPr>
              <w:t>musia</w:t>
            </w:r>
            <w:r>
              <w:t xml:space="preserve"> niesť zodpovednosť ako prví a verejné finančné prostriedky by sa mali použiť len ako posledná možnosť v súlade s fiškálnou zodpovednosťou, sociálnou spravodlivosťou a trhovou disciplínou;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pripomína, že dostatočná minimálna požiadavka na vlastné zdroje a oprávnené záväzky (MREL) je kľúčová pre dôveryhodný rámec riešenia krízových situácií a na zabezpečenie toho, aby orgány mali dostatočnú flexibilitu na uplatnenie </w:t>
            </w:r>
            <w:r>
              <w:rPr>
                <w:b/>
                <w:i/>
              </w:rPr>
              <w:t>vhodných</w:t>
            </w:r>
            <w:r>
              <w:t xml:space="preserve"> stratégií riešenia krízových situácií v </w:t>
            </w:r>
            <w:r>
              <w:rPr>
                <w:b/>
                <w:i/>
              </w:rPr>
              <w:t>krízovej situácii</w:t>
            </w:r>
            <w:r>
              <w:t>;</w:t>
            </w:r>
          </w:p>
        </w:tc>
        <w:tc>
          <w:tcPr>
            <w:tcW w:w="4876" w:type="dxa"/>
            <w:tcBorders>
              <w:top w:val="nil"/>
              <w:left w:val="nil"/>
              <w:bottom w:val="nil"/>
              <w:right w:val="nil"/>
            </w:tcBorders>
          </w:tcPr>
          <w:p>
            <w:pPr>
              <w:pStyle w:val="Normal6a"/>
            </w:pPr>
            <w:r>
              <w:t>17.</w:t>
            </w:r>
            <w:r>
              <w:tab/>
            </w:r>
            <w:r>
              <w:t xml:space="preserve">pripomína, že dostatočná minimálna požiadavka na vlastné zdroje a oprávnené záväzky (MREL) je kľúčová pre dôveryhodný rámec riešenia krízových situácií a na zabezpečenie toho, aby orgány mali dostatočnú flexibilitu na </w:t>
            </w:r>
            <w:r>
              <w:rPr>
                <w:b/>
                <w:i/>
              </w:rPr>
              <w:t>účinné</w:t>
            </w:r>
            <w:r>
              <w:t xml:space="preserve"> uplatnenie stratégií riešenia krízových situácií v </w:t>
            </w:r>
            <w:r>
              <w:rPr>
                <w:b/>
                <w:i/>
              </w:rPr>
              <w:t>krízových situáciách a na zaručenie trhovej disciplíny</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pripomína, že dostatočná minimálna požiadavka na vlastné zdroje a oprávnené záväzky (MREL) je kľúčová pre dôveryhodný rámec riešenia krízových situácií a na zabezpečenie toho, aby orgány mali dostatočnú flexibilitu na uplatnenie vhodných stratégií riešenia krízových situácií v krízovej situácii;</w:t>
            </w:r>
          </w:p>
        </w:tc>
        <w:tc>
          <w:tcPr>
            <w:tcW w:w="4876" w:type="dxa"/>
            <w:tcBorders>
              <w:top w:val="nil"/>
              <w:left w:val="nil"/>
              <w:bottom w:val="nil"/>
              <w:right w:val="nil"/>
            </w:tcBorders>
          </w:tcPr>
          <w:p>
            <w:pPr>
              <w:pStyle w:val="Normal6a"/>
            </w:pPr>
            <w:r>
              <w:t>17.</w:t>
            </w:r>
            <w:r>
              <w:tab/>
            </w:r>
            <w:r>
              <w:t xml:space="preserve">pripomína, že dostatočná minimálna požiadavka na vlastné zdroje a oprávnené záväzky (MREL) je kľúčová pre dôveryhodný rámec riešenia krízových situácií a na zabezpečenie toho, aby orgány mali dostatočnú flexibilitu na uplatnenie vhodných stratégií riešenia krízových situácií v krízovej situácii; </w:t>
            </w:r>
            <w:r>
              <w:rPr>
                <w:b/>
                <w:i/>
              </w:rPr>
              <w:t>zdôrazňuje, že požiadavky MREL by mali byť prispôsobené skutočnej stratégii riešenia krízových situácií každej banky, najmä ak sa popri mechanizmoch záchrany pomocou vnútorných zdrojov používajú nástroje prevodu, aby sa zabezpečila právna zrozumiteľnosť a proporcionalita;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pripomína, že dostatočná minimálna požiadavka na vlastné zdroje a oprávnené záväzky (MREL) je kľúčová pre dôveryhodný rámec riešenia krízových situácií a na zabezpečenie toho, aby orgány mali dostatočnú flexibilitu na uplatnenie vhodných stratégií riešenia krízových situácií v krízovej situácii;</w:t>
            </w:r>
          </w:p>
        </w:tc>
        <w:tc>
          <w:tcPr>
            <w:tcW w:w="4876" w:type="dxa"/>
            <w:tcBorders>
              <w:top w:val="nil"/>
              <w:left w:val="nil"/>
              <w:bottom w:val="nil"/>
              <w:right w:val="nil"/>
            </w:tcBorders>
          </w:tcPr>
          <w:p>
            <w:pPr>
              <w:pStyle w:val="Normal6a"/>
            </w:pPr>
            <w:r>
              <w:t>17.</w:t>
            </w:r>
            <w:r>
              <w:tab/>
            </w:r>
            <w:r>
              <w:t xml:space="preserve">pripomína, že dostatočná minimálna požiadavka na vlastné zdroje a oprávnené záväzky (MREL) je kľúčová pre dôveryhodný rámec riešenia krízových situácií a na zabezpečenie toho, aby orgány mali dostatočnú flexibilitu na uplatnenie vhodných stratégií riešenia krízových situácií v krízovej situácii; </w:t>
            </w:r>
            <w:r>
              <w:rPr>
                <w:b/>
                <w:i/>
              </w:rPr>
              <w:t>zdôrazňuje, že dostupnosť dostatočnej MREL a kolaterálu pri riešení krízových situácií je predpokladom riešiteľnosti krízových situácií bánk a že MREL by sa mala stanoviť veľmi obozretne;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pripomína, že dostatočná minimálna požiadavka na vlastné zdroje a oprávnené záväzky (MREL) je kľúčová pre dôveryhodný rámec riešenia krízových situácií a na zabezpečenie toho, aby orgány mali dostatočnú flexibilitu na uplatnenie vhodných stratégií riešenia krízových situácií v krízovej situácii;</w:t>
            </w:r>
          </w:p>
        </w:tc>
        <w:tc>
          <w:tcPr>
            <w:tcW w:w="4876" w:type="dxa"/>
            <w:tcBorders>
              <w:top w:val="nil"/>
              <w:left w:val="nil"/>
              <w:bottom w:val="nil"/>
              <w:right w:val="nil"/>
            </w:tcBorders>
          </w:tcPr>
          <w:p>
            <w:pPr>
              <w:pStyle w:val="Normal6a"/>
            </w:pPr>
            <w:r>
              <w:t>17.</w:t>
            </w:r>
            <w:r>
              <w:tab/>
            </w:r>
            <w:r>
              <w:t xml:space="preserve">pripomína, že dostatočná minimálna požiadavka na vlastné zdroje a oprávnené záväzky (MREL) je kľúčová pre dôveryhodný rámec riešenia krízových situácií a na zabezpečenie toho, aby orgány mali dostatočnú flexibilitu na uplatnenie vhodných stratégií riešenia krízových situácií v krízovej situácii; </w:t>
            </w:r>
            <w:r>
              <w:rPr>
                <w:b/>
                <w:i/>
              </w:rPr>
              <w:t>zdôrazňuje, že táto minimálna požiadavka by mala byť dostatočná na účinné vykonávanie ktorejkoľvek zo stratégií riešenia krízových situácií zahrnutých do plánu riešenia krízových situácií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že ak sú oprávnené záväzky banky vydané investorom z krajiny mimo EÚ, odpísanie alebo konverzia týchto záväzkov by mala byť vynútiteľná s plnou istotou, aby sa zabezpečilo účinné uplatňovanie nástrojov riešenia krízových situácií;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pripomína, že banky musia po riešení krízových situácií pokračovať v poskytovaní základných služieb; zdôrazňuje potrebu jasného a predvídateľného rámca, ktorý chráni vkladateľov a podporuje </w:t>
            </w:r>
            <w:r>
              <w:rPr>
                <w:b/>
                <w:i/>
              </w:rPr>
              <w:t>menších</w:t>
            </w:r>
            <w:r>
              <w:t xml:space="preserve"> klientov a MSP;</w:t>
            </w:r>
          </w:p>
        </w:tc>
        <w:tc>
          <w:tcPr>
            <w:tcW w:w="4876" w:type="dxa"/>
            <w:tcBorders>
              <w:top w:val="nil"/>
              <w:left w:val="nil"/>
              <w:bottom w:val="nil"/>
              <w:right w:val="nil"/>
            </w:tcBorders>
          </w:tcPr>
          <w:p>
            <w:pPr>
              <w:pStyle w:val="Normal6a"/>
            </w:pPr>
            <w:r>
              <w:t>18.</w:t>
            </w:r>
            <w:r>
              <w:tab/>
            </w:r>
            <w:r>
              <w:t xml:space="preserve">pripomína, že banky musia po riešení krízových situácií pokračovať v poskytovaní základných služieb; zdôrazňuje potrebu jasného a predvídateľného rámca, ktorý chráni vkladateľov a podporuje klientov a </w:t>
            </w:r>
            <w:r>
              <w:rPr>
                <w:b/>
                <w:i/>
              </w:rPr>
              <w:t>podniky vrátane</w:t>
            </w:r>
            <w:r>
              <w:t xml:space="preserve"> MSP;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pripomína, že banky musia </w:t>
            </w:r>
            <w:r>
              <w:rPr>
                <w:b/>
                <w:i/>
              </w:rPr>
              <w:t>po riešení</w:t>
            </w:r>
            <w:r>
              <w:t xml:space="preserve"> krízových situácií pokračovať v poskytovaní základných služieb; zdôrazňuje potrebu jasného a predvídateľného rámca, ktorý chráni vkladateľov a podporuje menších klientov a MSP;</w:t>
            </w:r>
          </w:p>
        </w:tc>
        <w:tc>
          <w:tcPr>
            <w:tcW w:w="4876" w:type="dxa"/>
            <w:tcBorders>
              <w:top w:val="nil"/>
              <w:left w:val="nil"/>
              <w:bottom w:val="nil"/>
              <w:right w:val="nil"/>
            </w:tcBorders>
          </w:tcPr>
          <w:p>
            <w:pPr>
              <w:pStyle w:val="Normal6a"/>
            </w:pPr>
            <w:r>
              <w:t>18.</w:t>
            </w:r>
            <w:r>
              <w:tab/>
            </w:r>
            <w:r>
              <w:t xml:space="preserve">pripomína, že banky musia </w:t>
            </w:r>
            <w:r>
              <w:rPr>
                <w:b/>
                <w:i/>
              </w:rPr>
              <w:t>počas riešenia</w:t>
            </w:r>
            <w:r>
              <w:t xml:space="preserve"> krízových situácií pokračovať v poskytovaní základných služieb; zdôrazňuje potrebu jasného a predvídateľného rámca, ktorý chráni vkladateľov a podporuje menších klientov a MSP;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víta</w:t>
            </w:r>
            <w:r>
              <w:t xml:space="preserve"> jednotný fond na riešenie krízových situácií </w:t>
            </w:r>
            <w:r>
              <w:rPr>
                <w:b/>
                <w:i/>
              </w:rPr>
              <w:t>ako plne mutualizovanú záchrannú sieť financovanú odvetvím;</w:t>
            </w:r>
            <w:r>
              <w:t xml:space="preserve"> </w:t>
            </w:r>
            <w:r>
              <w:rPr>
                <w:b/>
                <w:i/>
              </w:rPr>
              <w:t>opakuje výzvu na úplnú</w:t>
            </w:r>
            <w:r>
              <w:t xml:space="preserve"> ratifikáciu </w:t>
            </w:r>
            <w:r>
              <w:rPr>
                <w:b/>
                <w:i/>
              </w:rPr>
              <w:t>zmeny</w:t>
            </w:r>
            <w:r>
              <w:t xml:space="preserve"> zmluvy o EMS </w:t>
            </w:r>
            <w:r>
              <w:rPr>
                <w:b/>
                <w:i/>
              </w:rPr>
              <w:t>s cieľom posilniť dôveryhodnosť, riešiteľnosť krízových situácií a odolnosť eurozóny</w:t>
            </w:r>
            <w:r>
              <w:t>;</w:t>
            </w:r>
          </w:p>
        </w:tc>
        <w:tc>
          <w:tcPr>
            <w:tcW w:w="4876" w:type="dxa"/>
            <w:tcBorders>
              <w:top w:val="nil"/>
              <w:left w:val="nil"/>
              <w:bottom w:val="nil"/>
              <w:right w:val="nil"/>
            </w:tcBorders>
          </w:tcPr>
          <w:p>
            <w:pPr>
              <w:pStyle w:val="Normal6a"/>
            </w:pPr>
            <w:r>
              <w:t>19.</w:t>
            </w:r>
            <w:r>
              <w:tab/>
            </w:r>
            <w:r>
              <w:rPr>
                <w:b/>
                <w:i/>
              </w:rPr>
              <w:t>kriticky konštatuje, že</w:t>
            </w:r>
            <w:r>
              <w:t xml:space="preserve"> jednotný fond na riešenie krízových situácií </w:t>
            </w:r>
            <w:r>
              <w:rPr>
                <w:b/>
                <w:i/>
              </w:rPr>
              <w:t>– napriek tomu, že je zamýšľaný ako záchranná sieť – v súčasnosti ukladá neprehľadné metodiky príspevkov a chýba mu transparentnosť, čo zvyšuje nákladovú záťaž bez preukázateľného zvýšenia efektívnosti;</w:t>
            </w:r>
            <w:r>
              <w:t xml:space="preserve"> </w:t>
            </w:r>
            <w:r>
              <w:rPr>
                <w:b/>
                <w:i/>
              </w:rPr>
              <w:t>namiesto toho by sa zdroje mohli lepšie využívať prostredníctvom jasnejších vnútroštátnych plánov pre nepredvídané udalosti a trhovej disciplíny;</w:t>
            </w:r>
            <w:r>
              <w:t xml:space="preserve"> </w:t>
            </w:r>
            <w:r>
              <w:rPr>
                <w:b/>
                <w:i/>
              </w:rPr>
              <w:t>rešpektuje výsady národných parlamentov, pokiaľ ide o</w:t>
            </w:r>
            <w:r>
              <w:t xml:space="preserve"> ratifikáciu </w:t>
            </w:r>
            <w:r>
              <w:rPr>
                <w:b/>
                <w:i/>
              </w:rPr>
              <w:t>medzivládnej</w:t>
            </w:r>
            <w:r>
              <w:t xml:space="preserve"> zmluvy o 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víta</w:t>
            </w:r>
            <w:r>
              <w:t xml:space="preserve"> jednotný fond na riešenie krízových situácií ako plne mutualizovanú záchrannú sieť financovanú odvetvím; </w:t>
            </w:r>
            <w:r>
              <w:rPr>
                <w:b/>
                <w:i/>
              </w:rPr>
              <w:t>opakuje výzvu na úplnú ratifikáciu zmeny zmluvy o EMS s cieľom posilniť dôveryhodnosť, riešiteľnosť krízových situácií a odolnosť eurozóny;</w:t>
            </w:r>
          </w:p>
        </w:tc>
        <w:tc>
          <w:tcPr>
            <w:tcW w:w="4876" w:type="dxa"/>
            <w:tcBorders>
              <w:top w:val="nil"/>
              <w:left w:val="nil"/>
              <w:bottom w:val="nil"/>
              <w:right w:val="nil"/>
            </w:tcBorders>
          </w:tcPr>
          <w:p>
            <w:pPr>
              <w:pStyle w:val="Normal6a"/>
            </w:pPr>
            <w:r>
              <w:t>19.</w:t>
            </w:r>
            <w:r>
              <w:tab/>
            </w:r>
            <w:r>
              <w:rPr>
                <w:b/>
                <w:i/>
              </w:rPr>
              <w:t>berie na vedomie</w:t>
            </w:r>
            <w:r>
              <w:t xml:space="preserve"> jednotný fond na riešenie krízových situácií ako plne mutualizovanú záchrannú sieť financovanú odvetvím;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víta jednotný fond na riešenie krízových situácií ako </w:t>
            </w:r>
            <w:r>
              <w:rPr>
                <w:b/>
                <w:i/>
              </w:rPr>
              <w:t>plne mutualizovanú záchrannú sieť financovanú odvetvím</w:t>
            </w:r>
            <w:r>
              <w:t>; opakuje výzvu na úplnú ratifikáciu zmeny zmluvy o EMS s cieľom posilniť dôveryhodnosť, riešiteľnosť krízových situácií a odolnosť eurozóny;</w:t>
            </w:r>
          </w:p>
        </w:tc>
        <w:tc>
          <w:tcPr>
            <w:tcW w:w="4876" w:type="dxa"/>
            <w:tcBorders>
              <w:top w:val="nil"/>
              <w:left w:val="nil"/>
              <w:bottom w:val="nil"/>
              <w:right w:val="nil"/>
            </w:tcBorders>
          </w:tcPr>
          <w:p>
            <w:pPr>
              <w:pStyle w:val="Normal6a"/>
            </w:pPr>
            <w:r>
              <w:t>19.</w:t>
            </w:r>
            <w:r>
              <w:tab/>
            </w:r>
            <w:r>
              <w:t xml:space="preserve">víta jednotný fond na riešenie krízových situácií ako </w:t>
            </w:r>
            <w:r>
              <w:rPr>
                <w:b/>
                <w:i/>
              </w:rPr>
              <w:t>zabezpečovací mechanizmus na podporu náležitého krízového riadenia bánk</w:t>
            </w:r>
            <w:r>
              <w:t xml:space="preserve">; opakuje výzvu na úplnú ratifikáciu zmeny zmluvy o EMS s cieľom posilniť dôveryhodnosť, riešiteľnosť krízových situácií a odolnosť eurozóny </w:t>
            </w:r>
            <w:r>
              <w:rPr>
                <w:b/>
                <w:i/>
              </w:rPr>
              <w:t>a zároveň zachovať trhovú disciplínu a chrániť daňovníkov</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víta jednotný fond na riešenie krízových situácií ako plne mutualizovanú záchrannú sieť financovanú odvetvím; opakuje výzvu na úplnú ratifikáciu zmeny zmluvy o EMS s cieľom posilniť dôveryhodnosť, riešiteľnosť krízových situácií a odolnosť eurozóny;</w:t>
            </w:r>
          </w:p>
        </w:tc>
        <w:tc>
          <w:tcPr>
            <w:tcW w:w="4876" w:type="dxa"/>
            <w:tcBorders>
              <w:top w:val="nil"/>
              <w:left w:val="nil"/>
              <w:bottom w:val="nil"/>
              <w:right w:val="nil"/>
            </w:tcBorders>
          </w:tcPr>
          <w:p>
            <w:pPr>
              <w:pStyle w:val="Normal6a"/>
            </w:pPr>
            <w:r>
              <w:t>19.</w:t>
            </w:r>
            <w:r>
              <w:tab/>
            </w:r>
            <w:r>
              <w:t xml:space="preserve">víta jednotný fond na riešenie krízových situácií ako plne mutualizovanú záchrannú sieť financovanú odvetvím; opakuje výzvu na úplnú ratifikáciu zmeny zmluvy o EMS s cieľom posilniť dôveryhodnosť, riešiteľnosť krízových situácií a odolnosť eurozóny; </w:t>
            </w:r>
            <w:r>
              <w:rPr>
                <w:b/>
                <w:i/>
              </w:rPr>
              <w:t>zdôrazňuje cieľ ochrany daňovníkov v prípade riešenia krízových situácií a pripomína, že nad rámec dohodnutého spoločného zabezpečovacieho mechanizmu by sa pre zlyhávajúce banky nemali použiť žiadne dodatočné zdroje daňovníkov;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žiada, aby všetky členské štáty v plnom rozsahu ratifikovali dohodu o zmene Zmluvy, ktorou sa zriaďuje EMS, vrátane zriadenia spoločného zabezpečovacieho mechanizmu pre jednotný fond na riešenie krízových situácií;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pripomína, že politika nulovej rizikovej váhy pri verejnom dlhu je problém, ktorý treba riešiť;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vyjadruje poľutovanie nad nedostatočnou rodovou rovnováhou v riadení Jednotnej rady pre riešenie krízových situácií;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zdôrazňuje skutočnosť, že návrh Komisie na vytvorenie európskeho systému ochrany vkladov bol zverejnený v roku 2015 a že situácia sa odvtedy výrazne zmenila;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opätovne potvrdzuje svoje pevné odhodlanie vytvoriť plnohodnotný systém EDIS ako tretí a posledný a základný pilier bankovej únie;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opätovne potvrdzuje svoje pevné odhodlanie vytvoriť plnohodnotný systém EDIS ako tretí a posledný a základný pilier bankovej únie;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opätovne potvrdzuje svoje pevné odhodlanie vytvoriť plnohodnotný</w:t>
            </w:r>
            <w:r>
              <w:t xml:space="preserve"> systém EDIS </w:t>
            </w:r>
            <w:r>
              <w:rPr>
                <w:b/>
                <w:i/>
              </w:rPr>
              <w:t>ako tretí a posledný a základný pilier bankovej únie</w:t>
            </w:r>
            <w:r>
              <w:t>;</w:t>
            </w:r>
          </w:p>
        </w:tc>
        <w:tc>
          <w:tcPr>
            <w:tcW w:w="4876" w:type="dxa"/>
            <w:tcBorders>
              <w:top w:val="nil"/>
              <w:left w:val="nil"/>
              <w:bottom w:val="nil"/>
              <w:right w:val="nil"/>
            </w:tcBorders>
          </w:tcPr>
          <w:p>
            <w:pPr>
              <w:pStyle w:val="Normal6a"/>
            </w:pPr>
            <w:r>
              <w:t>20.</w:t>
            </w:r>
            <w:r>
              <w:tab/>
            </w:r>
            <w:r>
              <w:rPr>
                <w:b/>
                <w:i/>
              </w:rPr>
              <w:t>odmieta</w:t>
            </w:r>
            <w:r>
              <w:t xml:space="preserve"> systém EDIS</w:t>
            </w:r>
            <w:r>
              <w:rPr>
                <w:b/>
                <w:i/>
              </w:rPr>
              <w:t>;</w:t>
            </w:r>
            <w:r>
              <w:t xml:space="preserve"> </w:t>
            </w:r>
            <w:r>
              <w:rPr>
                <w:b/>
                <w:i/>
              </w:rPr>
              <w:t>tvrdí, že mutualizovaná ochrana vkladov vo svojej podstate presúva riziko do silnejších ekonomík a oslabuje motiváciu vkladateľov monitorovať bankové riziko, čo vedie k morálnemu hazardu</w:t>
            </w:r>
            <w:r>
              <w:t xml:space="preserve">; </w:t>
            </w:r>
            <w:r>
              <w:rPr>
                <w:b/>
                <w:i/>
              </w:rPr>
              <w:t>namiesto toho sa zasadzuje za spoľahlivé vnútroštátne systémy s harmonizovanými minimálnymi normami, ktoré zachovávajú signály trhových cien a zodpovednosť;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opätovne potvrdzuje svoje pevné odhodlanie vytvoriť plnohodnotný systém EDIS ako tretí a posledný a základný pilier bankovej únie</w:t>
            </w:r>
            <w:r>
              <w:t>;</w:t>
            </w:r>
          </w:p>
        </w:tc>
        <w:tc>
          <w:tcPr>
            <w:tcW w:w="4876" w:type="dxa"/>
            <w:tcBorders>
              <w:top w:val="nil"/>
              <w:left w:val="nil"/>
              <w:bottom w:val="nil"/>
              <w:right w:val="nil"/>
            </w:tcBorders>
          </w:tcPr>
          <w:p>
            <w:pPr>
              <w:pStyle w:val="Normal6a"/>
            </w:pPr>
            <w:r>
              <w:t>20.</w:t>
            </w:r>
            <w:r>
              <w:tab/>
            </w:r>
            <w:r>
              <w:rPr>
                <w:b/>
                <w:i/>
              </w:rPr>
              <w:t>zdôrazňuje, že z európskeho systému ochrany vkladov je potrebné vylúčiť schémy inštitucionálneho zabezpečenia, aby sa zabezpečilo ich nepretržité fungovanie, a že zároveň treba zachovať autonómiu a účinnosť týchto schém a dodržiavať osobitné pravidlá, ktoré boli pre ne dohodnuté v preskúmaní CMDI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opätovne potvrdzuje svoje pevné odhodlanie vytvoriť plnohodnotný systém EDIS ako tretí a posledný a základný pilier</w:t>
            </w:r>
            <w:r>
              <w:t xml:space="preserve"> bankovej únie;</w:t>
            </w:r>
          </w:p>
        </w:tc>
        <w:tc>
          <w:tcPr>
            <w:tcW w:w="4876" w:type="dxa"/>
            <w:tcBorders>
              <w:top w:val="nil"/>
              <w:left w:val="nil"/>
              <w:bottom w:val="nil"/>
              <w:right w:val="nil"/>
            </w:tcBorders>
          </w:tcPr>
          <w:p>
            <w:pPr>
              <w:pStyle w:val="Normal6a"/>
            </w:pPr>
            <w:r>
              <w:t>20.</w:t>
            </w:r>
            <w:r>
              <w:tab/>
            </w:r>
            <w:r>
              <w:rPr>
                <w:b/>
                <w:i/>
              </w:rPr>
              <w:t>berie na vedomie vyhlásenie Euroskupiny zo 16. júna 2022 o budúcnosti bankovej únie a uznáva, že akákoľvek diskusia o systéme EDIS by mala byť súčasťou širšej diskusie o všetkých zostávajúcich prvkoch bankovej únie, čím sa zabezpečí proporcionalita a zohľadnia sa vnútroštátne špecifiká;</w:t>
            </w:r>
            <w:r>
              <w:t xml:space="preserve"> </w:t>
            </w:r>
            <w:r>
              <w:rPr>
                <w:b/>
                <w:i/>
              </w:rPr>
              <w:t>zdôrazňuje, že pred začatím vypracúvania akýchkoľvek konkrétnych legislatívnych návrhov by sa mala dosiahnuť konsenzuálna dohoda o možných ďalších kľúčových prvkoch</w:t>
            </w:r>
            <w:r>
              <w:t xml:space="preserve">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opätovne potvrdzuje svoje </w:t>
            </w:r>
            <w:r>
              <w:rPr>
                <w:b/>
                <w:i/>
              </w:rPr>
              <w:t>pevné</w:t>
            </w:r>
            <w:r>
              <w:t xml:space="preserve"> odhodlanie </w:t>
            </w:r>
            <w:r>
              <w:rPr>
                <w:b/>
                <w:i/>
              </w:rPr>
              <w:t>vytvoriť plnohodnotný systém EDIS ako tretí a posledný a základný pilier bankovej únie</w:t>
            </w:r>
            <w:r>
              <w:t>;</w:t>
            </w:r>
          </w:p>
        </w:tc>
        <w:tc>
          <w:tcPr>
            <w:tcW w:w="4876" w:type="dxa"/>
            <w:tcBorders>
              <w:top w:val="nil"/>
              <w:left w:val="nil"/>
              <w:bottom w:val="nil"/>
              <w:right w:val="nil"/>
            </w:tcBorders>
          </w:tcPr>
          <w:p>
            <w:pPr>
              <w:pStyle w:val="Normal6a"/>
            </w:pPr>
            <w:r>
              <w:t>20.</w:t>
            </w:r>
            <w:r>
              <w:tab/>
            </w:r>
            <w:r>
              <w:t xml:space="preserve">opätovne potvrdzuje svoje odhodlanie </w:t>
            </w:r>
            <w:r>
              <w:rPr>
                <w:b/>
                <w:i/>
              </w:rPr>
              <w:t>ďalej rozvíjať bankovú úniu pri náležitom zohľadňovaní vnútroštátnych špecifík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opätovne potvrdzuje svoje pevné odhodlanie vytvoriť </w:t>
            </w:r>
            <w:r>
              <w:rPr>
                <w:b/>
                <w:i/>
              </w:rPr>
              <w:t>plnohodnotný systém EDIS ako tretí a posledný a základný pilier bankovej únie</w:t>
            </w:r>
            <w:r>
              <w:t>;</w:t>
            </w:r>
          </w:p>
        </w:tc>
        <w:tc>
          <w:tcPr>
            <w:tcW w:w="4876" w:type="dxa"/>
            <w:tcBorders>
              <w:top w:val="nil"/>
              <w:left w:val="nil"/>
              <w:bottom w:val="nil"/>
              <w:right w:val="nil"/>
            </w:tcBorders>
          </w:tcPr>
          <w:p>
            <w:pPr>
              <w:pStyle w:val="Normal6a"/>
            </w:pPr>
            <w:r>
              <w:t>20.</w:t>
            </w:r>
            <w:r>
              <w:tab/>
            </w:r>
            <w:r>
              <w:t xml:space="preserve">opätovne potvrdzuje svoje pevné odhodlanie vytvoriť </w:t>
            </w:r>
            <w:r>
              <w:rPr>
                <w:b/>
                <w:i/>
              </w:rPr>
              <w:t>silnú a úplnú bankovú úniu;</w:t>
            </w:r>
            <w:r>
              <w:t xml:space="preserve"> </w:t>
            </w:r>
            <w:r>
              <w:rPr>
                <w:b/>
                <w:i/>
              </w:rPr>
              <w:t>pripomína nedostatočný pokrok oboch spoluzákonodarcov v súvislosti so systémom EDIS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opätovne potvrdzuje svoje pevné odhodlanie vytvoriť </w:t>
            </w:r>
            <w:r>
              <w:rPr>
                <w:b/>
                <w:i/>
              </w:rPr>
              <w:t>plnohodnotný</w:t>
            </w:r>
            <w:r>
              <w:t xml:space="preserve"> systém EDIS ako tretí a posledný a základný pilier bankovej únie;</w:t>
            </w:r>
          </w:p>
        </w:tc>
        <w:tc>
          <w:tcPr>
            <w:tcW w:w="4876" w:type="dxa"/>
            <w:tcBorders>
              <w:top w:val="nil"/>
              <w:left w:val="nil"/>
              <w:bottom w:val="nil"/>
              <w:right w:val="nil"/>
            </w:tcBorders>
          </w:tcPr>
          <w:p>
            <w:pPr>
              <w:pStyle w:val="Normal6a"/>
            </w:pPr>
            <w:r>
              <w:t>20.</w:t>
            </w:r>
            <w:r>
              <w:tab/>
            </w:r>
            <w:r>
              <w:t xml:space="preserve">opätovne potvrdzuje svoje pevné odhodlanie vytvoriť systém EDIS </w:t>
            </w:r>
            <w:r>
              <w:rPr>
                <w:b/>
                <w:i/>
              </w:rPr>
              <w:t>plne zohľadňujúci vnútroštátne špecifiká</w:t>
            </w:r>
            <w:r>
              <w:t xml:space="preserve"> ako tretí a posledný a základný pilier bankovej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opätovne potvrdzuje svoje pevné odhodlanie vytvoriť plnohodnotný systém EDIS ako tretí a posledný a základný pilier bankovej únie;</w:t>
            </w:r>
          </w:p>
        </w:tc>
        <w:tc>
          <w:tcPr>
            <w:tcW w:w="4876" w:type="dxa"/>
            <w:tcBorders>
              <w:top w:val="nil"/>
              <w:left w:val="nil"/>
              <w:bottom w:val="nil"/>
              <w:right w:val="nil"/>
            </w:tcBorders>
          </w:tcPr>
          <w:p>
            <w:pPr>
              <w:pStyle w:val="Normal6a"/>
            </w:pPr>
            <w:r>
              <w:t>20.</w:t>
            </w:r>
            <w:r>
              <w:tab/>
            </w:r>
            <w:r>
              <w:t>opätovne potvrdzuje svoje pevné odhodlanie vytvoriť plnohodnotný</w:t>
            </w:r>
            <w:r>
              <w:rPr>
                <w:b/>
                <w:i/>
              </w:rPr>
              <w:t>, mutualizovaný</w:t>
            </w:r>
            <w:r>
              <w:t xml:space="preserve"> systém EDIS ako tretí a posledný a základný pilier bankovej únie; </w:t>
            </w:r>
            <w:r>
              <w:rPr>
                <w:b/>
                <w:i/>
              </w:rPr>
              <w:t>zdôrazňuje, že spoločný systém ochrany vkladov je nevyhnutný na zabezpečenie rovnakej ochrany vkladateľov v celej Únii, na ďalšie posilnenie finančnej stability a na rozhodné obmedzenie zostávajúcich väzieb medzi bankami a štátmi;</w:t>
            </w:r>
            <w:r>
              <w:t xml:space="preserve"> </w:t>
            </w:r>
            <w:r>
              <w:rPr>
                <w:b/>
                <w:i/>
              </w:rPr>
              <w:t>zdôrazňuje, že dokončenie systému EDIS by sa malo realizovať spôsobom, ktorý je založený na riziku, fiškálne zodpovedný a sprevádzaný pokračujúcim úsilím o znižovanie rizika, čím sa posilní dôvera trhu a integrita jednotného bankového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opätovne potvrdzuje svoje pevné odhodlanie vytvoriť plnohodnotný systém EDIS ako tretí a posledný a základný pilier bankovej únie;</w:t>
            </w:r>
          </w:p>
        </w:tc>
        <w:tc>
          <w:tcPr>
            <w:tcW w:w="4876" w:type="dxa"/>
            <w:tcBorders>
              <w:top w:val="nil"/>
              <w:left w:val="nil"/>
              <w:bottom w:val="nil"/>
              <w:right w:val="nil"/>
            </w:tcBorders>
          </w:tcPr>
          <w:p>
            <w:pPr>
              <w:pStyle w:val="Normal6a"/>
            </w:pPr>
            <w:r>
              <w:t>20.</w:t>
            </w:r>
            <w:r>
              <w:tab/>
            </w:r>
            <w:r>
              <w:t>opätovne potvrdzuje svoje pevné odhodlanie vytvoriť plnohodnotný systém EDIS</w:t>
            </w:r>
            <w:r>
              <w:rPr>
                <w:b/>
                <w:i/>
              </w:rPr>
              <w:t>, ktorý zabezpečuje krytie strát,</w:t>
            </w:r>
            <w:r>
              <w:t xml:space="preserve"> ako tretí a posledný a základný pilier bankovej únie; </w:t>
            </w:r>
            <w:r>
              <w:rPr>
                <w:b/>
                <w:i/>
              </w:rPr>
              <w:t>pripomína, že systém EDIS by výrazne obmedzil začarovaný kruh medzi bankami a ich vlastnými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opätovne potvrdzuje svoje pevné odhodlanie vytvoriť plnohodnotný systém EDIS ako tretí a posledný a základný pilier bankovej únie;</w:t>
            </w:r>
          </w:p>
        </w:tc>
        <w:tc>
          <w:tcPr>
            <w:tcW w:w="4876" w:type="dxa"/>
            <w:tcBorders>
              <w:top w:val="nil"/>
              <w:left w:val="nil"/>
              <w:bottom w:val="nil"/>
              <w:right w:val="nil"/>
            </w:tcBorders>
          </w:tcPr>
          <w:p>
            <w:pPr>
              <w:pStyle w:val="Normal6a"/>
            </w:pPr>
            <w:r>
              <w:t>20.</w:t>
            </w:r>
            <w:r>
              <w:tab/>
            </w:r>
            <w:r>
              <w:t xml:space="preserve">opätovne potvrdzuje svoje pevné odhodlanie vytvoriť plnohodnotný systém EDIS ako tretí a posledný a základný pilier bankovej únie </w:t>
            </w:r>
            <w:r>
              <w:rPr>
                <w:b/>
                <w:i/>
              </w:rPr>
              <w:t>založený na primeranom znižovaní rizika, spoľahlivých stimuloch a koncepcii, ktorá posilňuje dôveru vkladateľov, trhovú disciplínu a finančnú stabilitu v celej Únii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opätovne potvrdzuje svoje pevné odhodlanie vytvoriť </w:t>
            </w:r>
            <w:r>
              <w:rPr>
                <w:b/>
                <w:i/>
              </w:rPr>
              <w:t>plnohodnotný</w:t>
            </w:r>
            <w:r>
              <w:t xml:space="preserve"> systém EDIS ako tretí a posledný a základný pilier bankovej únie;</w:t>
            </w:r>
          </w:p>
        </w:tc>
        <w:tc>
          <w:tcPr>
            <w:tcW w:w="4876" w:type="dxa"/>
            <w:tcBorders>
              <w:top w:val="nil"/>
              <w:left w:val="nil"/>
              <w:bottom w:val="nil"/>
              <w:right w:val="nil"/>
            </w:tcBorders>
          </w:tcPr>
          <w:p>
            <w:pPr>
              <w:pStyle w:val="Normal6a"/>
            </w:pPr>
            <w:r>
              <w:t>20.</w:t>
            </w:r>
            <w:r>
              <w:tab/>
            </w:r>
            <w:r>
              <w:t xml:space="preserve">opätovne potvrdzuje svoje pevné odhodlanie vytvoriť systém EDIS ako tretí a posledný a základný pilier bankovej únie; </w:t>
            </w:r>
            <w:r>
              <w:rPr>
                <w:b/>
                <w:i/>
              </w:rPr>
              <w:t>domnieva sa, že postupné zavádzanie európskeho systému ochrany vkladov by malo viesť k zníženiu rizika pre všetky banky v rámci bankovej únie;</w:t>
            </w:r>
            <w:r>
              <w:t xml:space="preserve"> </w:t>
            </w:r>
            <w:r>
              <w:rPr>
                <w:b/>
                <w:i/>
              </w:rPr>
              <w:t>zdôrazňuje, že príspevky do európskeho systému ochrany vkladov by mali zohľadňovať rizikový profil každého zúčastneného sektora;</w:t>
            </w:r>
            <w:r>
              <w:t xml:space="preserve"> </w:t>
            </w:r>
            <w:r>
              <w:rPr>
                <w:b/>
                <w:i/>
              </w:rPr>
              <w:t>zdôrazňuje tiež význam úplného uplatňovania súčasných pravidiel vrátane mechanizmov, ako sú výnimky týkajúce sa likvidity, ako jedného zo spôsobov, ako zabezpečiť voľné toky kapitálu a likvidity v rámci skupiny, čím sa európskym bankám umožní efektívne financovať podniky v celej EÚ a zvýšiť konkurencieschopnosť;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opätovne potvrdzuje svoje pevné odhodlanie vytvoriť plnohodnotný systém EDIS ako tretí a posledný a základný pilier bankovej únie;</w:t>
            </w:r>
          </w:p>
        </w:tc>
        <w:tc>
          <w:tcPr>
            <w:tcW w:w="4876" w:type="dxa"/>
            <w:tcBorders>
              <w:top w:val="nil"/>
              <w:left w:val="nil"/>
              <w:bottom w:val="nil"/>
              <w:right w:val="nil"/>
            </w:tcBorders>
          </w:tcPr>
          <w:p>
            <w:pPr>
              <w:pStyle w:val="Normal6a"/>
            </w:pPr>
            <w:r>
              <w:t>20.</w:t>
            </w:r>
            <w:r>
              <w:tab/>
            </w:r>
            <w:r>
              <w:t xml:space="preserve">opätovne potvrdzuje svoje pevné odhodlanie vytvoriť plnohodnotný systém EDIS ako tretí a posledný a základný pilier bankovej únie; </w:t>
            </w:r>
            <w:r>
              <w:rPr>
                <w:b/>
                <w:i/>
              </w:rPr>
              <w:t>vyjadruje poľutovanie nad tým, že banková únia je stále neúplná z dôvodu neexistencie systému EDIS;</w:t>
            </w:r>
            <w:r>
              <w:t xml:space="preserve"> </w:t>
            </w:r>
            <w:r>
              <w:rPr>
                <w:b/>
                <w:i/>
              </w:rPr>
              <w:t>uznáva, že EDIS by zlepšil ochranu vkladateľov v EÚ;</w:t>
            </w:r>
            <w:r>
              <w:t xml:space="preserve"> </w:t>
            </w:r>
            <w:r>
              <w:rPr>
                <w:b/>
                <w:i/>
              </w:rPr>
              <w:t>pripomína, že systém EDIS by bol pre občanov EÚ hmatateľným prvkom bankovej únie, spolu so zväčšením hospodárskej súťaže a možností výberu pre spotrebiteľov;</w:t>
            </w:r>
            <w:r>
              <w:t xml:space="preserve"> </w:t>
            </w:r>
            <w:r>
              <w:rPr>
                <w:b/>
                <w:i/>
              </w:rPr>
              <w:t>domnieva sa, že EDIS by zabezpečil výsledky;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uznáva, že európsky systém ochrany vkladov (EDIS) by mohol zlepšiť ochranu vkladateľov v EÚ;</w:t>
            </w:r>
            <w:r>
              <w:t xml:space="preserve"> </w:t>
            </w:r>
            <w:r>
              <w:rPr>
                <w:b/>
                <w:i/>
              </w:rPr>
              <w:t>domnieva sa však, že hlavnou prekážkou zavedenia EDIS sú obavy z rizika v niektorých bankových systémoch;</w:t>
            </w:r>
            <w:r>
              <w:t xml:space="preserve"> </w:t>
            </w:r>
            <w:r>
              <w:rPr>
                <w:b/>
                <w:i/>
              </w:rPr>
              <w:t>zdôrazňuje, že zníženie týchto rizík je kľúčom k dosiahnutiu dohody o akomkoľvek systéme EDIS;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poukazuje na to, že pôvodne navrhovaná podoba systému EDIS už nie je platná a neexistuje šanca získať podporu, ktorá by umožnila jeho vykonávanie;</w:t>
            </w:r>
            <w:r>
              <w:t xml:space="preserve"> </w:t>
            </w:r>
            <w:r>
              <w:rPr>
                <w:b/>
                <w:i/>
              </w:rPr>
              <w:t>zastáva názor, že prípadný systém EDIS by nemal mať podobu plne integrovaného systému, ale skôr formu zaistenia;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w:t>
            </w:r>
            <w:r>
              <w:t xml:space="preserve"> </w:t>
            </w:r>
            <w:r>
              <w:rPr>
                <w:b/>
                <w:i/>
              </w:rPr>
              <w:t>pripomína pozíciu tohto výboru k systému EDIS z roku 2024;</w:t>
            </w:r>
            <w:r>
              <w:t xml:space="preserve"> </w:t>
            </w:r>
            <w:r>
              <w:rPr>
                <w:b/>
                <w:i/>
              </w:rPr>
              <w:t>dôrazne vyzýva Radu, aby pokročila v rokovaniach;</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víta prijatie balíka rámca krízového riadenia a ochrany vkladov (CMDI) ako pozitívny krok</w:t>
            </w:r>
            <w:r>
              <w:t xml:space="preserve">, ktorý </w:t>
            </w:r>
            <w:r>
              <w:rPr>
                <w:b/>
                <w:i/>
              </w:rPr>
              <w:t>posilňuje vnútroštátne systémy ochrany vkladov, posilňuje</w:t>
            </w:r>
            <w:r>
              <w:t xml:space="preserve"> dôveru </w:t>
            </w:r>
            <w:r>
              <w:rPr>
                <w:b/>
                <w:i/>
              </w:rPr>
              <w:t>v bankový sektor a zlepšuje prevádzkové a právne podmienky na prechod na spoločnú ochranu EÚ pre</w:t>
            </w:r>
            <w:r>
              <w:t xml:space="preserve"> vkladateľov a </w:t>
            </w:r>
            <w:r>
              <w:rPr>
                <w:b/>
                <w:i/>
              </w:rPr>
              <w:t>daňovníkov;</w:t>
            </w:r>
            <w:r>
              <w:t xml:space="preserve"> </w:t>
            </w:r>
            <w:r>
              <w:rPr>
                <w:b/>
                <w:i/>
              </w:rPr>
              <w:t>pripomína pozíciu tohto výboru k systému EDIS z roku 2024</w:t>
            </w:r>
            <w:r>
              <w:t xml:space="preserve">; </w:t>
            </w:r>
            <w:r>
              <w:rPr>
                <w:b/>
                <w:i/>
              </w:rPr>
              <w:t>dôrazne vyzýva Radu, aby pokročila v rokovaniach;</w:t>
            </w:r>
          </w:p>
        </w:tc>
        <w:tc>
          <w:tcPr>
            <w:tcW w:w="4876" w:type="dxa"/>
            <w:tcBorders>
              <w:top w:val="nil"/>
              <w:left w:val="nil"/>
              <w:bottom w:val="nil"/>
              <w:right w:val="nil"/>
            </w:tcBorders>
          </w:tcPr>
          <w:p>
            <w:pPr>
              <w:pStyle w:val="Normal6a"/>
            </w:pPr>
            <w:r>
              <w:t>21.</w:t>
            </w:r>
            <w:r>
              <w:tab/>
            </w:r>
            <w:r>
              <w:rPr>
                <w:b/>
                <w:i/>
              </w:rPr>
              <w:t>vyzýva Komisiu, aby uznala, že súčasný legislatívny návrh o EDIS je už niekoľko rokov zablokovaný bez toho, aby sa dosiahol hmatateľný pokrok, vyjadruje poľutovanie nad tým, že táto dlhotrvajúca patová situácia oslabila dôveryhodnosť záväzku dobudovať bankovú úniu, a naliehavo vyzýva Komisiu, aby stiahla existujúci návrh a bezodkladne predložila obnovenú a ambicióznejšiu iniciatívu, ktorá by umožnila dosiahnuť skutočnú politickú dohodu o EDIS;</w:t>
            </w:r>
            <w:r>
              <w:t xml:space="preserve"> </w:t>
            </w:r>
            <w:r>
              <w:rPr>
                <w:b/>
                <w:i/>
              </w:rPr>
              <w:t>zdôrazňuje, že takýto nový návrh by mal poskytnúť dôveryhodný a účinný rámec založený na riziku</w:t>
            </w:r>
            <w:r>
              <w:t xml:space="preserve">, ktorý </w:t>
            </w:r>
            <w:r>
              <w:rPr>
                <w:b/>
                <w:i/>
              </w:rPr>
              <w:t>poskytne skutočný impulz na dokončenie systému EDIS, posilní</w:t>
            </w:r>
            <w:r>
              <w:t xml:space="preserve"> dôveru vkladateľov a </w:t>
            </w:r>
            <w:r>
              <w:rPr>
                <w:b/>
                <w:i/>
              </w:rPr>
              <w:t>zabezpečí rovnaké podmienky na celom jednotnom bankovom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víta prijatie balíka rámca</w:t>
            </w:r>
            <w:r>
              <w:t xml:space="preserve"> krízového riadenia a ochrany vkladov </w:t>
            </w:r>
            <w:r>
              <w:rPr>
                <w:b/>
                <w:i/>
              </w:rPr>
              <w:t>(CMDI) ako pozitívny krok, ktorý posilňuje vnútroštátne</w:t>
            </w:r>
            <w:r>
              <w:t xml:space="preserve"> systémy </w:t>
            </w:r>
            <w:r>
              <w:rPr>
                <w:b/>
                <w:i/>
              </w:rPr>
              <w:t>ochrany vkladov, posilňuje dôveru v bankový sektor a zlepšuje prevádzkové a právne podmienky na prechod na spoločnú ochranu EÚ pre vkladateľov a daňovníkov</w:t>
            </w:r>
            <w:r>
              <w:t xml:space="preserve">; </w:t>
            </w:r>
            <w:r>
              <w:rPr>
                <w:b/>
                <w:i/>
              </w:rPr>
              <w:t>pripomína pozíciu tohto výboru k systému EDIS z roku 2024;</w:t>
            </w:r>
            <w:r>
              <w:t xml:space="preserve"> </w:t>
            </w:r>
            <w:r>
              <w:rPr>
                <w:b/>
                <w:i/>
              </w:rPr>
              <w:t>dôrazne vyzýva Radu, aby pokročila v rokovaniach;</w:t>
            </w:r>
          </w:p>
        </w:tc>
        <w:tc>
          <w:tcPr>
            <w:tcW w:w="4876" w:type="dxa"/>
            <w:tcBorders>
              <w:top w:val="nil"/>
              <w:left w:val="nil"/>
              <w:bottom w:val="nil"/>
              <w:right w:val="nil"/>
            </w:tcBorders>
          </w:tcPr>
          <w:p>
            <w:pPr>
              <w:pStyle w:val="Normal6a"/>
            </w:pPr>
            <w:r>
              <w:t>21.</w:t>
            </w:r>
            <w:r>
              <w:tab/>
            </w:r>
            <w:r>
              <w:rPr>
                <w:b/>
                <w:i/>
              </w:rPr>
              <w:t>uznáva pokrok dosiahnutý v oblasti</w:t>
            </w:r>
            <w:r>
              <w:t xml:space="preserve"> krízového riadenia a ochrany vkladov</w:t>
            </w:r>
            <w:r>
              <w:rPr>
                <w:b/>
                <w:i/>
              </w:rPr>
              <w:t>, ale varuje pred nadmerným spoliehaním sa na centralizované</w:t>
            </w:r>
            <w:r>
              <w:t xml:space="preserve"> systémy</w:t>
            </w:r>
            <w:r>
              <w:rPr>
                <w:b/>
                <w:i/>
              </w:rPr>
              <w:t>, ktoré by mohli oslabiť zodpovednosť a vystaviť fiškálne zodpovedné členské štáty systémovým záväzkom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víta prijatie balíka rámca krízového riadenia a ochrany vkladov (CMDI) ako pozitívny krok, ktorý posilňuje vnútroštátne systémy ochrany vkladov</w:t>
            </w:r>
            <w:r>
              <w:rPr>
                <w:b/>
                <w:i/>
              </w:rPr>
              <w:t>,</w:t>
            </w:r>
            <w:r>
              <w:t xml:space="preserve"> posilňuje dôveru v bankový sektor </w:t>
            </w:r>
            <w:r>
              <w:rPr>
                <w:b/>
                <w:i/>
              </w:rPr>
              <w:t>a zlepšuje prevádzkové a právne podmienky na prechod na spoločnú ochranu EÚ pre vkladateľov a daňovníkov</w:t>
            </w:r>
            <w:r>
              <w:t xml:space="preserve">; </w:t>
            </w:r>
            <w:r>
              <w:rPr>
                <w:b/>
                <w:i/>
              </w:rPr>
              <w:t>pripomína pozíciu tohto výboru k systému EDIS z roku 2024;</w:t>
            </w:r>
            <w:r>
              <w:t xml:space="preserve"> </w:t>
            </w:r>
            <w:r>
              <w:rPr>
                <w:b/>
                <w:i/>
              </w:rPr>
              <w:t>dôrazne vyzýva Radu, aby pokročila v rokovaniach;</w:t>
            </w:r>
          </w:p>
        </w:tc>
        <w:tc>
          <w:tcPr>
            <w:tcW w:w="4876" w:type="dxa"/>
            <w:tcBorders>
              <w:top w:val="nil"/>
              <w:left w:val="nil"/>
              <w:bottom w:val="nil"/>
              <w:right w:val="nil"/>
            </w:tcBorders>
          </w:tcPr>
          <w:p>
            <w:pPr>
              <w:pStyle w:val="Normal6a"/>
            </w:pPr>
            <w:r>
              <w:t>21.</w:t>
            </w:r>
            <w:r>
              <w:tab/>
            </w:r>
            <w:r>
              <w:t xml:space="preserve">víta prijatie balíka rámca krízového riadenia a ochrany vkladov (CMDI) ako pozitívny krok, ktorý posilňuje vnútroštátne systémy ochrany vkladov </w:t>
            </w:r>
            <w:r>
              <w:rPr>
                <w:b/>
                <w:i/>
              </w:rPr>
              <w:t>a</w:t>
            </w:r>
            <w:r>
              <w:t xml:space="preserve"> posilňuje dôveru v bankový sektor;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 </w:t>
            </w:r>
            <w:r>
              <w:rPr>
                <w:b/>
                <w:i/>
              </w:rPr>
              <w:t>pripomína pozíciu tohto výboru k systému EDIS z roku 2024;</w:t>
            </w:r>
            <w:r>
              <w:t xml:space="preserve"> </w:t>
            </w:r>
            <w:r>
              <w:rPr>
                <w:b/>
                <w:i/>
              </w:rPr>
              <w:t>dôrazne vyzýva Radu, aby pokročila v rokovaniach;</w:t>
            </w:r>
          </w:p>
        </w:tc>
        <w:tc>
          <w:tcPr>
            <w:tcW w:w="4876" w:type="dxa"/>
            <w:tcBorders>
              <w:top w:val="nil"/>
              <w:left w:val="nil"/>
              <w:bottom w:val="nil"/>
              <w:right w:val="nil"/>
            </w:tcBorders>
          </w:tcPr>
          <w:p>
            <w:pPr>
              <w:pStyle w:val="Normal6a"/>
            </w:pPr>
            <w:r>
              <w:t>21.</w:t>
            </w:r>
            <w:r>
              <w:tab/>
            </w:r>
            <w:r>
              <w:t>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 </w:t>
            </w:r>
            <w:r>
              <w:rPr>
                <w:b/>
                <w:i/>
              </w:rPr>
              <w:t>pripomína pozíciu tohto výboru k systému EDIS z roku 2024;</w:t>
            </w:r>
            <w:r>
              <w:t xml:space="preserve"> </w:t>
            </w:r>
            <w:r>
              <w:rPr>
                <w:b/>
                <w:i/>
              </w:rPr>
              <w:t>dôrazne vyzýva Radu, aby pokročila v rokovaniach;</w:t>
            </w:r>
          </w:p>
        </w:tc>
        <w:tc>
          <w:tcPr>
            <w:tcW w:w="4876" w:type="dxa"/>
            <w:tcBorders>
              <w:top w:val="nil"/>
              <w:left w:val="nil"/>
              <w:bottom w:val="nil"/>
              <w:right w:val="nil"/>
            </w:tcBorders>
          </w:tcPr>
          <w:p>
            <w:pPr>
              <w:pStyle w:val="Normal6a"/>
            </w:pPr>
            <w:r>
              <w:t>21.</w:t>
            </w:r>
            <w:r>
              <w:tab/>
            </w:r>
            <w:r>
              <w:t>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 </w:t>
            </w:r>
            <w:r>
              <w:rPr>
                <w:b/>
                <w:i/>
              </w:rPr>
              <w:t>pripomína pozíciu tohto výboru k systému EDIS z roku 2024;</w:t>
            </w:r>
            <w:r>
              <w:t xml:space="preserve"> dôrazne vyzýva Radu, aby pokročila v rokovaniach;</w:t>
            </w:r>
          </w:p>
        </w:tc>
        <w:tc>
          <w:tcPr>
            <w:tcW w:w="4876" w:type="dxa"/>
            <w:tcBorders>
              <w:top w:val="nil"/>
              <w:left w:val="nil"/>
              <w:bottom w:val="nil"/>
              <w:right w:val="nil"/>
            </w:tcBorders>
          </w:tcPr>
          <w:p>
            <w:pPr>
              <w:pStyle w:val="Normal6a"/>
            </w:pPr>
            <w:r>
              <w:t>21.</w:t>
            </w:r>
            <w:r>
              <w:tab/>
            </w:r>
            <w:r>
              <w:t>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 dôrazne vyzýva Radu, aby pokročila v rokovaniach;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 </w:t>
            </w:r>
            <w:r>
              <w:rPr>
                <w:b/>
                <w:i/>
              </w:rPr>
              <w:t>pripomína pozíciu tohto výboru k systému EDIS z roku 2024;</w:t>
            </w:r>
            <w:r>
              <w:t xml:space="preserve"> dôrazne vyzýva Radu, aby pokročila v rokovaniach;</w:t>
            </w:r>
          </w:p>
        </w:tc>
        <w:tc>
          <w:tcPr>
            <w:tcW w:w="4876" w:type="dxa"/>
            <w:tcBorders>
              <w:top w:val="nil"/>
              <w:left w:val="nil"/>
              <w:bottom w:val="nil"/>
              <w:right w:val="nil"/>
            </w:tcBorders>
          </w:tcPr>
          <w:p>
            <w:pPr>
              <w:pStyle w:val="Normal6a"/>
            </w:pPr>
            <w:r>
              <w:t>21.</w:t>
            </w:r>
            <w:r>
              <w:tab/>
            </w:r>
            <w:r>
              <w:t>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 dôrazne vyzýva Radu, aby pokročila v rokovaniach;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víta prijatie balíka rámca krízového riadenia a ochrany vkladov (CMDI) ako pozitívny krok, ktorý </w:t>
            </w:r>
            <w:r>
              <w:rPr>
                <w:b/>
                <w:i/>
              </w:rPr>
              <w:t>posilňuje vnútroštátne systémy ochrany vkladov,</w:t>
            </w:r>
            <w:r>
              <w:t xml:space="preserve"> posilňuje dôveru v bankový sektor a zlepšuje prevádzkové a právne podmienky na prechod na spoločnú ochranu EÚ pre vkladateľov a daňovníkov; pripomína pozíciu tohto výboru k systému EDIS z roku 2024; dôrazne vyzýva Radu, aby pokročila v rokovaniach;</w:t>
            </w:r>
          </w:p>
        </w:tc>
        <w:tc>
          <w:tcPr>
            <w:tcW w:w="4876" w:type="dxa"/>
            <w:tcBorders>
              <w:top w:val="nil"/>
              <w:left w:val="nil"/>
              <w:bottom w:val="nil"/>
              <w:right w:val="nil"/>
            </w:tcBorders>
          </w:tcPr>
          <w:p>
            <w:pPr>
              <w:pStyle w:val="Normal6a"/>
            </w:pPr>
            <w:r>
              <w:t>21.</w:t>
            </w:r>
            <w:r>
              <w:tab/>
            </w:r>
            <w:r>
              <w:t xml:space="preserve">víta prijatie balíka rámca krízového riadenia a ochrany vkladov (CMDI) ako pozitívny krok, ktorý posilňuje dôveru v bankový sektor a zlepšuje prevádzkové a právne podmienky na prechod na spoločnú ochranu EÚ pre vkladateľov a daňovníkov; pripomína pozíciu tohto výboru k systému EDIS z roku 2024; dôrazne vyzýva Radu, aby pokročila v rokovaniach; </w:t>
            </w:r>
            <w:r>
              <w:rPr>
                <w:b/>
                <w:i/>
              </w:rPr>
              <w:t>naliehavo vyzýva nového predsedu Euroskupiny, aby čo najskôr obnovil rokovania na túto 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víta prijatie balíka rámca krízového riadenia a ochrany vkladov (CMDI) ako pozitívny krok, ktorý posilňuje vnútroštátne systémy ochrany vkladov, posilňuje dôveru v bankový sektor a zlepšuje prevádzkové a právne podmienky na prechod na spoločnú ochranu EÚ pre vkladateľov a daňovníkov; pripomína pozíciu tohto výboru k systému EDIS z roku 2024; dôrazne vyzýva Radu, aby pokročila v rokovaniach;</w:t>
            </w:r>
          </w:p>
        </w:tc>
        <w:tc>
          <w:tcPr>
            <w:tcW w:w="4876" w:type="dxa"/>
            <w:tcBorders>
              <w:top w:val="nil"/>
              <w:left w:val="nil"/>
              <w:bottom w:val="nil"/>
              <w:right w:val="nil"/>
            </w:tcBorders>
          </w:tcPr>
          <w:p>
            <w:pPr>
              <w:pStyle w:val="Normal6a"/>
            </w:pPr>
            <w:r>
              <w:t>21.</w:t>
            </w:r>
            <w:r>
              <w:tab/>
            </w:r>
            <w:r>
              <w:t xml:space="preserve">víta prijatie balíka rámca krízového riadenia a ochrany vkladov (CMDI) ako pozitívny krok, ktorý posilňuje vnútroštátne systémy ochrany vkladov, posilňuje dôveru v bankový sektor a zlepšuje prevádzkové a právne podmienky na </w:t>
            </w:r>
            <w:r>
              <w:rPr>
                <w:b/>
                <w:i/>
              </w:rPr>
              <w:t>postupný a dôveryhodný </w:t>
            </w:r>
            <w:r>
              <w:t>prechod na spoločnú ochranu EÚ pre vkladateľov a daňovníkov; pripomína pozíciu tohto výboru k systému EDIS z roku 2024; dôrazne vyzýva Radu, aby pokročila v rokovaniach;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140</w:t>
    </w:r>
    <w:r>
      <w:fldChar w:fldCharType="end"/>
    </w:r>
    <w:r>
      <w:t>/</w:t>
    </w:r>
    <w:r>
      <w:fldChar w:fldCharType="begin"/>
    </w:r>
    <w:r>
      <w:instrText xml:space="preserve"> NUMPAGES </w:instrText>
    </w:r>
    <w:r>
      <w:fldChar w:fldCharType="separate"/>
    </w:r>
    <w:r>
      <w:t>140</w:t>
    </w:r>
    <w:r>
      <w:fldChar w:fldCharType="end"/>
    </w:r>
    <w:r>
      <w:tab/>
    </w:r>
    <w:r>
      <w:rPr>
        <w:rStyle w:val="HideTWBExt"/>
      </w:rPr>
      <w:t>&lt;PathFdR&gt;</w:t>
    </w:r>
    <w:r>
      <w:t>AM\1335561SK.docx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AM\1335561SK.docx</w:t>
    </w:r>
    <w:r>
      <w:rPr>
        <w:rStyle w:val="HideTWBExt"/>
      </w:rPr>
      <w:t>&lt;/PathFdR&gt;</w:t>
    </w:r>
    <w:r>
      <w:tab/>
    </w:r>
    <w:r>
      <w:fldChar w:fldCharType="begin"/>
    </w:r>
    <w:r>
      <w:instrText xml:space="preserve"> PAGE </w:instrText>
    </w:r>
    <w:r>
      <w:fldChar w:fldCharType="separate"/>
    </w:r>
    <w:r>
      <w:t>139</w:t>
    </w:r>
    <w:r>
      <w:fldChar w:fldCharType="end"/>
    </w:r>
    <w:r>
      <w:t>/</w:t>
    </w:r>
    <w:r>
      <w:fldChar w:fldCharType="begin"/>
    </w:r>
    <w:r>
      <w:instrText xml:space="preserve"> NUMPAGES </w:instrText>
    </w:r>
    <w:r>
      <w:fldChar w:fldCharType="separate"/>
    </w:r>
    <w:r>
      <w:t>140</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AM\1335561SK.docx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140</Pages>
  <Words>26404</Words>
  <Characters>167943</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360985</vt:lpwstr>
  </property>
  <property fmtid="{D5CDD505-2E9C-101B-9397-08002B2CF9AE}" pid="7" name="dmxml.render.traceId">
    <vt:lpwstr>6981d13dc458fe36b428fdf2af7471de</vt:lpwstr>
  </property>
  <property fmtid="{D5CDD505-2E9C-101B-9397-08002B2CF9AE}" pid="8" name="FooterPath">
    <vt:lpwstr>AM\1335561SK.docx</vt:lpwstr>
  </property>
  <property fmtid="{D5CDD505-2E9C-101B-9397-08002B2CF9AE}" pid="9" name="PE Number">
    <vt:lpwstr>782.353</vt:lpwstr>
  </property>
  <property fmtid="{D5CDD505-2E9C-101B-9397-08002B2CF9AE}" pid="10" name="UID">
    <vt:lpwstr>eu.europa.europarl-DIN1-2026-0000006414_01.00-sk-01.00_text-xml</vt:lpwstr>
  </property>
</Properties>
</file>