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Odbor za ekonomske in monetarne zadeve</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Bančna unija – letno poročilo za leto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ob upoštevanju poročila Odbora za ekonomske in monetarne zadeve z dne 23. aprila 2024 o predlogu uredbe Evropskega parlamenta in Sveta o spremembi Uredbe (EU) 806/2014 za vzpostavitev evropskega sistema jamstva za vloge,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ob upoštevanju poročila Odbora za ekonomske in monetarne zadeve z dne 23. aprila 2024 o predlogu uredbe Evropskega parlamenta in Sveta o spremembi Uredbe (EU) 806/2014 za vzpostavitev evropskega sistema jamstva za vloge,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ob upoštevanju poročila petih predsednikov z dne 22. junija 2015 z naslovom Dokončanje evropske ekonomske in monetarne unije,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ob upoštevanju priložnostnega dokumenta ECB št. 328 z naslovom The Road to Paris:</w:t>
            </w:r>
            <w:r>
              <w:t xml:space="preserve"> </w:t>
            </w:r>
            <w:r>
              <w:rPr>
                <w:b/>
                <w:i/>
              </w:rPr>
              <w:t>stress testing the transition towards a net-zero economy (Pot do Pariza:</w:t>
            </w:r>
            <w:r>
              <w:t xml:space="preserve"> </w:t>
            </w:r>
            <w:r>
              <w:rPr>
                <w:b/>
                <w:i/>
              </w:rPr>
              <w:t>testiranje izjemnih situacij v zvezi s prehodom na gospodarstvo z ničelno stopnjo neto emisij),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ob upoštevanju priložnostnega dokumenta ECB št. 328 z naslovom The Road to Paris:</w:t>
            </w:r>
            <w:r>
              <w:t xml:space="preserve"> </w:t>
            </w:r>
            <w:r>
              <w:rPr>
                <w:b/>
                <w:i/>
              </w:rPr>
              <w:t>stress testing the transition towards a net-zero economy (Pot do Pariza:</w:t>
            </w:r>
            <w:r>
              <w:t xml:space="preserve"> </w:t>
            </w:r>
            <w:r>
              <w:rPr>
                <w:b/>
                <w:i/>
              </w:rPr>
              <w:t>testiranje izjemnih situacij v zvezi s prehodom na gospodarstvo z ničelno stopnjo neto emisij),</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občasnega zvezka ECB (ECB Occasional series paper) št. 376 iz leta 2025 z naslovom „Capital requirements: a pillar or a burden for bank competitiveness?“ (Kapitalske zahteve: steber konkurenčnosti bank ali breme zanjo?),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Baselskega odbora za bančni nadzor z dne 10. julija 2025 o medsebojnih povezavah bank z nebančnimi finančnimi posredniki,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Evropskega organa za zavarovanja in poklicne pokojnine z dne 7. novembra 2024 o bonitetni obravnavi tveganj glede trajnostnosti,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34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ECB iz decembra 2025 o poenostavitvi evropskega bonitetnega regulativnega in nadzornega okvira ter okvira poročanja,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34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EBA z dne 1. oktobra 2025 o učinkovitosti regulativnega in nadzornega okvira,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je cilj bančne unije zagotoviti stabilnost </w:t>
            </w:r>
            <w:r>
              <w:rPr>
                <w:b/>
                <w:i/>
              </w:rPr>
              <w:t>bank</w:t>
            </w:r>
            <w:r>
              <w:t>, preprečiti reševanje s sredstvi davkoplačevalcev, okrepiti odpornost, omogočiti urejeno reševanje, zmanjšati razdrobljenost trga ter povečati konkurenčnost, čezmejne dejavnosti in dostop do financiranja</w:t>
            </w:r>
            <w:r>
              <w:rPr>
                <w:b/>
                <w:i/>
              </w:rPr>
              <w:t>, medtem ko vprašanje bank, ki so „prevelike, da bi propadle“, ostaja nerešeno</w:t>
            </w:r>
            <w:r>
              <w:t>;</w:t>
            </w:r>
          </w:p>
        </w:tc>
        <w:tc>
          <w:tcPr>
            <w:tcW w:w="4876" w:type="dxa"/>
            <w:tcBorders>
              <w:top w:val="nil"/>
              <w:left w:val="nil"/>
              <w:bottom w:val="nil"/>
              <w:right w:val="nil"/>
            </w:tcBorders>
          </w:tcPr>
          <w:p>
            <w:pPr>
              <w:pStyle w:val="Normal6a"/>
            </w:pPr>
            <w:r>
              <w:t>A.</w:t>
            </w:r>
            <w:r>
              <w:tab/>
            </w:r>
            <w:r>
              <w:t xml:space="preserve">ker je cilj bančne unije zagotoviti stabilnost </w:t>
            </w:r>
            <w:r>
              <w:rPr>
                <w:b/>
                <w:i/>
              </w:rPr>
              <w:t>finančnega sistema in urejeno upravljanje bančne krize</w:t>
            </w:r>
            <w:r>
              <w:t>, preprečiti reševanje s sredstvi davkoplačevalcev, okrepiti odpornost, omogočiti urejeno reševanje, zmanjšati razdrobljenost trga ter povečati konkurenčnost, čezmejne dejavnosti in dostop do financiranja;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cilj bančne unije zagotoviti stabilnost bank, preprečiti reševanje s sredstvi davkoplačevalcev, okrepiti odpornost, omogočiti urejeno reševanje, zmanjšati razdrobljenost trga ter povečati konkurenčnost, čezmejne dejavnosti in dostop do financiranja</w:t>
            </w:r>
            <w:r>
              <w:rPr>
                <w:b/>
                <w:i/>
              </w:rPr>
              <w:t>, medtem ko vprašanje bank, ki so „prevelike, da bi propadle“, ostaja nerešeno</w:t>
            </w:r>
            <w:r>
              <w:t>;</w:t>
            </w:r>
          </w:p>
        </w:tc>
        <w:tc>
          <w:tcPr>
            <w:tcW w:w="4876" w:type="dxa"/>
            <w:tcBorders>
              <w:top w:val="nil"/>
              <w:left w:val="nil"/>
              <w:bottom w:val="nil"/>
              <w:right w:val="nil"/>
            </w:tcBorders>
          </w:tcPr>
          <w:p>
            <w:pPr>
              <w:pStyle w:val="Normal6a"/>
            </w:pPr>
            <w:r>
              <w:t>A.</w:t>
            </w:r>
            <w:r>
              <w:tab/>
            </w:r>
            <w:r>
              <w:t>ker je cilj bančne unije zagotoviti stabilnost bank</w:t>
            </w:r>
            <w:r>
              <w:rPr>
                <w:b/>
                <w:i/>
              </w:rPr>
              <w:t>, prekiniti začarani krog, v katerem so se znašle državne banke</w:t>
            </w:r>
            <w:r>
              <w:t>, preprečiti reševanje s sredstvi davkoplačevalcev, okrepiti odpornost, omogočiti urejeno reševanje, zmanjšati razdrobljenost trga ter povečati konkurenčnost, čezmejne dejavnosti in dostop do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cilj bančne unije zagotoviti stabilnost bank, preprečiti reševanje s sredstvi davkoplačevalcev, okrepiti odpornost, omogočiti urejeno reševanje, zmanjšati razdrobljenost trga ter povečati konkurenčnost, čezmejne dejavnosti in dostop do financiranja</w:t>
            </w:r>
            <w:r>
              <w:rPr>
                <w:b/>
                <w:i/>
              </w:rPr>
              <w:t>, medtem ko vprašanje bank, ki so „prevelike, da bi propadle“, ostaja nerešeno</w:t>
            </w:r>
            <w:r>
              <w:t>;</w:t>
            </w:r>
          </w:p>
        </w:tc>
        <w:tc>
          <w:tcPr>
            <w:tcW w:w="4876" w:type="dxa"/>
            <w:tcBorders>
              <w:top w:val="nil"/>
              <w:left w:val="nil"/>
              <w:bottom w:val="nil"/>
              <w:right w:val="nil"/>
            </w:tcBorders>
          </w:tcPr>
          <w:p>
            <w:pPr>
              <w:pStyle w:val="Normal6a"/>
            </w:pPr>
            <w:r>
              <w:t>A.</w:t>
            </w:r>
            <w:r>
              <w:tab/>
            </w:r>
            <w:r>
              <w:t>ker je cilj bančne unije zagotoviti stabilnost bank, preprečiti reševanje s sredstvi davkoplačevalcev, okrepiti odpornost, omogočiti urejeno reševanje, zmanjšati razdrobljenost trga ter povečati konkurenčnost, čezmejne dejavnosti in dostop do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je cilj bančne unije zagotoviti stabilnost bank, preprečiti reševanje s sredstvi davkoplačevalcev, okrepiti odpornost, omogočiti urejeno reševanje, zmanjšati razdrobljenost trga ter povečati konkurenčnost, čezmejne dejavnosti in dostop do financiranja, </w:t>
            </w:r>
            <w:r>
              <w:rPr>
                <w:b/>
                <w:i/>
              </w:rPr>
              <w:t>medtem ko vprašanje bank, ki so „prevelike, da bi propadle“, ostaja nerešeno</w:t>
            </w:r>
            <w:r>
              <w:t>;</w:t>
            </w:r>
          </w:p>
        </w:tc>
        <w:tc>
          <w:tcPr>
            <w:tcW w:w="4876" w:type="dxa"/>
            <w:tcBorders>
              <w:top w:val="nil"/>
              <w:left w:val="nil"/>
              <w:bottom w:val="nil"/>
              <w:right w:val="nil"/>
            </w:tcBorders>
          </w:tcPr>
          <w:p>
            <w:pPr>
              <w:pStyle w:val="Normal6a"/>
            </w:pPr>
            <w:r>
              <w:t>A.</w:t>
            </w:r>
            <w:r>
              <w:tab/>
            </w:r>
            <w:r>
              <w:t xml:space="preserve">ker je cilj bančne unije zagotoviti stabilnost bank, preprečiti reševanje s sredstvi davkoplačevalcev, okrepiti odpornost, omogočiti urejeno reševanje, zmanjšati razdrobljenost trga ter povečati konkurenčnost, čezmejne dejavnosti in dostop do financiranja, </w:t>
            </w:r>
            <w:r>
              <w:rPr>
                <w:b/>
                <w:i/>
              </w:rPr>
              <w:t>saj je evropska bančna krajina raznolika, v njej so najrazličnejše bančne strukture, ki evropskim državljanom in podjetjem ponujajo široko paleto storitev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je cilj bančne unije zagotoviti stabilnost bank, preprečiti reševanje s sredstvi davkoplačevalcev, okrepiti odpornost, omogočiti urejeno reševanje, zmanjšati razdrobljenost trga ter povečati konkurenčnost, čezmejne dejavnosti in dostop do financiranja, medtem ko </w:t>
            </w:r>
            <w:r>
              <w:rPr>
                <w:b/>
                <w:i/>
              </w:rPr>
              <w:t>vprašanje</w:t>
            </w:r>
            <w:r>
              <w:t xml:space="preserve"> bank, ki so „prevelike, da bi propadle“, </w:t>
            </w:r>
            <w:r>
              <w:rPr>
                <w:b/>
                <w:i/>
              </w:rPr>
              <w:t>ostaja nerešeno</w:t>
            </w:r>
            <w:r>
              <w:t>;</w:t>
            </w:r>
          </w:p>
        </w:tc>
        <w:tc>
          <w:tcPr>
            <w:tcW w:w="4876" w:type="dxa"/>
            <w:tcBorders>
              <w:top w:val="nil"/>
              <w:left w:val="nil"/>
              <w:bottom w:val="nil"/>
              <w:right w:val="nil"/>
            </w:tcBorders>
          </w:tcPr>
          <w:p>
            <w:pPr>
              <w:pStyle w:val="Normal6a"/>
            </w:pPr>
            <w:r>
              <w:t>A.</w:t>
            </w:r>
            <w:r>
              <w:tab/>
            </w:r>
            <w:r>
              <w:t xml:space="preserve">ker je cilj bančne unije zagotoviti stabilnost bank, preprečiti reševanje s sredstvi davkoplačevalcev, okrepiti odpornost, omogočiti urejeno reševanje, zmanjšati razdrobljenost trga ter povečati konkurenčnost, čezmejne dejavnosti in dostop do financiranja, medtem ko </w:t>
            </w:r>
            <w:r>
              <w:rPr>
                <w:b/>
                <w:i/>
              </w:rPr>
              <w:t>trdovratna dinamika</w:t>
            </w:r>
            <w:r>
              <w:t xml:space="preserve"> bank, ki so „prevelike, da bi propadle“, </w:t>
            </w:r>
            <w:r>
              <w:rPr>
                <w:b/>
                <w:i/>
              </w:rPr>
              <w:t>še naprej izkrivlja tržne spodbude in povečuje implicitna državna jamstva</w:t>
            </w:r>
            <w:r>
              <w:t xml:space="preserve">; </w:t>
            </w:r>
            <w:r>
              <w:rPr>
                <w:b/>
                <w:i/>
              </w:rPr>
              <w:t>poziva k večji tržni disciplini namesto k nadaljnjemu regulativnemu večplastnemu urejanju;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cilj bančne unije zagotoviti stabilnost bank, preprečiti reševanje s sredstvi davkoplačevalcev, okrepiti odpornost, omogočiti urejeno reševanje, zmanjšati razdrobljenost trga ter povečati konkurenčnost, čezmejne dejavnosti in dostop do financiranja, medtem ko vprašanje bank, ki so „prevelike, da bi propadle“, ostaja nerešeno;</w:t>
            </w:r>
          </w:p>
        </w:tc>
        <w:tc>
          <w:tcPr>
            <w:tcW w:w="4876" w:type="dxa"/>
            <w:tcBorders>
              <w:top w:val="nil"/>
              <w:left w:val="nil"/>
              <w:bottom w:val="nil"/>
              <w:right w:val="nil"/>
            </w:tcBorders>
          </w:tcPr>
          <w:p>
            <w:pPr>
              <w:pStyle w:val="Normal6a"/>
            </w:pPr>
            <w:r>
              <w:t>A.</w:t>
            </w:r>
            <w:r>
              <w:tab/>
            </w:r>
            <w:r>
              <w:t xml:space="preserve">ker je cilj bančne unije zagotoviti stabilnost bank, preprečiti reševanje s sredstvi davkoplačevalcev, okrepiti odpornost, omogočiti urejeno reševanje, zmanjšati razdrobljenost trga ter povečati konkurenčnost, čezmejne dejavnosti in dostop do financiranja, </w:t>
            </w:r>
            <w:r>
              <w:rPr>
                <w:b/>
                <w:i/>
              </w:rPr>
              <w:t>s tem pa znižati stroške za bančne stranke,</w:t>
            </w:r>
            <w:r>
              <w:t xml:space="preserve"> medtem ko vprašanje bank, ki so „prevelike, da bi propadle“, ostaja nerešeno;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cilj bančne unije zagotoviti stabilnost bank, preprečiti reševanje s sredstvi davkoplačevalcev, okrepiti odpornost, omogočiti urejeno reševanje, zmanjšati razdrobljenost trga ter povečati konkurenčnost, čezmejne dejavnosti in dostop do financiranja, medtem ko vprašanje bank, ki so „prevelike, da bi propadle“, ostaja nerešeno;</w:t>
            </w:r>
          </w:p>
        </w:tc>
        <w:tc>
          <w:tcPr>
            <w:tcW w:w="4876" w:type="dxa"/>
            <w:tcBorders>
              <w:top w:val="nil"/>
              <w:left w:val="nil"/>
              <w:bottom w:val="nil"/>
              <w:right w:val="nil"/>
            </w:tcBorders>
          </w:tcPr>
          <w:p>
            <w:pPr>
              <w:pStyle w:val="Normal6a"/>
            </w:pPr>
            <w:r>
              <w:t>A.</w:t>
            </w:r>
            <w:r>
              <w:tab/>
            </w:r>
            <w:r>
              <w:t>ker je cilj bančne unije zagotoviti stabilnost bank, preprečiti reševanje s sredstvi davkoplačevalcev, okrepiti odpornost, omogočiti urejeno reševanje, zmanjšati razdrobljenost trga</w:t>
            </w:r>
            <w:r>
              <w:rPr>
                <w:b/>
                <w:i/>
              </w:rPr>
              <w:t>, izboljšati zaščito vlagateljev</w:t>
            </w:r>
            <w:r>
              <w:t xml:space="preserve"> ter povečati konkurenčnost, čezmejne dejavnosti in dostop do financiranja, medtem ko vprašanje bank, ki so „prevelike, da bi propadle“, ostaja nerešeno;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ima bančna unija naslednje cilje:</w:t>
            </w:r>
            <w:r>
              <w:t xml:space="preserve"> </w:t>
            </w:r>
            <w:r>
              <w:rPr>
                <w:b/>
                <w:i/>
              </w:rPr>
              <w:t>I.) podpiranje trdnosti bank, da vzdržijo prihodnje finančne krize, ii.) zagotavljanje reševanja propadajočih bank s preprečevanjem uporabe sredstev davkoplačevalcev z minimalnim učinkom na realno gospodarstvo in iii.) zmanjšanje razdrobljenosti trga z določitvijo usklajenih pravil za finančni sektor;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je močan in diverzificiran bančni sektor ključen za zagotavljanje gospodarske rasti, financiranje malih in srednjih podjetij in zagonskih podjetij ter prehod na zeleno in digitalno gospodarstvo;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bančna unija, ki jo sestavljata enotni mehanizem nadzora in enotni mehanizem za reševanje, </w:t>
            </w:r>
            <w:r>
              <w:rPr>
                <w:b/>
                <w:i/>
              </w:rPr>
              <w:t>usklajuje nadzor in krizno upravljanje, vendar je še vedno nepopolna, dokler se evropski sistem jamstva za vloge ne izvaja v celoti</w:t>
            </w:r>
            <w:r>
              <w:t>;</w:t>
            </w:r>
          </w:p>
        </w:tc>
        <w:tc>
          <w:tcPr>
            <w:tcW w:w="4876" w:type="dxa"/>
            <w:tcBorders>
              <w:top w:val="nil"/>
              <w:left w:val="nil"/>
              <w:bottom w:val="nil"/>
              <w:right w:val="nil"/>
            </w:tcBorders>
          </w:tcPr>
          <w:p>
            <w:pPr>
              <w:pStyle w:val="Normal6a"/>
            </w:pPr>
            <w:r>
              <w:t>B.</w:t>
            </w:r>
            <w:r>
              <w:tab/>
            </w:r>
            <w:r>
              <w:t xml:space="preserve">ker </w:t>
            </w:r>
            <w:r>
              <w:rPr>
                <w:b/>
                <w:i/>
              </w:rPr>
              <w:t>je</w:t>
            </w:r>
            <w:r>
              <w:t xml:space="preserve"> bančna unija, ki jo sestavljata enotni mehanizem nadzora in enotni mehanizem za reševanje, </w:t>
            </w:r>
            <w:r>
              <w:rPr>
                <w:b/>
                <w:i/>
              </w:rPr>
              <w:t>povečala finančno stabilnost ter izboljšala usklajenost nadzora in kriznega upravljanja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bančna unija, ki jo </w:t>
            </w:r>
            <w:r>
              <w:rPr>
                <w:b/>
                <w:i/>
              </w:rPr>
              <w:t>sestavljata</w:t>
            </w:r>
            <w:r>
              <w:t xml:space="preserve"> enotni mehanizem nadzora </w:t>
            </w:r>
            <w:r>
              <w:rPr>
                <w:b/>
                <w:i/>
              </w:rPr>
              <w:t>in</w:t>
            </w:r>
            <w:r>
              <w:t xml:space="preserve"> enotni mehanizem za reševanje, usklajuje nadzor in krizno upravljanje</w:t>
            </w:r>
            <w:r>
              <w:rPr>
                <w:b/>
                <w:i/>
              </w:rPr>
              <w:t>, vendar je še vedno nepopolna, dokler se evropski sistem jamstva za vloge ne izvaja v celoti</w:t>
            </w:r>
            <w:r>
              <w:t>;</w:t>
            </w:r>
          </w:p>
        </w:tc>
        <w:tc>
          <w:tcPr>
            <w:tcW w:w="4876" w:type="dxa"/>
            <w:tcBorders>
              <w:top w:val="nil"/>
              <w:left w:val="nil"/>
              <w:bottom w:val="nil"/>
              <w:right w:val="nil"/>
            </w:tcBorders>
          </w:tcPr>
          <w:p>
            <w:pPr>
              <w:pStyle w:val="Normal6a"/>
            </w:pPr>
            <w:r>
              <w:t>B.</w:t>
            </w:r>
            <w:r>
              <w:tab/>
            </w:r>
            <w:r>
              <w:t xml:space="preserve">ker bančna unija, ki jo </w:t>
            </w:r>
            <w:r>
              <w:rPr>
                <w:b/>
                <w:i/>
              </w:rPr>
              <w:t>sestavljajo</w:t>
            </w:r>
            <w:r>
              <w:t xml:space="preserve"> enotni mehanizem nadzora</w:t>
            </w:r>
            <w:r>
              <w:rPr>
                <w:b/>
                <w:i/>
              </w:rPr>
              <w:t>,</w:t>
            </w:r>
            <w:r>
              <w:t xml:space="preserve"> enotni mehanizem za reševanje </w:t>
            </w:r>
            <w:r>
              <w:rPr>
                <w:b/>
                <w:i/>
              </w:rPr>
              <w:t>in harmonizirana pravila za jamstva za vloge</w:t>
            </w:r>
            <w:r>
              <w:t>, usklajuje nadzor in krizno upravljanje;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w:t>
            </w:r>
            <w:r>
              <w:rPr>
                <w:b/>
                <w:i/>
              </w:rPr>
              <w:t>, vendar je še vedno nepopolna, dokler se evropski sistem</w:t>
            </w:r>
            <w:r>
              <w:t xml:space="preserve"> jamstva za vloge </w:t>
            </w:r>
            <w:r>
              <w:rPr>
                <w:b/>
                <w:i/>
              </w:rPr>
              <w:t>ne izvaja v celoti</w:t>
            </w:r>
            <w:r>
              <w:t>;</w:t>
            </w:r>
          </w:p>
        </w:tc>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w:t>
            </w:r>
            <w:r>
              <w:rPr>
                <w:b/>
                <w:i/>
              </w:rPr>
              <w:t>;</w:t>
            </w:r>
            <w:r>
              <w:t xml:space="preserve"> </w:t>
            </w:r>
            <w:r>
              <w:rPr>
                <w:b/>
                <w:i/>
              </w:rPr>
              <w:t>ugotavlja, da so bili nacionalni sistemi</w:t>
            </w:r>
            <w:r>
              <w:t xml:space="preserve"> jamstva za vloge </w:t>
            </w:r>
            <w:r>
              <w:rPr>
                <w:b/>
                <w:i/>
              </w:rPr>
              <w:t>uspešno uvedeni, v več primerih pa se je tudi izkazalo, da delujejo</w:t>
            </w:r>
            <w:r>
              <w:t xml:space="preserve">; </w:t>
            </w:r>
            <w:r>
              <w:rPr>
                <w:b/>
                <w:i/>
              </w:rPr>
              <w:t>ker bi moral novi predlog Komisije za vzpostavitev evropskega sistema jamstev za vloge bolje upoštevati posebne nacionalne značilnosti, da bi ohranili dobro delujoče sisteme za manjše banke, ki že obstajajo v nekaterih državah članicah, hkrati pa zagotovili enake konkurenčne pogoje v vsej bančni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w:t>
            </w:r>
            <w:r>
              <w:rPr>
                <w:b/>
                <w:i/>
              </w:rPr>
              <w:t>, vendar je še vedno nepopolna, dokler se evropski sistem jamstva za vloge ne izvaja v celoti</w:t>
            </w:r>
            <w:r>
              <w:t>;</w:t>
            </w:r>
          </w:p>
        </w:tc>
        <w:tc>
          <w:tcPr>
            <w:tcW w:w="4876" w:type="dxa"/>
            <w:tcBorders>
              <w:top w:val="nil"/>
              <w:left w:val="nil"/>
              <w:bottom w:val="nil"/>
              <w:right w:val="nil"/>
            </w:tcBorders>
          </w:tcPr>
          <w:p>
            <w:pPr>
              <w:pStyle w:val="Normal6a"/>
            </w:pPr>
            <w:r>
              <w:t>B.</w:t>
            </w:r>
            <w:r>
              <w:tab/>
            </w:r>
            <w:r>
              <w:t xml:space="preserve">ker bančna unija, ki jo sestavljata enotni mehanizem nadzora in enotni mehanizem za reševanje, usklajuje nadzor in krizno upravljanje </w:t>
            </w:r>
            <w:r>
              <w:rPr>
                <w:b/>
                <w:i/>
              </w:rPr>
              <w:t>ter zagotavlja visoko raven zaščite vlog na podlagi skupnih evropskih minimalnih standardov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w:t>
            </w:r>
            <w:r>
              <w:rPr>
                <w:b/>
                <w:i/>
              </w:rPr>
              <w:t>, vendar je še vedno nepopolna, dokler se evropski sistem jamstva za vloge ne izvaja v celoti</w:t>
            </w:r>
            <w:r>
              <w:t>;</w:t>
            </w:r>
          </w:p>
        </w:tc>
        <w:tc>
          <w:tcPr>
            <w:tcW w:w="4876" w:type="dxa"/>
            <w:tcBorders>
              <w:top w:val="nil"/>
              <w:left w:val="nil"/>
              <w:bottom w:val="nil"/>
              <w:right w:val="nil"/>
            </w:tcBorders>
          </w:tcPr>
          <w:p>
            <w:pPr>
              <w:pStyle w:val="Normal6a"/>
            </w:pPr>
            <w:r>
              <w:t>B.</w:t>
            </w:r>
            <w:r>
              <w:tab/>
            </w:r>
            <w:r>
              <w:t xml:space="preserve">ker bančna unija, ki jo </w:t>
            </w:r>
            <w:r>
              <w:rPr>
                <w:b/>
                <w:i/>
              </w:rPr>
              <w:t>za zdaj</w:t>
            </w:r>
            <w:r>
              <w:t xml:space="preserve"> sestavljata enotni mehanizem nadzora in enotni mehanizem za reševanje, usklajuje nadzor in krizno upravljanje;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w:t>
            </w:r>
            <w:r>
              <w:rPr>
                <w:b/>
                <w:i/>
              </w:rPr>
              <w:t>, vendar je še vedno nepopolna, dokler se evropski sistem jamstva za vloge ne izvaja v celoti</w:t>
            </w:r>
            <w:r>
              <w:t>;</w:t>
            </w:r>
          </w:p>
        </w:tc>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 vendar je še vedno nepopolna</w:t>
            </w:r>
            <w:r>
              <w:rPr>
                <w:b/>
                <w:i/>
              </w:rPr>
              <w:t>, dokler se evropski sistem jamstva za vloge ne izvaja v celoti</w:t>
            </w:r>
            <w:r>
              <w:t>;</w:t>
            </w:r>
          </w:p>
        </w:tc>
        <w:tc>
          <w:tcPr>
            <w:tcW w:w="4876" w:type="dxa"/>
            <w:tcBorders>
              <w:top w:val="nil"/>
              <w:left w:val="nil"/>
              <w:bottom w:val="nil"/>
              <w:right w:val="nil"/>
            </w:tcBorders>
          </w:tcPr>
          <w:p>
            <w:pPr>
              <w:pStyle w:val="Normal6a"/>
            </w:pPr>
            <w:r>
              <w:t>B.</w:t>
            </w:r>
            <w:r>
              <w:tab/>
            </w:r>
            <w:r>
              <w:t xml:space="preserve">ker bančna unija, ki jo sestavljata enotni mehanizem nadzora in enotni mehanizem za reševanje, usklajuje nadzor in krizno upravljanje, vendar je še vedno </w:t>
            </w:r>
            <w:r>
              <w:rPr>
                <w:b/>
                <w:i/>
              </w:rPr>
              <w:t>strukturno</w:t>
            </w:r>
            <w:r>
              <w:t xml:space="preserve"> nepopolna </w:t>
            </w:r>
            <w:r>
              <w:rPr>
                <w:b/>
                <w:i/>
              </w:rPr>
              <w:t>in neučinkovita;</w:t>
            </w:r>
            <w:r>
              <w:t xml:space="preserve"> </w:t>
            </w:r>
            <w:r>
              <w:rPr>
                <w:b/>
                <w:i/>
              </w:rPr>
              <w:t>poudarja, da vzajemno prevzemanje tveganj brez tržne odgovornosti izkrivlja konkurenčno nevtralnost in izpostavlja fiskalno odgovorne države članice neupravičenim pogojnim obveznostim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bančna unija, ki jo sestavljata enotni mehanizem nadzora in enotni mehanizem za reševanje, usklajuje nadzor in krizno upravljanje, vendar je še vedno nepopolna, dokler </w:t>
            </w:r>
            <w:r>
              <w:rPr>
                <w:b/>
                <w:i/>
              </w:rPr>
              <w:t>se evropski sistem</w:t>
            </w:r>
            <w:r>
              <w:t xml:space="preserve"> jamstva za vloge </w:t>
            </w:r>
            <w:r>
              <w:rPr>
                <w:b/>
                <w:i/>
              </w:rPr>
              <w:t>ne izvaja</w:t>
            </w:r>
            <w:r>
              <w:t xml:space="preserve"> v celoti;</w:t>
            </w:r>
          </w:p>
        </w:tc>
        <w:tc>
          <w:tcPr>
            <w:tcW w:w="4876" w:type="dxa"/>
            <w:tcBorders>
              <w:top w:val="nil"/>
              <w:left w:val="nil"/>
              <w:bottom w:val="nil"/>
              <w:right w:val="nil"/>
            </w:tcBorders>
          </w:tcPr>
          <w:p>
            <w:pPr>
              <w:pStyle w:val="Normal6a"/>
            </w:pPr>
            <w:r>
              <w:t>B.</w:t>
            </w:r>
            <w:r>
              <w:tab/>
            </w:r>
            <w:r>
              <w:t xml:space="preserve">ker bančna unija, ki jo sestavljata enotni mehanizem nadzora in enotni mehanizem za reševanje, usklajuje nadzor in krizno upravljanje, vendar je še vedno nepopolna, dokler </w:t>
            </w:r>
            <w:r>
              <w:rPr>
                <w:b/>
                <w:i/>
              </w:rPr>
              <w:t>ni evropskega sistema</w:t>
            </w:r>
            <w:r>
              <w:t xml:space="preserve"> jamstva za vloge</w:t>
            </w:r>
            <w:r>
              <w:rPr>
                <w:b/>
                <w:i/>
              </w:rPr>
              <w:t>, ki bi</w:t>
            </w:r>
            <w:r>
              <w:t xml:space="preserve"> v celoti </w:t>
            </w:r>
            <w:r>
              <w:rPr>
                <w:b/>
                <w:i/>
              </w:rPr>
              <w:t>upošteval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 vendar je še vedno nepopolna, dokler se evropski sistem jamstva za vloge ne izvaja v celoti;</w:t>
            </w:r>
          </w:p>
        </w:tc>
        <w:tc>
          <w:tcPr>
            <w:tcW w:w="4876" w:type="dxa"/>
            <w:tcBorders>
              <w:top w:val="nil"/>
              <w:left w:val="nil"/>
              <w:bottom w:val="nil"/>
              <w:right w:val="nil"/>
            </w:tcBorders>
          </w:tcPr>
          <w:p>
            <w:pPr>
              <w:pStyle w:val="Normal6a"/>
            </w:pPr>
            <w:r>
              <w:t>B.</w:t>
            </w:r>
            <w:r>
              <w:tab/>
            </w:r>
            <w:r>
              <w:t xml:space="preserve">ker bančna unija, ki jo sestavljata enotni mehanizem nadzora in enotni mehanizem za reševanje, usklajuje nadzor in krizno upravljanje, vendar je še vedno nepopolna, dokler se evropski sistem jamstva za vloge ne izvaja v celoti </w:t>
            </w:r>
            <w:r>
              <w:rPr>
                <w:b/>
                <w:i/>
              </w:rPr>
              <w:t>in dokler ni skupnega varovalnega mehanizma za enotni sklad za reševanje, ki je odvisen od ratifikacije revidirane Pogodbe o EMS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bančna unija, ki jo sestavljata enotni mehanizem nadzora in enotni mehanizem za reševanje, usklajuje nadzor in krizno upravljanje, vendar je še vedno nepopolna, dokler se evropski sistem jamstva za vloge ne izvaja v celoti;</w:t>
            </w:r>
          </w:p>
        </w:tc>
        <w:tc>
          <w:tcPr>
            <w:tcW w:w="4876" w:type="dxa"/>
            <w:tcBorders>
              <w:top w:val="nil"/>
              <w:left w:val="nil"/>
              <w:bottom w:val="nil"/>
              <w:right w:val="nil"/>
            </w:tcBorders>
          </w:tcPr>
          <w:p>
            <w:pPr>
              <w:pStyle w:val="Normal6a"/>
            </w:pPr>
            <w:r>
              <w:t>B.</w:t>
            </w:r>
            <w:r>
              <w:tab/>
            </w:r>
            <w:r>
              <w:t>ker bančna unija, ki jo sestavljata enotni mehanizem nadzora in enotni mehanizem za reševanje</w:t>
            </w:r>
            <w:r>
              <w:rPr>
                <w:b/>
                <w:i/>
              </w:rPr>
              <w:t>, ki temeljita na enotnih pravilih</w:t>
            </w:r>
            <w:r>
              <w:t>, usklajuje nadzor in krizno upravljanje, vendar je še vedno nepopolna, dokler se evropski sistem jamstva za vloge ne izvaja v celoti;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bi dokončana bančna unija pomenila pozitiven napredek za državljane in gospodarstvo EU, saj bi zagotovila osnovo za stabilnejši bančni sistem, zmanjšanje sistemskega tveganja, okrepljeno konkurenco, boljšo izbiro za potrošnike, večje možnosti za čezmejno bančništvo in dostop do maloprodajnih finančnih storitev, večje gospodarske naložbe, boljši dostop do financiranja za gospodinjstva in podjetja ter nižje stroške za bančne stranke;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ECB spodbuja k dokončanju bančne unije, da bi spodbudila čezmejno povezovanje in omogočila učinkovitejšo razporeditev kapitala, kar je pogoj za odpravo sedanjega slabšega konkurenčnega položaja bank EU zaradi premajhnega obsega, in ker priporoča tudi poenostavitev evropskega bonitetnega regulativnega in nadzornega okvira ter okvira poročanja;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nebančni finančni posredniki (ali banke v senci) ostajajo zunaj strukture bančne unije, zaradi česar je bančni sektor EU dovzeten za tveganja, do katerih prihaja zaradi vse tesnejših povezav med nebančnimi finančnimi posredniki in bančnim sektorjem;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ker je stabilen, odporen, dinamičen in konkurenčen bančni sektor bistven za gospodarsko rast, podpiranje malih in srednjih podjetij, večjo možnost lastništva stanovanj, inovacije, naložbe in povečanje gospodarskih priložnosti za vse;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ker je glede na literaturo o optimalnih valutnih območjih popolna bančna unija ključna za preprečevanje asimetričnih učinkov pretresov po vsej EU, kar bi moralo privesti k večji finančni in gospodarski stabilnosti ter odpornosti;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ker bi morala EU nemudoma v celoti izvajati standarde Basel III;</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w:t>
            </w:r>
            <w:r>
              <w:rPr>
                <w:b/>
                <w:i/>
              </w:rPr>
              <w:t>bi morala EU nemudoma v celoti izvajati standarde</w:t>
            </w:r>
            <w:r>
              <w:t xml:space="preserve"> Basel III;</w:t>
            </w:r>
          </w:p>
        </w:tc>
        <w:tc>
          <w:tcPr>
            <w:tcW w:w="4876" w:type="dxa"/>
            <w:tcBorders>
              <w:top w:val="nil"/>
              <w:left w:val="nil"/>
              <w:bottom w:val="nil"/>
              <w:right w:val="nil"/>
            </w:tcBorders>
          </w:tcPr>
          <w:p>
            <w:pPr>
              <w:pStyle w:val="Normal6a"/>
            </w:pPr>
            <w:r>
              <w:t>C.</w:t>
            </w:r>
            <w:r>
              <w:tab/>
            </w:r>
            <w:r>
              <w:t xml:space="preserve">ker </w:t>
            </w:r>
            <w:r>
              <w:rPr>
                <w:b/>
                <w:i/>
              </w:rPr>
              <w:t>je finančna stabilnost osnovni pogoj za učinkovito monetarno politiko in odporen finančni sistem in ker se je EU že dogovorila o izvajanju okvira</w:t>
            </w:r>
            <w:r>
              <w:t xml:space="preserve"> Basel III; </w:t>
            </w:r>
            <w:r>
              <w:rPr>
                <w:b/>
                <w:i/>
              </w:rPr>
              <w:t>ker je pomembno poskrbeti tudi za pravo ravnovesje med finančno stabilnostjo, spoštovanjem mednarodnih okvirov in enakimi pogoji na mednarodni ravni, da bi lahko evropske banke enakopravno konkurirale bankam iz drugih jurisdikcij;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bi </w:t>
            </w:r>
            <w:r>
              <w:rPr>
                <w:b/>
                <w:i/>
              </w:rPr>
              <w:t>morala EU nemudoma v celoti izvajati standarde</w:t>
            </w:r>
            <w:r>
              <w:t xml:space="preserve"> Basel III;</w:t>
            </w:r>
          </w:p>
        </w:tc>
        <w:tc>
          <w:tcPr>
            <w:tcW w:w="4876" w:type="dxa"/>
            <w:tcBorders>
              <w:top w:val="nil"/>
              <w:left w:val="nil"/>
              <w:bottom w:val="nil"/>
              <w:right w:val="nil"/>
            </w:tcBorders>
          </w:tcPr>
          <w:p>
            <w:pPr>
              <w:pStyle w:val="Normal6a"/>
            </w:pPr>
            <w:r>
              <w:t>C.</w:t>
            </w:r>
            <w:r>
              <w:tab/>
            </w:r>
            <w:r>
              <w:t xml:space="preserve">ker bi </w:t>
            </w:r>
            <w:r>
              <w:rPr>
                <w:b/>
                <w:i/>
              </w:rPr>
              <w:t>bilo treba pravila</w:t>
            </w:r>
            <w:r>
              <w:t xml:space="preserve"> Basel III </w:t>
            </w:r>
            <w:r>
              <w:rPr>
                <w:b/>
                <w:i/>
              </w:rPr>
              <w:t>prilagoditi posebnostim evropskega bančnega sektorja ob upoštevanju merila sorazmernosti in poenostavitve za manjše banke, kar je v skladu z ugotovitvami projektne skupine Evropske centralne banke na visoki ravni za poenostavitev, ki jo podpira Svet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bi morala EU </w:t>
            </w:r>
            <w:r>
              <w:rPr>
                <w:b/>
                <w:i/>
              </w:rPr>
              <w:t>nemudoma v celoti</w:t>
            </w:r>
            <w:r>
              <w:t xml:space="preserve"> izvajati </w:t>
            </w:r>
            <w:r>
              <w:rPr>
                <w:b/>
                <w:i/>
              </w:rPr>
              <w:t>standarde</w:t>
            </w:r>
            <w:r>
              <w:t xml:space="preserve"> Basel III;</w:t>
            </w:r>
          </w:p>
        </w:tc>
        <w:tc>
          <w:tcPr>
            <w:tcW w:w="4876" w:type="dxa"/>
            <w:tcBorders>
              <w:top w:val="nil"/>
              <w:left w:val="nil"/>
              <w:bottom w:val="nil"/>
              <w:right w:val="nil"/>
            </w:tcBorders>
          </w:tcPr>
          <w:p>
            <w:pPr>
              <w:pStyle w:val="Normal6a"/>
            </w:pPr>
            <w:r>
              <w:t>C.</w:t>
            </w:r>
            <w:r>
              <w:tab/>
            </w:r>
            <w:r>
              <w:t xml:space="preserve">ker bi morala EU </w:t>
            </w:r>
            <w:r>
              <w:rPr>
                <w:b/>
                <w:i/>
              </w:rPr>
              <w:t>dosledno</w:t>
            </w:r>
            <w:r>
              <w:t xml:space="preserve"> izvajati </w:t>
            </w:r>
            <w:r>
              <w:rPr>
                <w:b/>
                <w:i/>
              </w:rPr>
              <w:t>sporazum</w:t>
            </w:r>
            <w:r>
              <w:t xml:space="preserve"> Basel III</w:t>
            </w:r>
            <w:r>
              <w:rPr>
                <w:b/>
                <w:i/>
              </w:rPr>
              <w:t>, hkrati pa zagotoviti sorazmerno, postopno in prilagojeno izvajanje glede na posebnosti evropskega finančnega sistema, brez poseganja v konkurenčnost bančnega sistema EU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bi morala EU nemudoma </w:t>
            </w:r>
            <w:r>
              <w:rPr>
                <w:b/>
                <w:i/>
              </w:rPr>
              <w:t>v celoti</w:t>
            </w:r>
            <w:r>
              <w:t xml:space="preserve"> izvajati standarde Basel III;</w:t>
            </w:r>
          </w:p>
        </w:tc>
        <w:tc>
          <w:tcPr>
            <w:tcW w:w="4876" w:type="dxa"/>
            <w:tcBorders>
              <w:top w:val="nil"/>
              <w:left w:val="nil"/>
              <w:bottom w:val="nil"/>
              <w:right w:val="nil"/>
            </w:tcBorders>
          </w:tcPr>
          <w:p>
            <w:pPr>
              <w:pStyle w:val="Normal6a"/>
            </w:pPr>
            <w:r>
              <w:t>C.</w:t>
            </w:r>
            <w:r>
              <w:tab/>
            </w:r>
            <w:r>
              <w:t xml:space="preserve">ker bi morala EU nemudoma </w:t>
            </w:r>
            <w:r>
              <w:rPr>
                <w:b/>
                <w:i/>
              </w:rPr>
              <w:t>začeti</w:t>
            </w:r>
            <w:r>
              <w:t xml:space="preserve"> izvajati standarde Basel III </w:t>
            </w:r>
            <w:r>
              <w:rPr>
                <w:b/>
                <w:i/>
              </w:rPr>
              <w:t>na tak način, da bo obvarovana mednarodna konkurenčnost evropskega bančnega sektorja in da bodo zagotovljeni enaki konkurenčni pogoji na svetovni ravni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bi morala EU nemudoma v celoti izvajati standarde Basel III;</w:t>
            </w:r>
          </w:p>
        </w:tc>
        <w:tc>
          <w:tcPr>
            <w:tcW w:w="4876" w:type="dxa"/>
            <w:tcBorders>
              <w:top w:val="nil"/>
              <w:left w:val="nil"/>
              <w:bottom w:val="nil"/>
              <w:right w:val="nil"/>
            </w:tcBorders>
          </w:tcPr>
          <w:p>
            <w:pPr>
              <w:pStyle w:val="Normal6a"/>
            </w:pPr>
            <w:r>
              <w:t>C.</w:t>
            </w:r>
            <w:r>
              <w:tab/>
            </w:r>
            <w:r>
              <w:t>ker bi morala EU nemudoma v celoti izvajati standarde Basel III</w:t>
            </w:r>
            <w:r>
              <w:rPr>
                <w:b/>
                <w:i/>
              </w:rPr>
              <w:t>, ne da bi pri tem ovirala mednarodno konkurenčnost bančnega sektorja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bi morala </w:t>
            </w:r>
            <w:r>
              <w:rPr>
                <w:b/>
                <w:i/>
              </w:rPr>
              <w:t>EU</w:t>
            </w:r>
            <w:r>
              <w:t xml:space="preserve"> nemudoma v celoti izvajati standarde Basel III;</w:t>
            </w:r>
          </w:p>
        </w:tc>
        <w:tc>
          <w:tcPr>
            <w:tcW w:w="4876" w:type="dxa"/>
            <w:tcBorders>
              <w:top w:val="nil"/>
              <w:left w:val="nil"/>
              <w:bottom w:val="nil"/>
              <w:right w:val="nil"/>
            </w:tcBorders>
          </w:tcPr>
          <w:p>
            <w:pPr>
              <w:pStyle w:val="Normal6a"/>
            </w:pPr>
            <w:r>
              <w:t>C.</w:t>
            </w:r>
            <w:r>
              <w:tab/>
            </w:r>
            <w:r>
              <w:rPr>
                <w:b/>
                <w:i/>
              </w:rPr>
              <w:t>ker EU izvaja standarde Basel III za vse banke, ne glede na njihovo velikost in področje delovanja;</w:t>
            </w:r>
            <w:r>
              <w:t xml:space="preserve"> ker bi morala nemudoma v celoti izvajati standarde Basel III </w:t>
            </w:r>
            <w:r>
              <w:rPr>
                <w:b/>
                <w:i/>
              </w:rPr>
              <w:t>le za evropske banke, ki so mednarodno dejavne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bi morala EU nemudoma v celoti </w:t>
            </w:r>
            <w:r>
              <w:rPr>
                <w:b/>
                <w:i/>
              </w:rPr>
              <w:t>izvajati</w:t>
            </w:r>
            <w:r>
              <w:t xml:space="preserve"> standarde Basel III;</w:t>
            </w:r>
          </w:p>
        </w:tc>
        <w:tc>
          <w:tcPr>
            <w:tcW w:w="4876" w:type="dxa"/>
            <w:tcBorders>
              <w:top w:val="nil"/>
              <w:left w:val="nil"/>
              <w:bottom w:val="nil"/>
              <w:right w:val="nil"/>
            </w:tcBorders>
          </w:tcPr>
          <w:p>
            <w:pPr>
              <w:pStyle w:val="Normal6a"/>
            </w:pPr>
            <w:r>
              <w:t>C.</w:t>
            </w:r>
            <w:r>
              <w:tab/>
            </w:r>
            <w:r>
              <w:t xml:space="preserve">ker bi morala EU nemudoma v celoti </w:t>
            </w:r>
            <w:r>
              <w:rPr>
                <w:b/>
                <w:i/>
              </w:rPr>
              <w:t>uvesti</w:t>
            </w:r>
            <w:r>
              <w:t xml:space="preserve"> standarde Basel III</w:t>
            </w:r>
            <w:r>
              <w:rPr>
                <w:b/>
                <w:i/>
              </w:rPr>
              <w:t>, pri tem pa upoštevati, da je na svetovni ravni pomembno zagotoviti enake konkurenčne pogoje in da imajo banke EU ključno vlogo pri financiranju gospodarstva, med drugim gospodinjstev ter malih in srednjih podjetij, ter pri zagotavljanju konkurenčnosti sistema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bi morala EU nemudoma v celoti izvajati standarde Basel III;</w:t>
            </w:r>
          </w:p>
        </w:tc>
        <w:tc>
          <w:tcPr>
            <w:tcW w:w="4876" w:type="dxa"/>
            <w:tcBorders>
              <w:top w:val="nil"/>
              <w:left w:val="nil"/>
              <w:bottom w:val="nil"/>
              <w:right w:val="nil"/>
            </w:tcBorders>
          </w:tcPr>
          <w:p>
            <w:pPr>
              <w:pStyle w:val="Normal6a"/>
            </w:pPr>
            <w:r>
              <w:t>C.</w:t>
            </w:r>
            <w:r>
              <w:tab/>
            </w:r>
            <w:r>
              <w:t>ker bi morala EU nemudoma v celoti izvajati standarde Basel III</w:t>
            </w:r>
            <w:r>
              <w:rPr>
                <w:b/>
                <w:i/>
              </w:rPr>
              <w:t>, vključno z okvirom tržnega tveganja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bi morala EU nemudoma v celoti izvajati standarde Basel III;</w:t>
            </w:r>
          </w:p>
        </w:tc>
        <w:tc>
          <w:tcPr>
            <w:tcW w:w="4876" w:type="dxa"/>
            <w:tcBorders>
              <w:top w:val="nil"/>
              <w:left w:val="nil"/>
              <w:bottom w:val="nil"/>
              <w:right w:val="nil"/>
            </w:tcBorders>
          </w:tcPr>
          <w:p>
            <w:pPr>
              <w:pStyle w:val="Normal6a"/>
            </w:pPr>
            <w:r>
              <w:t>C.</w:t>
            </w:r>
            <w:r>
              <w:tab/>
            </w:r>
            <w:r>
              <w:t xml:space="preserve">ker bi morala EU nemudoma v celoti izvajati standarde Basel III; </w:t>
            </w:r>
            <w:r>
              <w:rPr>
                <w:b/>
                <w:i/>
              </w:rPr>
              <w:t>ker je kritičen do tega, da je EU že večkrat odložila mednarodne baselske standarde in od njih odstopala, vključno z odlogom pravil o tržnem tveganju do leta 2026, s čimer se ustvarja regulativna arbitraža in banke EU na svetovnih veleprodajnih trgih postavlja v slabši konkurenčni položaj;</w:t>
            </w:r>
            <w:r>
              <w:t xml:space="preserve"> </w:t>
            </w:r>
            <w:r>
              <w:rPr>
                <w:b/>
                <w:i/>
              </w:rPr>
              <w:t>neenakomerno izvajanje izkrivlja konkurenčne pogoje in povečuje sistemsko tveganje zaradi neučinkovitosti pri razporejanju rizičnega kapitala;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ruska agresija proti Ukrajini s svojimi gospodarskimi in družbenimi posledicami neposredno in posredno vpliva in bo še vplivala na bančni sektor EU;</w:t>
            </w:r>
            <w:r>
              <w:t xml:space="preserve"> </w:t>
            </w:r>
            <w:r>
              <w:rPr>
                <w:b/>
                <w:i/>
              </w:rPr>
              <w:t>ker imajo banke EU osrednjo vlogo pri zagotavljanju nepretrganega izvajanja in upoštevanja sankcij, ki jih je EU uvedla proti Rusiji v odziv na invazijo;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ker digitalizacija financ odpira velike priložnosti za bančni sektor in je v bančnem sektorju EU prinesla pomemben tehnološki napredek, saj je omogočila večjo učinkovitost pri zagotavljanju bančnih storitev ter večje zanimanje za inovacije in izmenjavo podatkov, prinaša pa tudi izzive, na primer v zvezi s kibernetskimi tveganji, zasebnostjo podatkov, tveganji izgube ugleda, tveganji pranja denarja in pomisleki glede varstva potrošnikov;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ker je eden izmed poglavitnih ciljev bančne unije to, da davkoplačevalci ne bi nosili stroškov popravnih ukrepov v primeru propada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ker je treba pri ocenjevanju bilančnih tveganj bank upoštevati podnebne spremembe, okoljska tveganja in prehod na nizkoogljično gospodarstvo;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ker je treba pri ocenjevanju bilančnih tveganj bank upoštevati podnebne spremembe, okoljska tveganja in prehod na nizkoogljično gospodarstvo;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ker je treba pri ocenjevanju bilančnih tveganj bank upoštevati podnebne spremembe, okoljska tveganja in prehod na nizkoogljično gospodarstvo;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ker je treba pri ocenjevanju bilančnih tveganj bank upoštevati podnebne spremembe, okoljska tveganja in prehod na nizkoogljično gospodarstvo;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je </w:t>
            </w:r>
            <w:r>
              <w:rPr>
                <w:b/>
                <w:i/>
              </w:rPr>
              <w:t>treba pri ocenjevanju bilančnih tveganj bank upoštevati podnebne spremembe, okoljska</w:t>
            </w:r>
            <w:r>
              <w:t xml:space="preserve"> tveganja </w:t>
            </w:r>
            <w:r>
              <w:rPr>
                <w:b/>
                <w:i/>
              </w:rPr>
              <w:t>in prehod na nizkoogljično gospodarstvo</w:t>
            </w:r>
            <w:r>
              <w:t>;</w:t>
            </w:r>
          </w:p>
        </w:tc>
        <w:tc>
          <w:tcPr>
            <w:tcW w:w="4876" w:type="dxa"/>
            <w:tcBorders>
              <w:top w:val="nil"/>
              <w:left w:val="nil"/>
              <w:bottom w:val="nil"/>
              <w:right w:val="nil"/>
            </w:tcBorders>
          </w:tcPr>
          <w:p>
            <w:pPr>
              <w:pStyle w:val="Normal6a"/>
            </w:pPr>
            <w:r>
              <w:t>D.</w:t>
            </w:r>
            <w:r>
              <w:tab/>
            </w:r>
            <w:r>
              <w:t xml:space="preserve">ker je </w:t>
            </w:r>
            <w:r>
              <w:rPr>
                <w:b/>
                <w:i/>
              </w:rPr>
              <w:t>nujno potrebno, da se tradicionalne metrike</w:t>
            </w:r>
            <w:r>
              <w:t xml:space="preserve"> tveganja </w:t>
            </w:r>
            <w:r>
              <w:rPr>
                <w:b/>
                <w:i/>
              </w:rPr>
              <w:t>ne podredijo politično usmerjenim okoljskim ciljem, ki lahko napihnejo kapitalske zahteve in omejijo ponudbo posojil tam, kjer bi bila najbolj produktivna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je </w:t>
            </w:r>
            <w:r>
              <w:rPr>
                <w:b/>
                <w:i/>
              </w:rPr>
              <w:t>treba</w:t>
            </w:r>
            <w:r>
              <w:t xml:space="preserve"> pri ocenjevanju bilančnih tveganj bank upoštevati podnebne spremembe, okoljska tveganja in prehod na nizkoogljično gospodarstvo;</w:t>
            </w:r>
          </w:p>
        </w:tc>
        <w:tc>
          <w:tcPr>
            <w:tcW w:w="4876" w:type="dxa"/>
            <w:tcBorders>
              <w:top w:val="nil"/>
              <w:left w:val="nil"/>
              <w:bottom w:val="nil"/>
              <w:right w:val="nil"/>
            </w:tcBorders>
          </w:tcPr>
          <w:p>
            <w:pPr>
              <w:pStyle w:val="Normal6a"/>
            </w:pPr>
            <w:r>
              <w:t>D.</w:t>
            </w:r>
            <w:r>
              <w:tab/>
            </w:r>
            <w:r>
              <w:t xml:space="preserve">ker je </w:t>
            </w:r>
            <w:r>
              <w:rPr>
                <w:b/>
                <w:i/>
              </w:rPr>
              <w:t>mogoče</w:t>
            </w:r>
            <w:r>
              <w:t xml:space="preserve"> pri ocenjevanju bilančnih tveganj bank upoštevati podnebne spremembe, okoljska tveganja in prehod na nizkoogljično gospodarstvo </w:t>
            </w:r>
            <w:r>
              <w:rPr>
                <w:b/>
                <w:i/>
              </w:rPr>
              <w:t>samo, če vplivajo na finančno stabilnost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je treba pri ocenjevanju bilančnih tveganj bank upoštevati podnebne spremembe, okoljska tveganja in prehod na </w:t>
            </w:r>
            <w:r>
              <w:rPr>
                <w:b/>
                <w:i/>
              </w:rPr>
              <w:t>nizkoogljično</w:t>
            </w:r>
            <w:r>
              <w:t xml:space="preserve"> gospodarstvo;</w:t>
            </w:r>
          </w:p>
        </w:tc>
        <w:tc>
          <w:tcPr>
            <w:tcW w:w="4876" w:type="dxa"/>
            <w:tcBorders>
              <w:top w:val="nil"/>
              <w:left w:val="nil"/>
              <w:bottom w:val="nil"/>
              <w:right w:val="nil"/>
            </w:tcBorders>
          </w:tcPr>
          <w:p>
            <w:pPr>
              <w:pStyle w:val="Normal6a"/>
            </w:pPr>
            <w:r>
              <w:t>D.</w:t>
            </w:r>
            <w:r>
              <w:tab/>
            </w:r>
            <w:r>
              <w:t xml:space="preserve">ker je treba pri ocenjevanju bilančnih tveganj bank upoštevati podnebne spremembe, okoljska tveganja in prehod na gospodarstvo </w:t>
            </w:r>
            <w:r>
              <w:rPr>
                <w:b/>
                <w:i/>
              </w:rPr>
              <w:t>z neto ničelnimi emisijami toplogrednih plinov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bi lahko digitalni euro izboljšal plačilno učinkovitost, odpornost, finančno vključenost, inovacije, zaupanje javnosti in mednarodno vlogo eura</w:t>
            </w:r>
            <w:r>
              <w:t>;</w:t>
            </w:r>
          </w:p>
        </w:tc>
        <w:tc>
          <w:tcPr>
            <w:tcW w:w="4876" w:type="dxa"/>
            <w:tcBorders>
              <w:top w:val="nil"/>
              <w:left w:val="nil"/>
              <w:bottom w:val="nil"/>
              <w:right w:val="nil"/>
            </w:tcBorders>
          </w:tcPr>
          <w:p>
            <w:pPr>
              <w:pStyle w:val="Normal6a"/>
            </w:pPr>
            <w:r>
              <w:t>E.</w:t>
            </w:r>
            <w:r>
              <w:tab/>
            </w:r>
            <w:r>
              <w:t xml:space="preserve">ker </w:t>
            </w:r>
            <w:r>
              <w:rPr>
                <w:b/>
                <w:i/>
              </w:rPr>
              <w:t>projekt digitalnega evra prinaša izzive in morebitne grožnje za likvidnost in stabilnost bančnega sektorja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bi lahko digitalni euro </w:t>
            </w:r>
            <w:r>
              <w:rPr>
                <w:b/>
                <w:i/>
              </w:rPr>
              <w:t>izboljšal</w:t>
            </w:r>
            <w:r>
              <w:t xml:space="preserve"> plačilno učinkovitost</w:t>
            </w:r>
            <w:r>
              <w:rPr>
                <w:b/>
                <w:i/>
              </w:rPr>
              <w:t>,</w:t>
            </w:r>
            <w:r>
              <w:t xml:space="preserve"> odpornost, finančno </w:t>
            </w:r>
            <w:r>
              <w:rPr>
                <w:b/>
                <w:i/>
              </w:rPr>
              <w:t>vključenost, inovacije, zaupanje javnosti in mednarodno vlogo eura</w:t>
            </w:r>
            <w:r>
              <w:t>;</w:t>
            </w:r>
          </w:p>
        </w:tc>
        <w:tc>
          <w:tcPr>
            <w:tcW w:w="4876" w:type="dxa"/>
            <w:tcBorders>
              <w:top w:val="nil"/>
              <w:left w:val="nil"/>
              <w:bottom w:val="nil"/>
              <w:right w:val="nil"/>
            </w:tcBorders>
          </w:tcPr>
          <w:p>
            <w:pPr>
              <w:pStyle w:val="Normal6a"/>
            </w:pPr>
            <w:r>
              <w:t>E.</w:t>
            </w:r>
            <w:r>
              <w:tab/>
            </w:r>
            <w:r>
              <w:t xml:space="preserve">ker bi lahko digitalni euro </w:t>
            </w:r>
            <w:r>
              <w:rPr>
                <w:b/>
                <w:i/>
              </w:rPr>
              <w:t>brez spletne povezave in digitalni euro za plačila velikih vrednosti povečala</w:t>
            </w:r>
            <w:r>
              <w:t xml:space="preserve"> plačilno učinkovitost </w:t>
            </w:r>
            <w:r>
              <w:rPr>
                <w:b/>
                <w:i/>
              </w:rPr>
              <w:t>in</w:t>
            </w:r>
            <w:r>
              <w:t xml:space="preserve"> odpornost </w:t>
            </w:r>
            <w:r>
              <w:rPr>
                <w:b/>
                <w:i/>
              </w:rPr>
              <w:t>EU</w:t>
            </w:r>
            <w:r>
              <w:t xml:space="preserve">, </w:t>
            </w:r>
            <w:r>
              <w:rPr>
                <w:b/>
                <w:i/>
              </w:rPr>
              <w:t>a bi lahko s spodbujanjem bega v depozite centralne banke, zlasti v stresnih obdobjih, tudi bistveno oslabil depozitne baze poslovnih bank in omajal</w:t>
            </w:r>
            <w:r>
              <w:t xml:space="preserve"> finančno </w:t>
            </w:r>
            <w:r>
              <w:rPr>
                <w:b/>
                <w:i/>
              </w:rPr>
              <w:t>stabilnost;</w:t>
            </w:r>
            <w:r>
              <w:t xml:space="preserve"> </w:t>
            </w:r>
            <w:r>
              <w:rPr>
                <w:b/>
                <w:i/>
              </w:rPr>
              <w:t>takšen premik bi lahko zmanjšal zmožnost bank, da posojajo gospodinjstvom ter malim in srednjim podjetjem, s čimer bi se povečala odvisnost od centraliziranih mehanizmov denarnega financiranja namesto diverzificiranega tržnega financiranja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bi lahko</w:t>
            </w:r>
            <w:r>
              <w:t xml:space="preserve"> digitalni euro izboljšal plačilno učinkovitost, odpornost, finančno vključenost, inovacije, zaupanje javnosti in mednarodno vlogo eura;</w:t>
            </w:r>
          </w:p>
        </w:tc>
        <w:tc>
          <w:tcPr>
            <w:tcW w:w="4876" w:type="dxa"/>
            <w:tcBorders>
              <w:top w:val="nil"/>
              <w:left w:val="nil"/>
              <w:bottom w:val="nil"/>
              <w:right w:val="nil"/>
            </w:tcBorders>
          </w:tcPr>
          <w:p>
            <w:pPr>
              <w:pStyle w:val="Normal6a"/>
            </w:pPr>
            <w:r>
              <w:t>E.</w:t>
            </w:r>
            <w:r>
              <w:tab/>
            </w:r>
            <w:r>
              <w:t xml:space="preserve">ker </w:t>
            </w:r>
            <w:r>
              <w:rPr>
                <w:b/>
                <w:i/>
              </w:rPr>
              <w:t>bo</w:t>
            </w:r>
            <w:r>
              <w:t xml:space="preserve"> digitalni euro izboljšal plačilno učinkovitost </w:t>
            </w:r>
            <w:r>
              <w:rPr>
                <w:b/>
                <w:i/>
              </w:rPr>
              <w:t>EU, konkurenčnost</w:t>
            </w:r>
            <w:r>
              <w:t>, odpornost, finančno vključenost, inovacije, zaupanje javnosti in mednarodno vlogo eura;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bi </w:t>
            </w:r>
            <w:r>
              <w:rPr>
                <w:b/>
                <w:i/>
              </w:rPr>
              <w:t>lahko</w:t>
            </w:r>
            <w:r>
              <w:t xml:space="preserve"> digitalni euro izboljšal plačilno učinkovitost, odpornost, finančno vključenost, inovacije, zaupanje javnosti in mednarodno vlogo eura;</w:t>
            </w:r>
          </w:p>
        </w:tc>
        <w:tc>
          <w:tcPr>
            <w:tcW w:w="4876" w:type="dxa"/>
            <w:tcBorders>
              <w:top w:val="nil"/>
              <w:left w:val="nil"/>
              <w:bottom w:val="nil"/>
              <w:right w:val="nil"/>
            </w:tcBorders>
          </w:tcPr>
          <w:p>
            <w:pPr>
              <w:pStyle w:val="Normal6a"/>
            </w:pPr>
            <w:r>
              <w:t>E.</w:t>
            </w:r>
            <w:r>
              <w:tab/>
            </w:r>
            <w:r>
              <w:t>ker bi digitalni euro izboljšal plačilno učinkovitost, odpornost, finančno vključenost, inovacije, zaupanje javnosti in mednarodno vlogo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bi lahko </w:t>
            </w:r>
            <w:r>
              <w:rPr>
                <w:b/>
                <w:i/>
              </w:rPr>
              <w:t>digitalni euro izboljšal</w:t>
            </w:r>
            <w:r>
              <w:t xml:space="preserve"> plačilno učinkovitost, odpornost, finančno vključenost, inovacije, zaupanje javnosti in mednarodno vlogo eura;</w:t>
            </w:r>
          </w:p>
        </w:tc>
        <w:tc>
          <w:tcPr>
            <w:tcW w:w="4876" w:type="dxa"/>
            <w:tcBorders>
              <w:top w:val="nil"/>
              <w:left w:val="nil"/>
              <w:bottom w:val="nil"/>
              <w:right w:val="nil"/>
            </w:tcBorders>
          </w:tcPr>
          <w:p>
            <w:pPr>
              <w:pStyle w:val="Normal6a"/>
            </w:pPr>
            <w:r>
              <w:t>E.</w:t>
            </w:r>
            <w:r>
              <w:tab/>
            </w:r>
            <w:r>
              <w:t xml:space="preserve">ker bi lahko </w:t>
            </w:r>
            <w:r>
              <w:rPr>
                <w:b/>
                <w:i/>
              </w:rPr>
              <w:t>suverena vseevropska rešitev za plačila malih vrednosti izboljšala</w:t>
            </w:r>
            <w:r>
              <w:t xml:space="preserve"> plačilno učinkovitost</w:t>
            </w:r>
            <w:r>
              <w:rPr>
                <w:b/>
                <w:i/>
              </w:rPr>
              <w:t>, suverenost</w:t>
            </w:r>
            <w:r>
              <w:t xml:space="preserve">, odpornost, finančno vključenost, inovacije, zaupanje javnosti in mednarodno vlogo eura; </w:t>
            </w:r>
            <w:r>
              <w:rPr>
                <w:b/>
                <w:i/>
              </w:rPr>
              <w:t>ker bi rešitev, ki bi v celoti povezala udeležence na trgu, prek globljih in bolj likvidnih trgov spodbudila stalne inovacije, zaupanje in finančno stabilnost;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bi lahko digitalni euro izboljšal plačilno učinkovitost, odpornost, finančno vključenost, inovacije</w:t>
            </w:r>
            <w:r>
              <w:rPr>
                <w:b/>
                <w:i/>
              </w:rPr>
              <w:t>,</w:t>
            </w:r>
            <w:r>
              <w:t xml:space="preserve"> zaupanje javnosti in mednarodno vlogo eura;</w:t>
            </w:r>
          </w:p>
        </w:tc>
        <w:tc>
          <w:tcPr>
            <w:tcW w:w="4876" w:type="dxa"/>
            <w:tcBorders>
              <w:top w:val="nil"/>
              <w:left w:val="nil"/>
              <w:bottom w:val="nil"/>
              <w:right w:val="nil"/>
            </w:tcBorders>
          </w:tcPr>
          <w:p>
            <w:pPr>
              <w:pStyle w:val="Normal6a"/>
            </w:pPr>
            <w:r>
              <w:t>E.</w:t>
            </w:r>
            <w:r>
              <w:tab/>
            </w:r>
            <w:r>
              <w:t xml:space="preserve">ker bi lahko digitalni euro </w:t>
            </w:r>
            <w:r>
              <w:rPr>
                <w:b/>
                <w:i/>
              </w:rPr>
              <w:t>za plačila malih vrednosti</w:t>
            </w:r>
            <w:r>
              <w:t xml:space="preserve"> izboljšal plačilno učinkovitost, odpornost, finančno vključenost, inovacije </w:t>
            </w:r>
            <w:r>
              <w:rPr>
                <w:b/>
                <w:i/>
              </w:rPr>
              <w:t>in konkurenčnost EU ter tudi</w:t>
            </w:r>
            <w:r>
              <w:t xml:space="preserve"> zaupanje javnosti</w:t>
            </w:r>
            <w:r>
              <w:rPr>
                <w:b/>
                <w:i/>
              </w:rPr>
              <w:t>, zasebnost strank v zvezi z digitalnimi plačili</w:t>
            </w:r>
            <w:r>
              <w:t xml:space="preserve"> in mednarodno vlogo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so učinkovitost, odpornost in strateška avtonomija infrastruktur finančnega trga Unije bistvene za pravilno delovanje bančne unije in konkurenčnost finančnega sistema EU;</w:t>
            </w:r>
            <w:r>
              <w:t xml:space="preserve"> </w:t>
            </w:r>
            <w:r>
              <w:rPr>
                <w:b/>
                <w:i/>
              </w:rPr>
              <w:t>ker lahko razvoj centralnobančne digitalne valute za velike vlagatelje, zasnovane izključno za poravnavo med reguliranimi finančnimi institucijami, znatno izboljša čezmejna plačila, poravnavo vrednostnih papirjev in upravljanje likvidnosti, tudi z večjo interoperabilnostjo med plačilnimi sistemi in tržnimi infrastrukturami;</w:t>
            </w:r>
            <w:r>
              <w:t xml:space="preserve"> </w:t>
            </w:r>
            <w:r>
              <w:rPr>
                <w:b/>
                <w:i/>
              </w:rPr>
              <w:t>ker so sedanje pobude Eurosistema pomembni koraki pri preučevanju teh koristi na nadzorovan in tržno usmerjen način;</w:t>
            </w:r>
            <w:r>
              <w:t xml:space="preserve"> </w:t>
            </w:r>
            <w:r>
              <w:rPr>
                <w:b/>
                <w:i/>
              </w:rPr>
              <w:t>ker bi lahko pospešitev na raven delovanja v polnem obsegu pomagala okrepiti mednarodno vlogo eura, zmanjšati razdrobljenost finančnih trgov EU in podpreti finančno stabilnost, hkrati pa v celoti ohranila enotnost denarja in vlogo posrednikov iz zasebnega sektorja;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ECB hitro napreduje s svojim digitalnim eurom za plačila velikih vrednosti ter že potekajočimi kratkoročnimi (Pontes) in dolgoročnimi projekti tehnologije distribuirane knjige transakcij (Appia) za za poravnavanje velikih transakcij v centralnobančnem denarju;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ker banke EU od leta 2022 beležijo rekordne dobičke zaradi zapoznelega prenosa politik zaostrovanja monetarne politike;</w:t>
            </w:r>
            <w:r>
              <w:t xml:space="preserve"> </w:t>
            </w:r>
            <w:r>
              <w:rPr>
                <w:b/>
                <w:i/>
              </w:rPr>
              <w:t>ker je več držav članic uvedlo začasne dajatve za banke, da bi zagotovile pravičen prispevek, hkrati pa ohranile stabilnost in socialno kohezijo;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ker banke EU od leta 2022 beležijo rekordne dobičke zaradi zapoznelega prenosa politik zaostrovanja monetarne politike;</w:t>
            </w:r>
            <w:r>
              <w:t xml:space="preserve"> </w:t>
            </w:r>
            <w:r>
              <w:rPr>
                <w:b/>
                <w:i/>
              </w:rPr>
              <w:t>ker je več držav članic uvedlo začasne dajatve za banke, da bi zagotovile pravičen prispevek, hkrati pa ohranile stabilnost in socialno kohezijo;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banke EU od leta 2022 beležijo rekordne dobičke zaradi zapoznelega prenosa politik zaostrovanja monetarne politike; ker je več držav članic uvedlo začasne dajatve za banke, da bi </w:t>
            </w:r>
            <w:r>
              <w:rPr>
                <w:b/>
                <w:i/>
              </w:rPr>
              <w:t>zagotovile pravičen prispevek, hkrati pa ohranile stabilnost in socialno kohezijo</w:t>
            </w:r>
            <w:r>
              <w:t>;</w:t>
            </w:r>
          </w:p>
        </w:tc>
        <w:tc>
          <w:tcPr>
            <w:tcW w:w="4876" w:type="dxa"/>
            <w:tcBorders>
              <w:top w:val="nil"/>
              <w:left w:val="nil"/>
              <w:bottom w:val="nil"/>
              <w:right w:val="nil"/>
            </w:tcBorders>
          </w:tcPr>
          <w:p>
            <w:pPr>
              <w:pStyle w:val="Normal6a"/>
            </w:pPr>
            <w:r>
              <w:t>F.</w:t>
            </w:r>
            <w:r>
              <w:tab/>
            </w:r>
            <w:r>
              <w:t>ker banke EU od leta 2022 beležijo rekordne dobičke zaradi zapoznelega prenosa politik zaostrovanja monetarne politike</w:t>
            </w:r>
            <w:r>
              <w:rPr>
                <w:b/>
                <w:i/>
              </w:rPr>
              <w:t>, kar je po več kot 15 letih pomagalo odpraviti vrzel v donosnosti lastniškega kapitala med bankami EU in ZDA</w:t>
            </w:r>
            <w:r>
              <w:t xml:space="preserve">; ker je več držav članic uvedlo začasne dajatve za banke, </w:t>
            </w:r>
            <w:r>
              <w:rPr>
                <w:b/>
                <w:i/>
              </w:rPr>
              <w:t>čeprav so institucije, kot je ECB, v svojih mnenjih večkrat poudarile,</w:t>
            </w:r>
            <w:r>
              <w:t xml:space="preserve"> da bi </w:t>
            </w:r>
            <w:r>
              <w:rPr>
                <w:b/>
                <w:i/>
              </w:rPr>
              <w:t>bile dajatve za finančne institucije iz splošnih proračunskih razlogov nezaželene in da bi lahko z uporabo takih dajatev izkrivljali konkurenco na trgu in onemogočali enake konkurenčne pogoje tako znotraj držav kot v vsej bančni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banke EU od leta 2022 beležijo rekordne dobičke zaradi zapoznelega prenosa politik zaostrovanja monetarne politike; ker je več držav članic uvedlo začasne dajatve za banke</w:t>
            </w:r>
            <w:r>
              <w:rPr>
                <w:b/>
                <w:i/>
              </w:rPr>
              <w:t>, da bi zagotovile pravičen prispevek, hkrati pa ohranile stabilnost in socialno kohezijo</w:t>
            </w:r>
            <w:r>
              <w:t>;</w:t>
            </w:r>
          </w:p>
        </w:tc>
        <w:tc>
          <w:tcPr>
            <w:tcW w:w="4876" w:type="dxa"/>
            <w:tcBorders>
              <w:top w:val="nil"/>
              <w:left w:val="nil"/>
              <w:bottom w:val="nil"/>
              <w:right w:val="nil"/>
            </w:tcBorders>
          </w:tcPr>
          <w:p>
            <w:pPr>
              <w:pStyle w:val="Normal6a"/>
            </w:pPr>
            <w:r>
              <w:t>F.</w:t>
            </w:r>
            <w:r>
              <w:tab/>
            </w:r>
            <w:r>
              <w:t>ker banke EU od leta 2022 beležijo rekordne dobičke zaradi zapoznelega prenosa politik zaostrovanja monetarne politike; ker je več držav članic uvedlo začasne dajatve za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banke EU od leta 2022 beležijo rekordne dobičke zaradi zapoznelega prenosa politik zaostrovanja monetarne politike; ker je več držav članic uvedlo začasne dajatve za banke, da bi zagotovile pravičen prispevek, hkrati pa ohranile stabilnost in socialno kohezijo;</w:t>
            </w:r>
          </w:p>
        </w:tc>
        <w:tc>
          <w:tcPr>
            <w:tcW w:w="4876" w:type="dxa"/>
            <w:tcBorders>
              <w:top w:val="nil"/>
              <w:left w:val="nil"/>
              <w:bottom w:val="nil"/>
              <w:right w:val="nil"/>
            </w:tcBorders>
          </w:tcPr>
          <w:p>
            <w:pPr>
              <w:pStyle w:val="Normal6a"/>
            </w:pPr>
            <w:r>
              <w:t>F.</w:t>
            </w:r>
            <w:r>
              <w:tab/>
            </w:r>
            <w:r>
              <w:t xml:space="preserve">ker banke EU od leta 2022 beležijo rekordne dobičke zaradi zapoznelega prenosa politik zaostrovanja monetarne politike; ker je več držav članic uvedlo začasne dajatve za banke, da bi zagotovile pravičen prispevek, hkrati pa ohranile stabilnost in socialno kohezijo; </w:t>
            </w:r>
            <w:r>
              <w:rPr>
                <w:b/>
                <w:i/>
              </w:rPr>
              <w:t>dobičkonosnost bank EU se je od leta 2022 ob zaostrovanju monetarne politike povečala, kar je prispevalo k ustvarjanju kapitala in finančni stabilnosti;</w:t>
            </w:r>
            <w:r>
              <w:t xml:space="preserve"> </w:t>
            </w:r>
            <w:r>
              <w:rPr>
                <w:b/>
                <w:i/>
              </w:rPr>
              <w:t>ker je dobičkonosnost bank še naprej ciklična in odvisna od celotnega cikla obrestnih mer;</w:t>
            </w:r>
            <w:r>
              <w:t xml:space="preserve"> </w:t>
            </w:r>
            <w:r>
              <w:rPr>
                <w:b/>
                <w:i/>
              </w:rPr>
              <w:t>ker je več držav članic uvedlo začasne dajatve za banke, ki bi morale ostati izjemne in sorazmerne ter bi jih bilo treba skrbno ocenjevati, da bi preprečili negativne učinke na kapitalski položaj bank in njihovo posojilno sposobnost, na finančno stabilnost in na enake konkurenčne pogoje v bančni uniji;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banke EU od leta 2022 beležijo rekordne dobičke zaradi zapoznelega prenosa politik zaostrovanja monetarne politike; ker je več držav članic uvedlo začasne dajatve za banke, da bi zagotovile pravičen prispevek, hkrati pa ohranile stabilnost in socialno kohezijo;</w:t>
            </w:r>
          </w:p>
        </w:tc>
        <w:tc>
          <w:tcPr>
            <w:tcW w:w="4876" w:type="dxa"/>
            <w:tcBorders>
              <w:top w:val="nil"/>
              <w:left w:val="nil"/>
              <w:bottom w:val="nil"/>
              <w:right w:val="nil"/>
            </w:tcBorders>
          </w:tcPr>
          <w:p>
            <w:pPr>
              <w:pStyle w:val="Normal6a"/>
            </w:pPr>
            <w:r>
              <w:t>F.</w:t>
            </w:r>
            <w:r>
              <w:tab/>
            </w:r>
            <w:r>
              <w:t xml:space="preserve">ker banke EU od leta 2022 beležijo rekordne dobičke zaradi zapoznelega prenosa politik zaostrovanja monetarne politike; ker je več držav članic uvedlo začasne dajatve za banke, da bi zagotovile pravičen prispevek, hkrati pa ohranile stabilnost in socialno kohezijo; </w:t>
            </w:r>
            <w:r>
              <w:rPr>
                <w:b/>
                <w:i/>
              </w:rPr>
              <w:t>ker so visoke zadržane dobičke v veliki meri absorbirale vse večje kapitalske zahteve in napihnjeni stroški izpolnjevanja obveznosti, vključno s poročanjem o trajnostnosti, kar omejuje zmožnost bank, da podprejo realno gospodarstvo, in ker je zaostrovanje monetarne politike zmanjšalo neto obrestne marže, kar odraža širše makrobonitetne pritiske na dobičkonosnost;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lahko uvedba sektorskih davkov za kreditne institucije, tudi če so predstavljeni kot začasni ukrepi, povzroči izkrivljanje notranjega trga, negativno vpliva na zmožnost institucij, da gospodinjstvom in podjetjem odobrijo kredite, ter zmanjša predvidljivost davčnega okvira;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se je Komisija v svojem sporočilu o uniji prihrankov in naložb iz marca 2025 zavezala, da bo sprejela odločilne ukrepe za nadaljnji razvoj bančne unije, vključno z opredelitvijo nadaljnjih korakov v zvezi z evropskim sistemom jamstva za vloge, a od takrat še vedno ni posredovala nobenega predloga v zvezi z dokončanjem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so banke temeljni steber našega gospodarstva in med strateško najpomembnejšimi sektorji;</w:t>
            </w:r>
            <w:r>
              <w:t xml:space="preserve"> </w:t>
            </w:r>
            <w:r>
              <w:rPr>
                <w:b/>
                <w:i/>
              </w:rPr>
              <w:t>ker so stabilnost, odpornost in konkurenčnost bistvene za zagotavljanje, da se lahko finančni sistem prilagaja svetovnim izzivom, spodbuja inovacije ter učinkovito izpolnjuje potrebe podjetij in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je presežna likvidnost v euroobmočju leta 2022 dosegla 4,7 bilijona EUR, danes pa znaša 2,8 bilijona EUR;</w:t>
            </w:r>
            <w:r>
              <w:t xml:space="preserve"> </w:t>
            </w:r>
            <w:r>
              <w:rPr>
                <w:b/>
                <w:i/>
              </w:rPr>
              <w:t>ker je tudi količnik likvidnostnega kritja bank v euroobmočju leta 2022 dosegel najvišjo vrednost in presegel 170 %, v tretjem četrtletju leta 2025 pa znaša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se e-denarni žetoni vse pogosteje uporabljajo in postajajo vse tesneje povezani z bankami v bančni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ker so banke temelj našega gospodarstva in eden najpomembnejših strateških sektorjev, je bistveno zagotoviti, da delujejo v okolju, ki spodbuja stabilnost, odpornost, dinamiko in konkurenčnost;</w:t>
            </w:r>
            <w:r>
              <w:t xml:space="preserve"> </w:t>
            </w:r>
            <w:r>
              <w:rPr>
                <w:b/>
                <w:i/>
              </w:rPr>
              <w:t>ker so ta načela bistvena za trajnostno gospodarsko rast in zagotavljanje, da se bo finančni sistem lahko prilagajal svetovnim izzivom, spodbujal inovacije ter se učinkovito odzival na potrebe podjetij in državljanov;</w:t>
            </w:r>
            <w:r>
              <w:t xml:space="preserve"> </w:t>
            </w:r>
            <w:r>
              <w:rPr>
                <w:b/>
                <w:i/>
              </w:rPr>
              <w:t>ker je za dinamično gospodarstvo potreben bančni sektor, ki združuje stabilnost in prožnost, spodbuja naložbe in učinkovito usmerja kapital ter tako krepi našo zmogljivost za konkuriranje na nenehno spreminjajočem se svetovnem trgu;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ker Uredba (EU) 2023/1114 (MiCA) določa različne zahteve za dostop do trga, obveznosti unovčenja in nadzorne okvire za izdajatelje žetonov, vezanih na sredstva, in e-denarnih žetonov, kar odraža njihove različne profile tveganja in denarne posledice;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ker je močan bančni sektor ključen za zagotavljanje gospodarske rasti ter financiranje malih, srednjih in zagonskih podjetij;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pozdravlja napredek, ki je bil</w:t>
            </w:r>
            <w:r>
              <w:t xml:space="preserve"> v zadnjem desetletju </w:t>
            </w:r>
            <w:r>
              <w:rPr>
                <w:b/>
                <w:i/>
              </w:rPr>
              <w:t>dosežen pri enotnem mehanizmu nadzora in enotnem mehanizmu za reševanje</w:t>
            </w:r>
            <w:r>
              <w:t>; poziva</w:t>
            </w:r>
            <w:r>
              <w:rPr>
                <w:b/>
                <w:i/>
              </w:rPr>
              <w:t>, naj se v celoti in hitro dokonča bančna unija, vključno s popolnoma delujočim evropskim sistemom jamstva za vloge</w:t>
            </w:r>
            <w:r>
              <w:t xml:space="preserve">; poudarja, da </w:t>
            </w:r>
            <w:r>
              <w:rPr>
                <w:b/>
                <w:i/>
              </w:rPr>
              <w:t>mora bančna unija podpirati bolj vključujoč in trajnosten finančni sistem, ki je skladen s socialno kohezijo in evropskim zelenim dogovorom</w:t>
            </w:r>
            <w:r>
              <w:t>;</w:t>
            </w:r>
          </w:p>
        </w:tc>
        <w:tc>
          <w:tcPr>
            <w:tcW w:w="4876" w:type="dxa"/>
            <w:tcBorders>
              <w:top w:val="nil"/>
              <w:left w:val="nil"/>
              <w:bottom w:val="nil"/>
              <w:right w:val="nil"/>
            </w:tcBorders>
          </w:tcPr>
          <w:p>
            <w:pPr>
              <w:pStyle w:val="Normal6a"/>
            </w:pPr>
            <w:r>
              <w:t>1.</w:t>
            </w:r>
            <w:r>
              <w:tab/>
            </w:r>
            <w:r>
              <w:rPr>
                <w:b/>
                <w:i/>
              </w:rPr>
              <w:t>je seznanjen z razvojem dogodkov v zvezi z enotnim mehanizmom nadzora in enotnim mehanizmom za reševanje</w:t>
            </w:r>
            <w:r>
              <w:t xml:space="preserve"> v zadnjem desetletju; poziva </w:t>
            </w:r>
            <w:r>
              <w:rPr>
                <w:b/>
                <w:i/>
              </w:rPr>
              <w:t>k reformam, ki bodo okrepile tržno disciplino, ne pa birokratske širitve</w:t>
            </w:r>
            <w:r>
              <w:t xml:space="preserve">; poudarja, da </w:t>
            </w:r>
            <w:r>
              <w:rPr>
                <w:b/>
                <w:i/>
              </w:rPr>
              <w:t>bi bilo treba predloge, ki dodatno centralizirajo tveganje, izravnati s sorazmerno odgovornostjo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w:t>
            </w:r>
            <w:r>
              <w:rPr>
                <w:b/>
                <w:i/>
              </w:rPr>
              <w:t>poziva, naj se v celoti in hitro dokonča bančna unija, vključno s popolnoma delujočim evropskim sistemom jamstva za vloge;</w:t>
            </w:r>
            <w:r>
              <w:t xml:space="preserve"> </w:t>
            </w:r>
            <w:r>
              <w:rPr>
                <w:b/>
                <w:i/>
              </w:rPr>
              <w:t>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w:t>
            </w:r>
            <w:r>
              <w:rPr>
                <w:b/>
                <w:i/>
              </w:rPr>
              <w:t>, naj se v celoti in hitro dokonča bančna unija, vključno s popolnoma delujočim evropskim sistemom</w:t>
            </w:r>
            <w:r>
              <w:t xml:space="preserve"> jamstva za vloge; </w:t>
            </w:r>
            <w:r>
              <w:rPr>
                <w:b/>
                <w:i/>
              </w:rPr>
              <w:t>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w:t>
            </w:r>
            <w:r>
              <w:rPr>
                <w:b/>
                <w:i/>
              </w:rPr>
              <w:t>k nadaljnjemu razvoju bančne unije, pri čemer je treba upoštevati posebne značilnosti nacionalnih bančnih sektorjev ter zagotoviti avtonomijo in učinkovito delovanje institucionalnih shem za zaščito vlog, ne da bi pri tem nasprotovali posebnim določbam za institucionalne sheme za zaščito vlog, dogovorjenim v pregledu okvira za upravljanje bančnih kriz in</w:t>
            </w:r>
            <w:r>
              <w:t xml:space="preserve"> jamstva za vloge;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w:t>
            </w:r>
            <w:r>
              <w:rPr>
                <w:b/>
                <w:i/>
              </w:rPr>
              <w:t>, naj se v celoti in hitro dokonča bančna unija, vključno s popolnoma delujočim evropskim sistemom jamstva za vloge;</w:t>
            </w:r>
            <w:r>
              <w:t xml:space="preserve"> </w:t>
            </w:r>
            <w:r>
              <w:rPr>
                <w:b/>
                <w:i/>
              </w:rPr>
              <w:t>poudarja, da mora bančna unija podpirati bolj vključujoč in trajnosten finančni sistem, ki je skladen s socialno kohezijo in evropskim zelenim dogovorom</w:t>
            </w:r>
            <w:r>
              <w:t>;</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w:t>
            </w:r>
            <w:r>
              <w:rPr>
                <w:b/>
                <w:i/>
              </w:rPr>
              <w:t>k postopnemu nadaljnjemu razvoju bančne unije, pri čemer je treba ustrezno upoštevati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w:t>
            </w:r>
            <w:r>
              <w:rPr>
                <w:b/>
                <w:i/>
              </w:rPr>
              <w:t>s popolnoma delujočim</w:t>
            </w:r>
            <w:r>
              <w:t xml:space="preserve"> evropskim sistemom jamstva za vloge</w:t>
            </w:r>
            <w:r>
              <w:rPr>
                <w:b/>
                <w:i/>
              </w:rPr>
              <w:t>;</w:t>
            </w:r>
            <w:r>
              <w:t xml:space="preserve"> </w:t>
            </w:r>
            <w:r>
              <w:rPr>
                <w:b/>
                <w:i/>
              </w:rPr>
              <w:t>poudarja, da mora bančna unija podpirati bolj vključujoč in trajnosten finančni sistem, ki je skladen s socialno kohezijo in evropskim zelenim dogovorom</w:t>
            </w:r>
            <w:r>
              <w:t>;</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w:t>
            </w:r>
            <w:r>
              <w:rPr>
                <w:b/>
                <w:i/>
              </w:rPr>
              <w:t>z</w:t>
            </w:r>
            <w:r>
              <w:t xml:space="preserve"> evropskim sistemom jamstva za vloge</w:t>
            </w:r>
            <w:r>
              <w:rPr>
                <w:b/>
                <w:i/>
              </w:rPr>
              <w:t>, ki bo upošteval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w:t>
            </w:r>
            <w:r>
              <w:rPr>
                <w:b/>
                <w:i/>
              </w:rPr>
              <w:t>poziva, naj se v celoti in hitro dokonča bančna unija, vključno s popolnoma delujočim evropskim sistemom jamstva za vloge;</w:t>
            </w:r>
            <w:r>
              <w:t xml:space="preserve"> poudarja, da mora bančna unija podpirati bolj vključujoč in trajnosten finančni sistem, ki </w:t>
            </w:r>
            <w:r>
              <w:rPr>
                <w:b/>
                <w:i/>
              </w:rPr>
              <w:t>je</w:t>
            </w:r>
            <w:r>
              <w:t xml:space="preserve"> skladen </w:t>
            </w:r>
            <w:r>
              <w:rPr>
                <w:b/>
                <w:i/>
              </w:rPr>
              <w:t>s socialno kohezijo in evropskim zelenim dogovorom</w:t>
            </w:r>
            <w:r>
              <w:t>;</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poudarja, da mora bančna unija podpirati bolj vključujoč in trajnosten finančni sistem, ki </w:t>
            </w:r>
            <w:r>
              <w:rPr>
                <w:b/>
                <w:i/>
              </w:rPr>
              <w:t>bo</w:t>
            </w:r>
            <w:r>
              <w:t xml:space="preserve"> skladen </w:t>
            </w:r>
            <w:r>
              <w:rPr>
                <w:b/>
                <w:i/>
              </w:rPr>
              <w:t>z dvojnim prehodom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s popolnoma delujočim evropskim sistemom jamstva za vloge; </w:t>
            </w:r>
            <w:r>
              <w:rPr>
                <w:b/>
                <w:i/>
              </w:rPr>
              <w:t>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 naj se v celoti in hitro dokonča bančna unija, vključno s popolnoma delujočim evropskim sistemom jamstva za vloge;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s popolnoma delujočim evropskim sistemom jamstva za vloge; </w:t>
            </w:r>
            <w:r>
              <w:rPr>
                <w:b/>
                <w:i/>
              </w:rPr>
              <w:t>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 naj se v celoti in hitro dokonča bančna unija, vključno s popolnoma delujočim evropskim sistemom jamstva za vloge;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w:t>
            </w:r>
            <w:r>
              <w:rPr>
                <w:b/>
                <w:i/>
              </w:rPr>
              <w:t>poziva, naj se v celoti in hitro dokonča bančna unija, vključno s popolnoma delujočim evropskim sistemom jamstva za vloge</w:t>
            </w:r>
            <w:r>
              <w:t xml:space="preserve">; poudarja, da mora bančna unija podpirati bolj vključujoč in trajnosten finančni sistem, ki </w:t>
            </w:r>
            <w:r>
              <w:rPr>
                <w:b/>
                <w:i/>
              </w:rPr>
              <w:t>je</w:t>
            </w:r>
            <w:r>
              <w:t xml:space="preserve"> skladen s socialno kohezijo in evropskim zelenim dogovorom;</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w:t>
            </w:r>
            <w:r>
              <w:rPr>
                <w:b/>
                <w:i/>
              </w:rPr>
              <w:t>spodbuja k dokončanju bančne unije</w:t>
            </w:r>
            <w:r>
              <w:t xml:space="preserve">; poudarja, da mora bančna unija podpirati bolj vključujoč in trajnosten finančni sistem, ki </w:t>
            </w:r>
            <w:r>
              <w:rPr>
                <w:b/>
                <w:i/>
              </w:rPr>
              <w:t>bo</w:t>
            </w:r>
            <w:r>
              <w:t xml:space="preserve"> skladen s socialno kohezijo in evropskim zelenim dogovorom;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w:t>
            </w:r>
            <w:r>
              <w:rPr>
                <w:b/>
                <w:i/>
              </w:rPr>
              <w:t>s popolnoma delujočim</w:t>
            </w:r>
            <w:r>
              <w:t xml:space="preserve"> evropskim sistemom jamstva za vloge; 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w:t>
            </w:r>
            <w:r>
              <w:rPr>
                <w:b/>
                <w:i/>
              </w:rPr>
              <w:t>z nadaljnjim delom v zvezi z</w:t>
            </w:r>
            <w:r>
              <w:t xml:space="preserve"> evropskim sistemom jamstva za vloge</w:t>
            </w:r>
            <w:r>
              <w:rPr>
                <w:b/>
                <w:i/>
              </w:rPr>
              <w:t>, ter naj se uvedejo ukrepi za poglobitev povezovanja trgov in omogočenje učinkovitega kroženja kapitala in likvidnosti znotraj bančnih skupin</w:t>
            </w:r>
            <w:r>
              <w:t>; poudarja, da mora bančna unija podpirati bolj vključujoč in trajnosten finančni sistem, ki je skladen s socialno kohezijo in evropskim zelenim dogovorom;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w:t>
            </w:r>
            <w:r>
              <w:rPr>
                <w:b/>
                <w:i/>
              </w:rPr>
              <w:t>s popolnoma delujočim</w:t>
            </w:r>
            <w:r>
              <w:t xml:space="preserve"> evropskim sistemom jamstva za vloge; 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w:t>
            </w:r>
            <w:r>
              <w:rPr>
                <w:b/>
                <w:i/>
              </w:rPr>
              <w:t>z</w:t>
            </w:r>
            <w:r>
              <w:t xml:space="preserve"> evropskim sistemom jamstva za vloge</w:t>
            </w:r>
            <w:r>
              <w:rPr>
                <w:b/>
                <w:i/>
              </w:rPr>
              <w:t>, ki bo upošteval nacionalne posebnosti</w:t>
            </w:r>
            <w:r>
              <w:t>; poudarja, da mora bančna unija podpirati bolj vključujoč in trajnosten finančni sistem, ki je skladen s socialno kohezijo in evropskim zelenim dogovorom;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 naj se v celoti in hitro dokonča bančna unija, vključno s popolnoma delujočim evropskim sistemom jamstva za vloge; poudarja, da mora bančna unija podpirati bolj vključujoč in trajnosten finančni sistem</w:t>
            </w:r>
            <w:r>
              <w:rPr>
                <w:b/>
                <w:i/>
              </w:rPr>
              <w:t>, ki je skladen s socialno kohezijo in evropskim zelenim dogovorom</w:t>
            </w:r>
            <w:r>
              <w:t>;</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s popolnoma delujočim </w:t>
            </w:r>
            <w:r>
              <w:rPr>
                <w:b/>
                <w:i/>
              </w:rPr>
              <w:t>in vzajemnim</w:t>
            </w:r>
            <w:r>
              <w:t xml:space="preserve"> evropskim sistemom jamstva za vloge; poudarja, da mora bančna unija podpirati bolj </w:t>
            </w:r>
            <w:r>
              <w:rPr>
                <w:b/>
                <w:i/>
              </w:rPr>
              <w:t>konkurenčen,</w:t>
            </w:r>
            <w:r>
              <w:t xml:space="preserve"> vključujoč in trajnosten finančni sistem;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s popolnoma delujočim evropskim sistemom jamstva za vloge; poudarja, da mora bančna unija podpirati bolj vključujoč in trajnosten finančni sistem, ki je skladen s socialno kohezijo in </w:t>
            </w:r>
            <w:r>
              <w:rPr>
                <w:b/>
                <w:i/>
              </w:rPr>
              <w:t>evropskim zelenim dogovorom</w:t>
            </w:r>
            <w:r>
              <w:t>;</w:t>
            </w:r>
          </w:p>
        </w:tc>
        <w:tc>
          <w:tcPr>
            <w:tcW w:w="4876" w:type="dxa"/>
            <w:tcBorders>
              <w:top w:val="nil"/>
              <w:left w:val="nil"/>
              <w:bottom w:val="nil"/>
              <w:right w:val="nil"/>
            </w:tcBorders>
          </w:tcPr>
          <w:p>
            <w:pPr>
              <w:pStyle w:val="Normal6a"/>
            </w:pPr>
            <w:r>
              <w:t>1.</w:t>
            </w:r>
            <w:r>
              <w:tab/>
            </w:r>
            <w:r>
              <w:t xml:space="preserve">pozdravlja napredek, ki je bil v zadnjem desetletju dosežen pri enotnem mehanizmu nadzora in enotnem mehanizmu za reševanje; poziva, naj se v celoti in hitro dokonča bančna unija, vključno s popolnoma delujočim evropskim sistemom jamstva za vloge; poudarja, da mora bančna unija podpirati bolj vključujoč in trajnosten finančni sistem, ki je skladen s socialno kohezijo in </w:t>
            </w:r>
            <w:r>
              <w:rPr>
                <w:b/>
                <w:i/>
              </w:rPr>
              <w:t>konkurenčnostjo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 naj se v celoti in hitro dokonča bančna unija, vključno s popolnoma delujočim evropskim sistemom jamstva za vloge; poudarja, da mora bančna unija podpirati bolj vključujoč in trajnosten finančni sistem, ki je skladen s socialno kohezijo in evropskim zelenim dogovorom;</w:t>
            </w:r>
          </w:p>
        </w:tc>
        <w:tc>
          <w:tcPr>
            <w:tcW w:w="4876" w:type="dxa"/>
            <w:tcBorders>
              <w:top w:val="nil"/>
              <w:left w:val="nil"/>
              <w:bottom w:val="nil"/>
              <w:right w:val="nil"/>
            </w:tcBorders>
          </w:tcPr>
          <w:p>
            <w:pPr>
              <w:pStyle w:val="Normal6a"/>
            </w:pPr>
            <w:r>
              <w:t>1.</w:t>
            </w:r>
            <w:r>
              <w:tab/>
            </w:r>
            <w:r>
              <w:t>pozdravlja napredek, ki je bil v zadnjem desetletju dosežen pri enotnem mehanizmu nadzora in enotnem mehanizmu za reševanje; poziva, naj se v celoti in hitro dokonča bančna unija, vključno s popolnoma delujočim evropskim sistemom jamstva za vloge</w:t>
            </w:r>
            <w:r>
              <w:rPr>
                <w:b/>
                <w:i/>
              </w:rPr>
              <w:t>, ki bo omogočal kritje izgub</w:t>
            </w:r>
            <w:r>
              <w:t>; poudarja, da mora bančna unija podpirati bolj vključujoč in trajnosten finančni sistem, ki je skladen s socialno kohezijo in evropskim zelenim dogovorom;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trdi, da bi bolj povezana bančna unija pomagala povečati odpornost bančnega sektorja EU in prinesla koristi strankam;</w:t>
            </w:r>
            <w:r>
              <w:t xml:space="preserve"> </w:t>
            </w:r>
            <w:r>
              <w:rPr>
                <w:b/>
                <w:i/>
              </w:rPr>
              <w:t>v zvezi s tem ugotavlja, da je treba obravnavati težave in izzive, povezane z vprašanjem matične države in države gostiteljice, zlasti verodostojna jamstva za države gostiteljice, ki bi morala biti izkazana v pravu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poziva Komisijo, naj da prednost dokončanju bančne unije ter unije prihrankov in naložb;</w:t>
            </w:r>
            <w:r>
              <w:t xml:space="preserve"> </w:t>
            </w:r>
            <w:r>
              <w:rPr>
                <w:b/>
                <w:i/>
              </w:rPr>
              <w:t>poudarja njun pomen za državljane, mala in srednja podjetja ter realno gospodarstvo, saj prispevata k trajnostni blaginji, kakovostnim delovnim mestom in finančni stabilnosti;</w:t>
            </w:r>
            <w:r>
              <w:t xml:space="preserve"> </w:t>
            </w:r>
            <w:r>
              <w:rPr>
                <w:b/>
                <w:i/>
              </w:rPr>
              <w:t>poudarja, da je potreben trden okvir, ki temelji na solidarnosti in preprečuje navale na banke;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poziva Komisijo, naj da prednost dokončanju bančne unije ter</w:t>
            </w:r>
            <w:r>
              <w:t xml:space="preserve"> unije prihrankov in naložb</w:t>
            </w:r>
            <w:r>
              <w:rPr>
                <w:b/>
                <w:i/>
              </w:rPr>
              <w:t>;</w:t>
            </w:r>
            <w:r>
              <w:t xml:space="preserve"> </w:t>
            </w:r>
            <w:r>
              <w:rPr>
                <w:b/>
                <w:i/>
              </w:rPr>
              <w:t>poudarja njun pomen za državljane, mala in srednja podjetja ter realno gospodarstvo, saj prispevata k trajnostni blaginji, kakovostnim delovnim mestom in finančni stabilnosti;</w:t>
            </w:r>
            <w:r>
              <w:t xml:space="preserve"> </w:t>
            </w:r>
            <w:r>
              <w:rPr>
                <w:b/>
                <w:i/>
              </w:rPr>
              <w:t>poudarja, da je potreben trden okvir, ki temelji na solidarnosti in preprečuje navale na banke</w:t>
            </w:r>
            <w:r>
              <w:t>;</w:t>
            </w:r>
          </w:p>
        </w:tc>
        <w:tc>
          <w:tcPr>
            <w:tcW w:w="4876" w:type="dxa"/>
            <w:tcBorders>
              <w:top w:val="nil"/>
              <w:left w:val="nil"/>
              <w:bottom w:val="nil"/>
              <w:right w:val="nil"/>
            </w:tcBorders>
          </w:tcPr>
          <w:p>
            <w:pPr>
              <w:pStyle w:val="Normal6a"/>
            </w:pPr>
            <w:r>
              <w:t>2.</w:t>
            </w:r>
            <w:r>
              <w:tab/>
            </w:r>
            <w:r>
              <w:rPr>
                <w:b/>
                <w:i/>
              </w:rPr>
              <w:t>je seznanjen s predlogi Komisije v zvezi z unijo prihrankov in naložb;</w:t>
            </w:r>
            <w:r>
              <w:t xml:space="preserve"> </w:t>
            </w:r>
            <w:r>
              <w:rPr>
                <w:b/>
                <w:i/>
              </w:rPr>
              <w:t>meni, da bi lahko sedanja zasnova</w:t>
            </w:r>
            <w:r>
              <w:t xml:space="preserve"> unije prihrankov in naložb </w:t>
            </w:r>
            <w:r>
              <w:rPr>
                <w:b/>
                <w:i/>
              </w:rPr>
              <w:t>preusmerjala prihranke na kapitalske trge z visokim tveganjem, kjer ni ustrezne zaščite vlagateljev ali jasnih tržnih spodbud;</w:t>
            </w:r>
            <w:r>
              <w:t xml:space="preserve"> </w:t>
            </w:r>
            <w:r>
              <w:rPr>
                <w:b/>
                <w:i/>
              </w:rPr>
              <w:t>takšno centralno načrtovanje lahko izkrivlja razporejanje prihrankov in male vlagatelje izpostavi nestanovitnosti brez zanesljivih varnostnih mehanizmov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Komisijo, naj da prednost </w:t>
            </w:r>
            <w:r>
              <w:rPr>
                <w:b/>
                <w:i/>
              </w:rPr>
              <w:t>dokončanju</w:t>
            </w:r>
            <w:r>
              <w:t xml:space="preserve"> bančne unije ter unije prihrankov in naložb; poudarja njun pomen za državljane, mala in srednja podjetja ter realno gospodarstvo, saj prispevata k trajnostni blaginji, kakovostnim delovnim mestom in finančni stabilnosti; </w:t>
            </w:r>
            <w:r>
              <w:rPr>
                <w:b/>
                <w:i/>
              </w:rPr>
              <w:t>poudarja, da je potreben trden okvir, ki temelji na solidarnosti in preprečuje navale na banke;</w:t>
            </w:r>
          </w:p>
        </w:tc>
        <w:tc>
          <w:tcPr>
            <w:tcW w:w="4876" w:type="dxa"/>
            <w:tcBorders>
              <w:top w:val="nil"/>
              <w:left w:val="nil"/>
              <w:bottom w:val="nil"/>
              <w:right w:val="nil"/>
            </w:tcBorders>
          </w:tcPr>
          <w:p>
            <w:pPr>
              <w:pStyle w:val="Normal6a"/>
            </w:pPr>
            <w:r>
              <w:t>2.</w:t>
            </w:r>
            <w:r>
              <w:tab/>
            </w:r>
            <w:r>
              <w:t xml:space="preserve">poziva Komisijo, naj da prednost </w:t>
            </w:r>
            <w:r>
              <w:rPr>
                <w:b/>
                <w:i/>
              </w:rPr>
              <w:t>nadaljnjemu razvoju</w:t>
            </w:r>
            <w:r>
              <w:t xml:space="preserve"> bančne unije ter unije prihrankov in naložb; poudarja njun pomen za državljane, mala in srednja podjetja ter realno gospodarstvo, saj prispevata k trajnostni blaginji, kakovostnim delovnim mestom in finančni stabilnosti;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poudarja njun pomen za državljane, mala in srednja podjetja ter </w:t>
            </w:r>
            <w:r>
              <w:rPr>
                <w:b/>
                <w:i/>
              </w:rPr>
              <w:t>realno</w:t>
            </w:r>
            <w:r>
              <w:t xml:space="preserve"> gospodarstvo, saj prispevata k </w:t>
            </w:r>
            <w:r>
              <w:rPr>
                <w:b/>
                <w:i/>
              </w:rPr>
              <w:t>trajnostni</w:t>
            </w:r>
            <w:r>
              <w:t xml:space="preserve"> blaginji, kakovostnim delovnim mestom in finančni stabilnosti; poudarja, da je potreben trden okvir, ki </w:t>
            </w:r>
            <w:r>
              <w:rPr>
                <w:b/>
                <w:i/>
              </w:rPr>
              <w:t>temelji na solidarnosti in preprečuje</w:t>
            </w:r>
            <w:r>
              <w:t xml:space="preserve"> navale na banke;</w:t>
            </w:r>
          </w:p>
        </w:tc>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w:t>
            </w:r>
            <w:r>
              <w:rPr>
                <w:b/>
                <w:i/>
              </w:rPr>
              <w:t>kot bistvenih orodij za usmerjanje prihrankov v naložbe</w:t>
            </w:r>
            <w:r>
              <w:t xml:space="preserve">; poudarja njun pomen za državljane, mala in srednja podjetja ter gospodarstvo, saj prispevata k blaginji, kakovostnim delovnim mestom in finančni stabilnosti; poudarja, da je potreben trden okvir, ki </w:t>
            </w:r>
            <w:r>
              <w:rPr>
                <w:b/>
                <w:i/>
              </w:rPr>
              <w:t>bo temeljil na jasnih pravilih in učinkovitih mehanizmih, ki bodo okrepili zaupanje vlagateljev in preprečili</w:t>
            </w:r>
            <w:r>
              <w:t xml:space="preserve"> navale na banke;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Komisijo, naj da prednost dokončanju bančne unije ter unije prihrankov in naložb; poudarja njun pomen za državljane, mala in srednja podjetja ter realno gospodarstvo, saj prispevata k trajnostni blaginji, kakovostnim delovnim mestom in finančni stabilnosti; poudarja, da je potreben trden okvir</w:t>
            </w:r>
            <w:r>
              <w:rPr>
                <w:b/>
                <w:i/>
              </w:rPr>
              <w:t>, ki temelji na solidarnosti in preprečuje navale</w:t>
            </w:r>
            <w:r>
              <w:t xml:space="preserve"> na banke;</w:t>
            </w:r>
          </w:p>
        </w:tc>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poudarja njun pomen za državljane, mala in srednja podjetja ter realno gospodarstvo, saj prispevata k trajnostni blaginji, kakovostnim delovnim mestom in finančni stabilnosti; poudarja, da </w:t>
            </w:r>
            <w:r>
              <w:rPr>
                <w:b/>
                <w:i/>
              </w:rPr>
              <w:t>bi bolj povezana bančna unija podprla rast in konkurenčnost evropskih bank;</w:t>
            </w:r>
            <w:r>
              <w:t xml:space="preserve"> </w:t>
            </w:r>
            <w:r>
              <w:rPr>
                <w:b/>
                <w:i/>
              </w:rPr>
              <w:t>poudarja, da</w:t>
            </w:r>
            <w:r>
              <w:t xml:space="preserve"> je potreben trden okvir </w:t>
            </w:r>
            <w:r>
              <w:rPr>
                <w:b/>
                <w:i/>
              </w:rPr>
              <w:t>za preprečitev navalov</w:t>
            </w:r>
            <w:r>
              <w:t> na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poudarja njun pomen za državljane, mala in srednja podjetja ter realno gospodarstvo, saj prispevata k trajnostni blaginji, kakovostnim delovnim mestom in finančni stabilnosti; poudarja, da je potreben trden okvir, ki </w:t>
            </w:r>
            <w:r>
              <w:rPr>
                <w:b/>
                <w:i/>
              </w:rPr>
              <w:t>temelji na solidarnosti in preprečuje</w:t>
            </w:r>
            <w:r>
              <w:t xml:space="preserve"> navale na banke;</w:t>
            </w:r>
          </w:p>
        </w:tc>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poudarja njun pomen za državljane, mala in srednja podjetja ter realno gospodarstvo, saj prispevata k trajnostni blaginji, kakovostnim delovnim mestom in finančni stabilnosti; poudarja, da je potreben trden </w:t>
            </w:r>
            <w:r>
              <w:rPr>
                <w:b/>
                <w:i/>
              </w:rPr>
              <w:t>in trden</w:t>
            </w:r>
            <w:r>
              <w:t xml:space="preserve"> okvir, ki </w:t>
            </w:r>
            <w:r>
              <w:rPr>
                <w:b/>
                <w:i/>
              </w:rPr>
              <w:t>bo temeljil na jasnih pravilih in obveznostih ter preprečeval</w:t>
            </w:r>
            <w:r>
              <w:t xml:space="preserve"> navale na banke</w:t>
            </w:r>
            <w:r>
              <w:rPr>
                <w:b/>
                <w:i/>
              </w:rPr>
              <w:t>, povečal finančno stabilnost in konkurenčnost ter okrepil bančni sektor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poziva Komisijo, naj da prednost dokončanju bančne unije </w:t>
            </w:r>
            <w:r>
              <w:rPr>
                <w:b/>
                <w:i/>
              </w:rPr>
              <w:t>ter</w:t>
            </w:r>
            <w:r>
              <w:t xml:space="preserve"> unije prihrankov in naložb; poudarja njun pomen za državljane, mala in srednja podjetja ter realno gospodarstvo, saj prispevata k trajnostni blaginji, kakovostnim delovnim mestom in finančni stabilnosti; poudarja, da je potreben trden okvir, ki temelji na solidarnosti in preprečuje navale na banke;</w:t>
            </w:r>
          </w:p>
        </w:tc>
        <w:tc>
          <w:tcPr>
            <w:tcW w:w="4876" w:type="dxa"/>
            <w:tcBorders>
              <w:top w:val="nil"/>
              <w:left w:val="nil"/>
              <w:bottom w:val="nil"/>
              <w:right w:val="nil"/>
            </w:tcBorders>
          </w:tcPr>
          <w:p>
            <w:pPr>
              <w:pStyle w:val="Normal6a"/>
            </w:pPr>
            <w:r>
              <w:t>2.</w:t>
            </w:r>
            <w:r>
              <w:tab/>
            </w:r>
            <w:r>
              <w:t>poziva Komisijo, naj da prednost dokončanju bančne unije</w:t>
            </w:r>
            <w:r>
              <w:rPr>
                <w:b/>
                <w:i/>
              </w:rPr>
              <w:t>, saj je del</w:t>
            </w:r>
            <w:r>
              <w:t xml:space="preserve"> unije prihrankov in naložb; poudarja njun pomen za državljane, mala in srednja podjetja ter realno gospodarstvo, saj prispevata k trajnostni blaginji, kakovostnim delovnim mestom in finančni stabilnosti; poudarja, da je potreben trden okvir, ki temelji na solidarnosti in preprečuje navale na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Komisijo, naj da prednost dokončanju bančne unije ter unije prihrankov in naložb; poudarja njun pomen za državljane, mala in srednja podjetja ter realno gospodarstvo, saj prispevata k trajnostni blaginji, kakovostnim delovnim mestom in finančni stabilnosti; poudarja, da je potreben trden okvir, ki temelji na solidarnosti in preprečuje navale na banke;</w:t>
            </w:r>
          </w:p>
        </w:tc>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poudarja njun pomen za državljane, mala in srednja podjetja ter realno gospodarstvo, saj prispevata k </w:t>
            </w:r>
            <w:r>
              <w:rPr>
                <w:b/>
                <w:i/>
              </w:rPr>
              <w:t>odpornosti, konkurenčnosti,</w:t>
            </w:r>
            <w:r>
              <w:t xml:space="preserve"> trajnostni blaginji, kakovostnim delovnim mestom in finančni stabilnosti; poudarja, da je potreben trden okvir, ki temelji na solidarnosti in preprečuje navale na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poziva Komisijo, naj da prednost dokončanju bančne unije ter unije prihrankov in naložb; poudarja njun pomen za državljane, mala in srednja podjetja ter realno gospodarstvo, saj prispevata k trajnostni blaginji, kakovostnim delovnim mestom in finančni stabilnosti; poudarja, da je potreben trden okvir, ki temelji na solidarnosti in preprečuje navale na banke;</w:t>
            </w:r>
          </w:p>
        </w:tc>
        <w:tc>
          <w:tcPr>
            <w:tcW w:w="4876" w:type="dxa"/>
            <w:tcBorders>
              <w:top w:val="nil"/>
              <w:left w:val="nil"/>
              <w:bottom w:val="nil"/>
              <w:right w:val="nil"/>
            </w:tcBorders>
          </w:tcPr>
          <w:p>
            <w:pPr>
              <w:pStyle w:val="Normal6a"/>
            </w:pPr>
            <w:r>
              <w:t>2.</w:t>
            </w:r>
            <w:r>
              <w:tab/>
            </w:r>
            <w:r>
              <w:t xml:space="preserve">poziva Komisijo, naj da prednost dokončanju bančne unije ter unije prihrankov in naložb; poudarja njun pomen za državljane, mala in srednja podjetja ter realno gospodarstvo, saj prispevata k trajnostni blaginji, kakovostnim delovnim mestom in finančni stabilnosti; poudarja, da je potreben trden okvir, ki </w:t>
            </w:r>
            <w:r>
              <w:rPr>
                <w:b/>
                <w:i/>
              </w:rPr>
              <w:t>naj</w:t>
            </w:r>
            <w:r>
              <w:t xml:space="preserve"> temelji na solidarnosti in preprečuje navale na banke; </w:t>
            </w:r>
            <w:r>
              <w:rPr>
                <w:b/>
                <w:i/>
              </w:rPr>
              <w:t>poudarja, da bo dokončanje unije kapitalskih trgov poleg razvoja bančne unije pomagalo zagotoviti boljše pogoje za financiranje evropskega gospodarstva tako za gospodinjstva kot tudi za podjetja, ki so še vedno v veliki meri odvisna od bančnih posojil za spodbujanje naložb in ustvarjanje delovnih mest, hkrati pa bo prispevalo tudi k odpornosti evropskega gospodarstva in pomagalo pospešiti zeleni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poudarja, da gospodinjstvom ter malim in srednjim podjetjem v državah članicah ponujajo zelo različne obrestne mere;</w:t>
            </w:r>
            <w:r>
              <w:t xml:space="preserve"> </w:t>
            </w:r>
            <w:r>
              <w:rPr>
                <w:b/>
                <w:i/>
              </w:rPr>
              <w:t>poziva Komisijo in bančne nadzornike, naj razmislijo o ukrepih, s katerimi bi zagotovili, da bodo imeli vsi državljani in podjetja dostop do prepotrebnega kapitala po poštenih in konkurenčnih obrestnih merah;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poudarja vlogo bančnega sektorja pri financiranju prehoda na ogljično nevtralno gospodarstvo;</w:t>
            </w:r>
            <w:r>
              <w:t xml:space="preserve"> </w:t>
            </w:r>
            <w:r>
              <w:rPr>
                <w:b/>
                <w:i/>
              </w:rPr>
              <w:t>poziva k strožjim nadzornim smernicam, da bi finančne institucije uskladili s podnebnimi cilji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poudarja vlogo bančnega sektorja pri financiranju prehoda na ogljično nevtralno gospodarstvo;</w:t>
            </w:r>
            <w:r>
              <w:t xml:space="preserve"> </w:t>
            </w:r>
            <w:r>
              <w:rPr>
                <w:b/>
                <w:i/>
              </w:rPr>
              <w:t>poziva k strožjim nadzornim smernicam, da bi finančne institucije uskladili s podnebnimi cilji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poudarja vlogo bančnega sektorja pri financiranju prehoda na ogljično nevtralno gospodarstvo;</w:t>
            </w:r>
            <w:r>
              <w:t xml:space="preserve"> </w:t>
            </w:r>
            <w:r>
              <w:rPr>
                <w:b/>
                <w:i/>
              </w:rPr>
              <w:t>poziva k strožjim nadzornim smernicam, da bi finančne institucije uskladili s podnebnimi cilji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poudarja vlogo bančnega sektorja pri financiranju prehoda na ogljično nevtralno gospodarstvo;</w:t>
            </w:r>
            <w:r>
              <w:t xml:space="preserve"> </w:t>
            </w:r>
            <w:r>
              <w:rPr>
                <w:b/>
                <w:i/>
              </w:rPr>
              <w:t>poziva k strožjim nadzornim smernicam, da bi finančne institucije uskladili s podnebnimi cilji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vlogo bančnega sektorja pri financiranju prehoda </w:t>
            </w:r>
            <w:r>
              <w:rPr>
                <w:b/>
                <w:i/>
              </w:rPr>
              <w:t>na ogljično nevtralno gospodarstvo</w:t>
            </w:r>
            <w:r>
              <w:t xml:space="preserve">; </w:t>
            </w:r>
            <w:r>
              <w:rPr>
                <w:b/>
                <w:i/>
              </w:rPr>
              <w:t>poziva k strožjim nadzornim smernicam, da bi finančne institucije uskladili s podnebnimi cilji EU;</w:t>
            </w:r>
          </w:p>
        </w:tc>
        <w:tc>
          <w:tcPr>
            <w:tcW w:w="4876" w:type="dxa"/>
            <w:tcBorders>
              <w:top w:val="nil"/>
              <w:left w:val="nil"/>
              <w:bottom w:val="nil"/>
              <w:right w:val="nil"/>
            </w:tcBorders>
          </w:tcPr>
          <w:p>
            <w:pPr>
              <w:pStyle w:val="Normal6a"/>
            </w:pPr>
            <w:r>
              <w:t>3.</w:t>
            </w:r>
            <w:r>
              <w:tab/>
            </w:r>
            <w:r>
              <w:t xml:space="preserve">poudarja vlogo bančnega sektorja pri financiranju </w:t>
            </w:r>
            <w:r>
              <w:rPr>
                <w:b/>
                <w:i/>
              </w:rPr>
              <w:t>digitalnega</w:t>
            </w:r>
            <w:r>
              <w:t xml:space="preserve"> prehoda;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w:t>
            </w:r>
            <w:r>
              <w:rPr>
                <w:b/>
                <w:i/>
              </w:rPr>
              <w:t>vlogo bančnega sektorja pri financiranju prehoda na ogljično nevtralno gospodarstvo;</w:t>
            </w:r>
            <w:r>
              <w:t xml:space="preserve"> </w:t>
            </w:r>
            <w:r>
              <w:rPr>
                <w:b/>
                <w:i/>
              </w:rPr>
              <w:t>poziva k strožjim nadzornim smernicam</w:t>
            </w:r>
            <w:r>
              <w:t xml:space="preserve">, da </w:t>
            </w:r>
            <w:r>
              <w:rPr>
                <w:b/>
                <w:i/>
              </w:rPr>
              <w:t>bi finančne institucije uskladili s podnebnimi cilji EU</w:t>
            </w:r>
            <w:r>
              <w:t>;</w:t>
            </w:r>
          </w:p>
        </w:tc>
        <w:tc>
          <w:tcPr>
            <w:tcW w:w="4876" w:type="dxa"/>
            <w:tcBorders>
              <w:top w:val="nil"/>
              <w:left w:val="nil"/>
              <w:bottom w:val="nil"/>
              <w:right w:val="nil"/>
            </w:tcBorders>
          </w:tcPr>
          <w:p>
            <w:pPr>
              <w:pStyle w:val="Normal6a"/>
            </w:pPr>
            <w:r>
              <w:t>3.</w:t>
            </w:r>
            <w:r>
              <w:tab/>
            </w:r>
            <w:r>
              <w:t xml:space="preserve">poudarja, da </w:t>
            </w:r>
            <w:r>
              <w:rPr>
                <w:b/>
                <w:i/>
              </w:rPr>
              <w:t>zelena finančna zakonodaja ne bi smela nadomestiti kreditne sposobnosti, tradicionalnih ocen tveganja ali mehanizmov za oblikovanje cen, na katerih temeljijo preudarne odločitve o posojilih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vlogo bančnega sektorja pri financiranju prehoda </w:t>
            </w:r>
            <w:r>
              <w:rPr>
                <w:b/>
                <w:i/>
              </w:rPr>
              <w:t>na ogljično nevtralno gospodarstvo;</w:t>
            </w:r>
            <w:r>
              <w:t xml:space="preserve"> </w:t>
            </w:r>
            <w:r>
              <w:rPr>
                <w:b/>
                <w:i/>
              </w:rPr>
              <w:t>poziva k strožjim nadzornim smernicam</w:t>
            </w:r>
            <w:r>
              <w:t xml:space="preserve">, da bi </w:t>
            </w:r>
            <w:r>
              <w:rPr>
                <w:b/>
                <w:i/>
              </w:rPr>
              <w:t>finančne institucije</w:t>
            </w:r>
            <w:r>
              <w:t xml:space="preserve"> uskladili </w:t>
            </w:r>
            <w:r>
              <w:rPr>
                <w:b/>
                <w:i/>
              </w:rPr>
              <w:t>s podnebnimi cilji EU</w:t>
            </w:r>
            <w:r>
              <w:t>;</w:t>
            </w:r>
          </w:p>
        </w:tc>
        <w:tc>
          <w:tcPr>
            <w:tcW w:w="4876" w:type="dxa"/>
            <w:tcBorders>
              <w:top w:val="nil"/>
              <w:left w:val="nil"/>
              <w:bottom w:val="nil"/>
              <w:right w:val="nil"/>
            </w:tcBorders>
          </w:tcPr>
          <w:p>
            <w:pPr>
              <w:pStyle w:val="Normal6a"/>
            </w:pPr>
            <w:r>
              <w:t>3.</w:t>
            </w:r>
            <w:r>
              <w:tab/>
            </w:r>
            <w:r>
              <w:t xml:space="preserve">poudarja vlogo bančnega sektorja pri financiranju </w:t>
            </w:r>
            <w:r>
              <w:rPr>
                <w:b/>
                <w:i/>
              </w:rPr>
              <w:t>dvojnega</w:t>
            </w:r>
            <w:r>
              <w:t xml:space="preserve"> prehoda</w:t>
            </w:r>
            <w:r>
              <w:rPr>
                <w:b/>
                <w:i/>
              </w:rPr>
              <w:t>;</w:t>
            </w:r>
            <w:r>
              <w:t xml:space="preserve"> </w:t>
            </w:r>
            <w:r>
              <w:rPr>
                <w:b/>
                <w:i/>
              </w:rPr>
              <w:t>poudarja, da je treba poenostaviti okvir EU za trajnostno financiranje</w:t>
            </w:r>
            <w:r>
              <w:t xml:space="preserve">, da bi </w:t>
            </w:r>
            <w:r>
              <w:rPr>
                <w:b/>
                <w:i/>
              </w:rPr>
              <w:t>zagotovili skladnost, zmanjšali podvajanje in</w:t>
            </w:r>
            <w:r>
              <w:t xml:space="preserve"> uskladili </w:t>
            </w:r>
            <w:r>
              <w:rPr>
                <w:b/>
                <w:i/>
              </w:rPr>
              <w:t>obveznosti, povezanih s pravili o bančništvu, razkritjem in obvladovanjem tveganj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poudarja vlogo bančnega sektorja pri financiranju prehoda </w:t>
            </w:r>
            <w:r>
              <w:rPr>
                <w:b/>
                <w:i/>
              </w:rPr>
              <w:t>na ogljično nevtralno gospodarstvo</w:t>
            </w:r>
            <w:r>
              <w:t xml:space="preserve">; </w:t>
            </w:r>
            <w:r>
              <w:rPr>
                <w:b/>
                <w:i/>
              </w:rPr>
              <w:t>poziva k strožjim nadzornim smernicam, da bi finančne institucije uskladili s podnebnimi cilji EU;</w:t>
            </w:r>
          </w:p>
        </w:tc>
        <w:tc>
          <w:tcPr>
            <w:tcW w:w="4876" w:type="dxa"/>
            <w:tcBorders>
              <w:top w:val="nil"/>
              <w:left w:val="nil"/>
              <w:bottom w:val="nil"/>
              <w:right w:val="nil"/>
            </w:tcBorders>
          </w:tcPr>
          <w:p>
            <w:pPr>
              <w:pStyle w:val="Normal6a"/>
            </w:pPr>
            <w:r>
              <w:t>3.</w:t>
            </w:r>
            <w:r>
              <w:tab/>
            </w:r>
            <w:r>
              <w:t xml:space="preserve">poudarja vlogo bančnega sektorja pri financiranju </w:t>
            </w:r>
            <w:r>
              <w:rPr>
                <w:b/>
                <w:i/>
              </w:rPr>
              <w:t>dvojnega</w:t>
            </w:r>
            <w:r>
              <w:t xml:space="preserve"> prehoda;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poudarja</w:t>
            </w:r>
            <w:r>
              <w:t xml:space="preserve"> vlogo bančnega sektorja pri financiranju </w:t>
            </w:r>
            <w:r>
              <w:rPr>
                <w:b/>
                <w:i/>
              </w:rPr>
              <w:t>prehoda na ogljično nevtralno</w:t>
            </w:r>
            <w:r>
              <w:t xml:space="preserve"> gospodarstvo; poziva k strožjim nadzornim smernicam, da bi finančne institucije uskladili </w:t>
            </w:r>
            <w:r>
              <w:rPr>
                <w:b/>
                <w:i/>
              </w:rPr>
              <w:t>s podnebnimi cilji EU</w:t>
            </w:r>
            <w:r>
              <w:t>;</w:t>
            </w:r>
          </w:p>
        </w:tc>
        <w:tc>
          <w:tcPr>
            <w:tcW w:w="4876" w:type="dxa"/>
            <w:tcBorders>
              <w:top w:val="nil"/>
              <w:left w:val="nil"/>
              <w:bottom w:val="nil"/>
              <w:right w:val="nil"/>
            </w:tcBorders>
          </w:tcPr>
          <w:p>
            <w:pPr>
              <w:pStyle w:val="Normal6a"/>
            </w:pPr>
            <w:r>
              <w:t>3.</w:t>
            </w:r>
            <w:r>
              <w:tab/>
            </w:r>
            <w:r>
              <w:rPr>
                <w:b/>
                <w:i/>
              </w:rPr>
              <w:t>priznava</w:t>
            </w:r>
            <w:r>
              <w:t xml:space="preserve"> vlogo bančnega sektorja pri </w:t>
            </w:r>
            <w:r>
              <w:rPr>
                <w:b/>
                <w:i/>
              </w:rPr>
              <w:t>podpiranju potreb realnega gospodarstva po</w:t>
            </w:r>
            <w:r>
              <w:t xml:space="preserve"> financiranju</w:t>
            </w:r>
            <w:r>
              <w:rPr>
                <w:b/>
                <w:i/>
              </w:rPr>
              <w:t>, vključno z naložbami, povezanimi s prehodom na konkurenčnejše</w:t>
            </w:r>
            <w:r>
              <w:t xml:space="preserve"> gospodarstvo; poziva k strožjim nadzornim smernicam, da bi finančne institucije uskladili </w:t>
            </w:r>
            <w:r>
              <w:rPr>
                <w:b/>
                <w:i/>
              </w:rPr>
              <w:t>z agendo za gospodarsko konkurenčnost;</w:t>
            </w:r>
            <w:r>
              <w:t xml:space="preserve"> </w:t>
            </w:r>
            <w:r>
              <w:rPr>
                <w:b/>
                <w:i/>
              </w:rPr>
              <w:t>poudarja, da bi morali nadzorni ukrepi na področju trajnostnosti še naprej temeljiti na pristopu, ki temelji na tveganju, in ostati trdno v okviru bonitetnega mandata, pri čemer bi se bilo treba osredotočiti na prepoznavanje, ocenjevanje in obvladovanje pomembnih finančnih tveganj, povezanih s podnebjem, ne da bi pri tem ogrozili tržno nevtralnost ali osrednja cilja finančne stabilnosti in preudarnega obvladovanja tveganj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poudarja vlogo bančnega sektorja pri financiranju prehoda na ogljično nevtralno gospodarstvo; poziva k strožjim nadzornim smernicam, da bi finančne institucije uskladili s podnebnimi cilji EU;</w:t>
            </w:r>
          </w:p>
        </w:tc>
        <w:tc>
          <w:tcPr>
            <w:tcW w:w="4876" w:type="dxa"/>
            <w:tcBorders>
              <w:top w:val="nil"/>
              <w:left w:val="nil"/>
              <w:bottom w:val="nil"/>
              <w:right w:val="nil"/>
            </w:tcBorders>
          </w:tcPr>
          <w:p>
            <w:pPr>
              <w:pStyle w:val="Normal6a"/>
            </w:pPr>
            <w:r>
              <w:t>3.</w:t>
            </w:r>
            <w:r>
              <w:tab/>
            </w:r>
            <w:r>
              <w:t xml:space="preserve">poudarja vlogo bančnega sektorja pri financiranju prehoda na ogljično nevtralno gospodarstvo; poziva </w:t>
            </w:r>
            <w:r>
              <w:rPr>
                <w:b/>
                <w:i/>
              </w:rPr>
              <w:t>Komisijo, naj vloži predlog za popolno vključitev tveganj glede trajnostnosti v bonitetni okvir, tudi z določitvijo višjih kapitalskih zahtev za izpostavljenosti, povezane s fosilnimi gorivi, kot priporoča Evropski organ za zavarovanja in poklicne pokojnine;</w:t>
            </w:r>
            <w:r>
              <w:t xml:space="preserve"> </w:t>
            </w:r>
            <w:r>
              <w:rPr>
                <w:b/>
                <w:i/>
              </w:rPr>
              <w:t>poziva</w:t>
            </w:r>
            <w:r>
              <w:t xml:space="preserve"> k strožjim nadzornim smernicam, da bi finančne institucije uskladili s podnebnimi cilji EU</w:t>
            </w:r>
            <w:r>
              <w:rPr>
                <w:b/>
                <w:i/>
              </w:rPr>
              <w:t>, tudi z uporabo zahtev v okviru drugega stebra</w:t>
            </w:r>
            <w:r>
              <w:t xml:space="preserve">; </w:t>
            </w:r>
            <w:r>
              <w:rPr>
                <w:b/>
                <w:i/>
              </w:rPr>
              <w:t>poudarja, da je za doseganje teh ciljev nujen verodostojen taksonomski okvir;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meni, da mora biti povezana bančna unija vezana na dobro delujoč enotni trg za maloprodajne finančne storitve;</w:t>
            </w:r>
            <w:r>
              <w:t xml:space="preserve"> </w:t>
            </w:r>
            <w:r>
              <w:rPr>
                <w:b/>
                <w:i/>
              </w:rPr>
              <w:t>poziva Komisijo, naj oceni ovire in prepreke, s katerimi se potrošniki srečujejo pri čezmejni uporabi produktov bančnega poslovanja s prebivalstvom, kot so hipotekarna posojila, ter predlaga rešitve, s katerimi bi potrošnikom zagotovili možnost čezmejne uporabe maloprodajnih finančnih storitev;</w:t>
            </w:r>
            <w:r>
              <w:t xml:space="preserve"> </w:t>
            </w:r>
            <w:r>
              <w:rPr>
                <w:b/>
                <w:i/>
              </w:rPr>
              <w:t>poleg tega ugotavlja, da se obrestne mere za hipotekarne kredite v Uniji močno razlikujejo;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poudarja odločilno vlogo bančnega sektorja kot glavnega posojilodajalca v EU pri odpravljanju vse večje vrzeli v konkurenčnosti v primerjavi z drugimi regijami;</w:t>
            </w:r>
            <w:r>
              <w:t xml:space="preserve"> </w:t>
            </w:r>
            <w:r>
              <w:rPr>
                <w:b/>
                <w:i/>
              </w:rPr>
              <w:t>opozarja na pomen bančnega sektorja pri financiranju evropskih malih in srednjih podjetij, medtem ko se kapitalski trgi še naprej razvijajo;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obžaluje, da so ostale še nekatere ovire za čezmejne storitve bančnega poslovanja s prebivalstvom;</w:t>
            </w:r>
            <w:r>
              <w:t xml:space="preserve"> </w:t>
            </w:r>
            <w:r>
              <w:rPr>
                <w:b/>
                <w:i/>
              </w:rPr>
              <w:t>poudarja, da lahko povezana bančna unija izboljša konkurenco in izbiro potrošnikov na področju bančnih storitev za prebivalstvo, tudi z boljšimi priložnostmi za zagotavljanje čezmejnih bančnih storitev za prebivalstvo;</w:t>
            </w:r>
            <w:r>
              <w:t xml:space="preserve"> </w:t>
            </w:r>
            <w:r>
              <w:rPr>
                <w:b/>
                <w:i/>
              </w:rPr>
              <w:t>poudarja prednosti raznolikega in konkurenčnega bančnega sektorja v Evropi;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pozdravlja napredek pri digitalnem euru in njegov potencial za dopolnjevanje gotovine, hkrati pa krepi</w:t>
            </w:r>
            <w:r>
              <w:t xml:space="preserve"> finančno </w:t>
            </w:r>
            <w:r>
              <w:rPr>
                <w:b/>
                <w:i/>
              </w:rPr>
              <w:t>suverenost in avtonomijo Unije</w:t>
            </w:r>
            <w:r>
              <w:t>;</w:t>
            </w:r>
          </w:p>
        </w:tc>
        <w:tc>
          <w:tcPr>
            <w:tcW w:w="4876" w:type="dxa"/>
            <w:tcBorders>
              <w:top w:val="nil"/>
              <w:left w:val="nil"/>
              <w:bottom w:val="nil"/>
              <w:right w:val="nil"/>
            </w:tcBorders>
          </w:tcPr>
          <w:p>
            <w:pPr>
              <w:pStyle w:val="Normal6a"/>
            </w:pPr>
            <w:r>
              <w:t>4.</w:t>
            </w:r>
            <w:r>
              <w:tab/>
            </w:r>
            <w:r>
              <w:rPr>
                <w:b/>
                <w:i/>
              </w:rPr>
              <w:t>ima velike zadržke glede vpliva digitalnega eura na bančne depozitne baze in</w:t>
            </w:r>
            <w:r>
              <w:t xml:space="preserve"> finančno </w:t>
            </w:r>
            <w:r>
              <w:rPr>
                <w:b/>
                <w:i/>
              </w:rPr>
              <w:t>posredništvo;</w:t>
            </w:r>
            <w:r>
              <w:t xml:space="preserve"> </w:t>
            </w:r>
            <w:r>
              <w:rPr>
                <w:b/>
                <w:i/>
              </w:rPr>
              <w:t>poziva k strogim omejitvam imetja in zaščitnim ukrepom, da bi preprečili selitev vlog zasebnih bank in ohranili zmogljivost bank za kreditno posredništvo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pozdravlja</w:t>
            </w:r>
            <w:r>
              <w:t xml:space="preserve"> napredek pri digitalnem euru </w:t>
            </w:r>
            <w:r>
              <w:rPr>
                <w:b/>
                <w:i/>
              </w:rPr>
              <w:t>in njegov potencial za dopolnjevanje gotovine, hkrati pa krepi finančno suverenost in avtonomijo Unije</w:t>
            </w:r>
            <w:r>
              <w:t>;</w:t>
            </w:r>
          </w:p>
        </w:tc>
        <w:tc>
          <w:tcPr>
            <w:tcW w:w="4876" w:type="dxa"/>
            <w:tcBorders>
              <w:top w:val="nil"/>
              <w:left w:val="nil"/>
              <w:bottom w:val="nil"/>
              <w:right w:val="nil"/>
            </w:tcBorders>
          </w:tcPr>
          <w:p>
            <w:pPr>
              <w:pStyle w:val="Normal6a"/>
            </w:pPr>
            <w:r>
              <w:t>4.</w:t>
            </w:r>
            <w:r>
              <w:tab/>
            </w:r>
            <w:r>
              <w:rPr>
                <w:b/>
                <w:i/>
              </w:rPr>
              <w:t>ve za</w:t>
            </w:r>
            <w:r>
              <w:t xml:space="preserve"> napredek pri digitalnem euru </w:t>
            </w:r>
            <w:r>
              <w:rPr>
                <w:b/>
                <w:i/>
              </w:rPr>
              <w:t>ter tudi za izzive in potencialne nevarnosti, ki bi jih ta projekt lahko pomenil za likvidnost in stabilnost bančnega sektorja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pozdravlja</w:t>
            </w:r>
            <w:r>
              <w:t xml:space="preserve"> napredek pri digitalnem euru in njegov potencial za dopolnjevanje gotovine, hkrati pa krepi finančno suverenost in avtonomijo Unije;</w:t>
            </w:r>
          </w:p>
        </w:tc>
        <w:tc>
          <w:tcPr>
            <w:tcW w:w="4876" w:type="dxa"/>
            <w:tcBorders>
              <w:top w:val="nil"/>
              <w:left w:val="nil"/>
              <w:bottom w:val="nil"/>
              <w:right w:val="nil"/>
            </w:tcBorders>
          </w:tcPr>
          <w:p>
            <w:pPr>
              <w:pStyle w:val="Normal6a"/>
            </w:pPr>
            <w:r>
              <w:t>4.</w:t>
            </w:r>
            <w:r>
              <w:tab/>
            </w:r>
            <w:r>
              <w:rPr>
                <w:b/>
                <w:i/>
              </w:rPr>
              <w:t>ve za</w:t>
            </w:r>
            <w:r>
              <w:t xml:space="preserve"> napredek pri digitalnem euru in njegov potencial za dopolnjevanje gotovine, hkrati pa </w:t>
            </w:r>
            <w:r>
              <w:rPr>
                <w:b/>
                <w:i/>
              </w:rPr>
              <w:t>se zaveda, da</w:t>
            </w:r>
            <w:r>
              <w:t xml:space="preserve"> krepi finančno suverenost in avtonomijo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pozdravlja napredek pri digitalnem euru </w:t>
            </w:r>
            <w:r>
              <w:rPr>
                <w:b/>
                <w:i/>
              </w:rPr>
              <w:t>in njegov potencial za dopolnjevanje gotovine</w:t>
            </w:r>
            <w:r>
              <w:t xml:space="preserve">, hkrati pa </w:t>
            </w:r>
            <w:r>
              <w:rPr>
                <w:b/>
                <w:i/>
              </w:rPr>
              <w:t>krepi</w:t>
            </w:r>
            <w:r>
              <w:t xml:space="preserve"> finančno suverenost in avtonomijo </w:t>
            </w:r>
            <w:r>
              <w:rPr>
                <w:b/>
                <w:i/>
              </w:rPr>
              <w:t>Unije</w:t>
            </w:r>
            <w:r>
              <w:t>;</w:t>
            </w:r>
          </w:p>
        </w:tc>
        <w:tc>
          <w:tcPr>
            <w:tcW w:w="4876" w:type="dxa"/>
            <w:tcBorders>
              <w:top w:val="nil"/>
              <w:left w:val="nil"/>
              <w:bottom w:val="nil"/>
              <w:right w:val="nil"/>
            </w:tcBorders>
          </w:tcPr>
          <w:p>
            <w:pPr>
              <w:pStyle w:val="Normal6a"/>
            </w:pPr>
            <w:r>
              <w:t>4.</w:t>
            </w:r>
            <w:r>
              <w:tab/>
            </w:r>
            <w:r>
              <w:t xml:space="preserve">pozdravlja napredek pri digitalnem euru </w:t>
            </w:r>
            <w:r>
              <w:rPr>
                <w:b/>
                <w:i/>
              </w:rPr>
              <w:t>za plačila velikih vrednosti, ker bo prinesel koristi v smislu učinkovitosti, čezmejne poravnave in povezovanja finančnih trgov;</w:t>
            </w:r>
            <w:r>
              <w:t xml:space="preserve"> </w:t>
            </w:r>
            <w:r>
              <w:rPr>
                <w:b/>
                <w:i/>
              </w:rPr>
              <w:t>poudarja, da bi moral digitalni euro za plačila malih vrednosti v kateri koli obliki strogo dopolnjevati gotovino, spoštovati obstoječo strukturo trga in preprečiti izrivanje zasebnih plačilnih rešitev, ki že zagotavljajo inovacije in učinkovitost po vsej Uniji</w:t>
            </w:r>
            <w:r>
              <w:t xml:space="preserve">, hkrati pa </w:t>
            </w:r>
            <w:r>
              <w:rPr>
                <w:b/>
                <w:i/>
              </w:rPr>
              <w:t>bi moral krepiti</w:t>
            </w:r>
            <w:r>
              <w:t xml:space="preserve"> finančno suverenost in avtonomijo </w:t>
            </w:r>
            <w:r>
              <w:rPr>
                <w:b/>
                <w:i/>
              </w:rPr>
              <w: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pozdravlja napredek pri digitalnem euru </w:t>
            </w:r>
            <w:r>
              <w:rPr>
                <w:b/>
                <w:i/>
              </w:rPr>
              <w:t>in njegov</w:t>
            </w:r>
            <w:r>
              <w:t xml:space="preserve"> potencial za dopolnjevanje gotovine</w:t>
            </w:r>
            <w:r>
              <w:rPr>
                <w:b/>
                <w:i/>
              </w:rPr>
              <w:t>,</w:t>
            </w:r>
            <w:r>
              <w:t xml:space="preserve"> hkrati </w:t>
            </w:r>
            <w:r>
              <w:rPr>
                <w:b/>
                <w:i/>
              </w:rPr>
              <w:t>pa krepi finančno suverenost in avtonomijo</w:t>
            </w:r>
            <w:r>
              <w:t xml:space="preserve"> Unije;</w:t>
            </w:r>
          </w:p>
        </w:tc>
        <w:tc>
          <w:tcPr>
            <w:tcW w:w="4876" w:type="dxa"/>
            <w:tcBorders>
              <w:top w:val="nil"/>
              <w:left w:val="nil"/>
              <w:bottom w:val="nil"/>
              <w:right w:val="nil"/>
            </w:tcBorders>
          </w:tcPr>
          <w:p>
            <w:pPr>
              <w:pStyle w:val="Normal6a"/>
            </w:pPr>
            <w:r>
              <w:t>4.</w:t>
            </w:r>
            <w:r>
              <w:tab/>
            </w:r>
            <w:r>
              <w:t>pozdravlja napredek pri digitalnem euru</w:t>
            </w:r>
            <w:r>
              <w:rPr>
                <w:b/>
                <w:i/>
              </w:rPr>
              <w:t>, tako za velika kot mala plačila;</w:t>
            </w:r>
            <w:r>
              <w:t xml:space="preserve"> </w:t>
            </w:r>
            <w:r>
              <w:rPr>
                <w:b/>
                <w:i/>
              </w:rPr>
              <w:t>pozdravlja</w:t>
            </w:r>
            <w:r>
              <w:t xml:space="preserve"> potencial </w:t>
            </w:r>
            <w:r>
              <w:rPr>
                <w:b/>
                <w:i/>
              </w:rPr>
              <w:t>digitalnega eura za mala plačila</w:t>
            </w:r>
            <w:r>
              <w:t xml:space="preserve"> za dopolnjevanje gotovine </w:t>
            </w:r>
            <w:r>
              <w:rPr>
                <w:b/>
                <w:i/>
              </w:rPr>
              <w:t>in</w:t>
            </w:r>
            <w:r>
              <w:t xml:space="preserve"> hkrati </w:t>
            </w:r>
            <w:r>
              <w:rPr>
                <w:b/>
                <w:i/>
              </w:rPr>
              <w:t>za krepitev finančne suverenosti in avtonomije</w:t>
            </w:r>
            <w:r>
              <w:t xml:space="preserve"> Unije; </w:t>
            </w:r>
            <w:r>
              <w:rPr>
                <w:b/>
                <w:i/>
              </w:rPr>
              <w:t>pozdravlja, da je Svet decembra 2025 dokončno oblikoval splošni pristop v zvezi z digitalnim eurom za plačila malih vrednosti, in poziva Parlament, naj čim prej dokončno oblikuje svoje ambiciozno stališče;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pozdravlja napredek pri digitalnem euru in njegov potencial za dopolnjevanje gotovine, hkrati pa krepi finančno suverenost in avtonomijo Unije;</w:t>
            </w:r>
          </w:p>
        </w:tc>
        <w:tc>
          <w:tcPr>
            <w:tcW w:w="4876" w:type="dxa"/>
            <w:tcBorders>
              <w:top w:val="nil"/>
              <w:left w:val="nil"/>
              <w:bottom w:val="nil"/>
              <w:right w:val="nil"/>
            </w:tcBorders>
          </w:tcPr>
          <w:p>
            <w:pPr>
              <w:pStyle w:val="Normal6a"/>
            </w:pPr>
            <w:r>
              <w:t>4.</w:t>
            </w:r>
            <w:r>
              <w:tab/>
            </w:r>
            <w:r>
              <w:t xml:space="preserve">pozdravlja napredek pri digitalnem euru in njegov potencial za dopolnjevanje gotovine, hkrati pa krepi finančno suverenost in avtonomijo Unije </w:t>
            </w:r>
            <w:r>
              <w:rPr>
                <w:b/>
                <w:i/>
              </w:rPr>
              <w:t>ter prispeva k finančni vključenosti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pozdravlja, da se bančni sektor prilagaja izzivom in priložnostim digitalizacije, kar bo bankam omogočilo, da bodo bolje služile svojim strankam;</w:t>
            </w:r>
            <w:r>
              <w:t xml:space="preserve"> </w:t>
            </w:r>
            <w:r>
              <w:rPr>
                <w:b/>
                <w:i/>
              </w:rPr>
              <w:t>spodbuja banke, naj še naprej izkoriščajo priložnosti, ki jih prinaša digitalizacija, hkrati pa naj ohranijo visoko raven varstva potrošnikov in vlagateljev z naložbami v informacijske sisteme, raziskave in razvoj ter s celovitim izvajanjem zahtev iz uredbe o digitalni operativni odpornosti in z razvojem regulativnega okvira, ki bo ustrezal svojemu namenu in se bo ustrezno odzival na digitalizacijske trende ter bo temeljil na tehnološki nevtralnosti;</w:t>
            </w:r>
            <w:r>
              <w:t xml:space="preserve"> </w:t>
            </w:r>
            <w:r>
              <w:rPr>
                <w:b/>
                <w:i/>
              </w:rPr>
              <w:t>pozdravlja napredek, dosežen v zvezi s svežnjem o digitalnih financah;</w:t>
            </w:r>
            <w:r>
              <w:t xml:space="preserve"> </w:t>
            </w:r>
            <w:r>
              <w:rPr>
                <w:b/>
                <w:i/>
              </w:rPr>
              <w:t>meni, da je treba okrepiti varstvo potrošnikov v digitalnem okolju in prednost nameniti finančni vključenosti, zlasti z izboljšano digitalno in finančno pismenostjo;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obžaluje vztrajno neravnovesje med spoloma v finančnih institucijah, zlasti na vodstveni ravni;</w:t>
            </w:r>
            <w:r>
              <w:t xml:space="preserve"> </w:t>
            </w:r>
            <w:r>
              <w:rPr>
                <w:b/>
                <w:i/>
              </w:rPr>
              <w:t>poudarja, da raznoliko vodstvo in boljši dostop do financiranja za podjetja, ki jih vodijo ženske</w:t>
            </w:r>
            <w:r>
              <w:rPr>
                <w:b/>
                <w:i/>
                <w:vertAlign w:val="superscript"/>
              </w:rPr>
              <w:t>13</w:t>
            </w:r>
            <w:r>
              <w:rPr>
                <w:b/>
                <w:i/>
              </w:rPr>
              <w:t>, izboljšujeta upravljanje, inovacije in gospodarsko uspešnost;</w:t>
            </w:r>
            <w:r>
              <w:t xml:space="preserve"> </w:t>
            </w:r>
            <w:r>
              <w:rPr>
                <w:b/>
                <w:i/>
              </w:rPr>
              <w:t>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Evropski inštitut za enakost spolov, Gender in entrepreneurship (Spol v podjetništvu), 2017, str.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obžaluje vztrajno neravnovesje med spoloma v finančnih institucijah, zlasti na vodstveni ravni;</w:t>
            </w:r>
            <w:r>
              <w:t xml:space="preserve"> </w:t>
            </w:r>
            <w:r>
              <w:rPr>
                <w:b/>
                <w:i/>
              </w:rPr>
              <w:t>poudarja, da raznoliko vodstvo in boljši dostop do financiranja za podjetja, ki jih vodijo ženske</w:t>
            </w:r>
            <w:r>
              <w:rPr>
                <w:b/>
                <w:i/>
                <w:vertAlign w:val="superscript"/>
              </w:rPr>
              <w:t>13</w:t>
            </w:r>
            <w:r>
              <w:rPr>
                <w:b/>
                <w:i/>
              </w:rPr>
              <w:t>, izboljšujeta upravljanje, inovacije in gospodarsko uspešnost;</w:t>
            </w:r>
            <w:r>
              <w:t xml:space="preserve"> </w:t>
            </w:r>
            <w:r>
              <w:rPr>
                <w:b/>
                <w:i/>
              </w:rPr>
              <w:t>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Evropski inštitut za enakost spolov, Gender in entrepreneurship (Spol v podjetništvu), 2017, str.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obžaluje vztrajno neravnovesje med spoloma v finančnih institucijah, zlasti na vodstveni ravni;</w:t>
            </w:r>
            <w:r>
              <w:t xml:space="preserve"> </w:t>
            </w:r>
            <w:r>
              <w:rPr>
                <w:b/>
                <w:i/>
              </w:rPr>
              <w:t>poudarja, da raznoliko vodstvo in boljši dostop do financiranja za podjetja, ki jih vodijo ženske</w:t>
            </w:r>
            <w:r>
              <w:rPr>
                <w:b/>
                <w:i/>
                <w:vertAlign w:val="superscript"/>
              </w:rPr>
              <w:t>13</w:t>
            </w:r>
            <w:r>
              <w:rPr>
                <w:b/>
                <w:i/>
              </w:rPr>
              <w:t>, izboljšujeta upravljanje, inovacije in gospodarsko uspešnost;</w:t>
            </w:r>
            <w:r>
              <w:t xml:space="preserve"> </w:t>
            </w:r>
            <w:r>
              <w:rPr>
                <w:b/>
                <w:i/>
              </w:rPr>
              <w:t>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Evropski inštitut za enakost spolov, Gender in entrepreneurship (Spol v podjetništvu), 2017, str.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obžaluje vztrajno neravnovesje med spoloma v finančnih institucijah, zlasti na vodstveni ravni;</w:t>
            </w:r>
            <w:r>
              <w:t xml:space="preserve"> </w:t>
            </w:r>
            <w:r>
              <w:rPr>
                <w:b/>
                <w:i/>
              </w:rPr>
              <w:t>poudarja, da raznoliko vodstvo in boljši dostop do financiranja za podjetja, ki jih vodijo ženske</w:t>
            </w:r>
            <w:r>
              <w:rPr>
                <w:b/>
                <w:i/>
                <w:vertAlign w:val="superscript"/>
              </w:rPr>
              <w:t>13</w:t>
            </w:r>
            <w:r>
              <w:rPr>
                <w:b/>
                <w:i/>
              </w:rPr>
              <w:t>, izboljšujeta upravljanje, inovacije in gospodarsko uspešnost;</w:t>
            </w:r>
            <w:r>
              <w:t xml:space="preserve"> </w:t>
            </w:r>
            <w:r>
              <w:rPr>
                <w:b/>
                <w:i/>
              </w:rPr>
              <w:t>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Evropski inštitut za enakost spolov, Gender in entrepreneurship (Spol v podjetništvu), 2017, str.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obžaluje vztrajno neravnovesje med spoloma v finančnih institucijah, zlasti na vodstveni ravni;</w:t>
            </w:r>
            <w:r>
              <w:t xml:space="preserve"> </w:t>
            </w:r>
            <w:r>
              <w:rPr>
                <w:b/>
                <w:i/>
              </w:rPr>
              <w:t>poudarja, da raznoliko vodstvo in boljši dostop do financiranja za podjetja, ki jih vodijo ženske</w:t>
            </w:r>
            <w:r>
              <w:rPr>
                <w:b/>
                <w:i/>
                <w:vertAlign w:val="superscript"/>
              </w:rPr>
              <w:t>13</w:t>
            </w:r>
            <w:r>
              <w:rPr>
                <w:b/>
                <w:i/>
              </w:rPr>
              <w:t>, izboljšujeta upravljanje, inovacije in gospodarsko uspešnost;</w:t>
            </w:r>
            <w:r>
              <w:t xml:space="preserve"> </w:t>
            </w:r>
            <w:r>
              <w:rPr>
                <w:b/>
                <w:i/>
              </w:rPr>
              <w:t>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Evropski inštitut za enakost spolov, Gender in entrepreneurship (Spol v podjetništvu), 2017, str.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obžaluje vztrajno neravnovesje med spoloma v finančnih institucijah, zlasti na vodstveni ravni;</w:t>
            </w:r>
            <w:r>
              <w:t xml:space="preserve"> poudarja, da raznoliko vodstvo </w:t>
            </w:r>
            <w:r>
              <w:rPr>
                <w:b/>
                <w:i/>
              </w:rPr>
              <w:t>in boljši dostop do financiranja za podjetja, ki jih vodijo ženske</w:t>
            </w:r>
            <w:r>
              <w:rPr>
                <w:b/>
                <w:i/>
                <w:vertAlign w:val="superscript"/>
              </w:rPr>
              <w:t>13</w:t>
            </w:r>
            <w:r>
              <w:rPr>
                <w:b/>
                <w:i/>
              </w:rPr>
              <w:t>, izboljšujeta</w:t>
            </w:r>
            <w:r>
              <w:t xml:space="preserve"> upravljanje, inovacije in gospodarsko uspešnost; 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t>5.</w:t>
            </w:r>
            <w:r>
              <w:tab/>
            </w:r>
            <w:r>
              <w:t xml:space="preserve">poudarja, da raznoliko vodstvo </w:t>
            </w:r>
            <w:r>
              <w:rPr>
                <w:b/>
                <w:i/>
              </w:rPr>
              <w:t>izboljšuje</w:t>
            </w:r>
            <w:r>
              <w:t xml:space="preserve"> upravljanje, inovacije in gospodarsko uspešnost; 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Evropski inštitut za enakost spolov, Gender in entrepreneurship (Spol v podjetništvu), 2017, str.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obžaluje vztrajno neravnovesje</w:t>
            </w:r>
            <w:r>
              <w:t xml:space="preserve"> med spoloma v finančnih institucijah, zlasti na vodstveni ravni; poudarja, da raznoliko vodstvo in boljši dostop do financiranja za podjetja, ki jih vodijo ženske</w:t>
            </w:r>
            <w:r>
              <w:rPr>
                <w:vertAlign w:val="superscript"/>
              </w:rPr>
              <w:t>13</w:t>
            </w:r>
            <w:r>
              <w:t>, izboljšujeta upravljanje, inovacije in gospodarsko uspešnost; 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t>5.</w:t>
            </w:r>
            <w:r>
              <w:tab/>
            </w:r>
            <w:r>
              <w:rPr>
                <w:b/>
                <w:i/>
              </w:rPr>
              <w:t>opaža omejen napredek glede ravnovesja</w:t>
            </w:r>
            <w:r>
              <w:t xml:space="preserve"> med spoloma v finančnih institucijah, zlasti na vodstveni ravni; poudarja, da raznoliko vodstvo in boljši dostop do financiranja za podjetja, ki jih vodijo ženske</w:t>
            </w:r>
            <w:r>
              <w:rPr>
                <w:vertAlign w:val="superscript"/>
              </w:rPr>
              <w:t>13</w:t>
            </w:r>
            <w:r>
              <w:t>, izboljšujeta upravljanje, inovacije in gospodarsko uspešnost; 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Evropski inštitut za enakost spolov, Gender in entrepreneurship (Spol v podjetništvu), 2017, str. 5–6.</w:t>
            </w:r>
          </w:p>
        </w:tc>
        <w:tc>
          <w:tcPr>
            <w:tcW w:w="4876" w:type="dxa"/>
            <w:tcBorders>
              <w:top w:val="nil"/>
              <w:left w:val="nil"/>
              <w:bottom w:val="nil"/>
              <w:right w:val="nil"/>
            </w:tcBorders>
          </w:tcPr>
          <w:p>
            <w:pPr>
              <w:pStyle w:val="Normal6a"/>
            </w:pPr>
            <w:r>
              <w:rPr>
                <w:vertAlign w:val="superscript"/>
              </w:rPr>
              <w:t>13</w:t>
            </w:r>
            <w:r>
              <w:t xml:space="preserve"> </w:t>
            </w:r>
            <w:r>
              <w:t>Evropski inštitut za enakost spolov, Gender in entrepreneurship (Spol v podjetništvu), 2017, str.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obžaluje vztrajno neravnovesje med spoloma v finančnih institucijah, zlasti na vodstveni ravni; poudarja, da raznoliko vodstvo in boljši dostop do financiranja za podjetja, ki jih vodijo ženske</w:t>
            </w:r>
            <w:r>
              <w:rPr>
                <w:vertAlign w:val="superscript"/>
              </w:rPr>
              <w:t>13</w:t>
            </w:r>
            <w:r>
              <w:t xml:space="preserve">, izboljšujeta upravljanje, inovacije in gospodarsko uspešnost; poziva finančne institucije, deležnike, Komisijo in države članice, naj sprejmejo učinkovite strategije za raznolikost, spremljajo razlike med spoloma in vključijo enakost spolov </w:t>
            </w:r>
            <w:r>
              <w:rPr>
                <w:b/>
                <w:i/>
              </w:rPr>
              <w:t>v nadzorne in naložbene okvire, da bi zagotovili vključujoč dostop do kapitala po vsej EU</w:t>
            </w:r>
            <w:r>
              <w:t>;</w:t>
            </w:r>
          </w:p>
        </w:tc>
        <w:tc>
          <w:tcPr>
            <w:tcW w:w="4876" w:type="dxa"/>
            <w:tcBorders>
              <w:top w:val="nil"/>
              <w:left w:val="nil"/>
              <w:bottom w:val="nil"/>
              <w:right w:val="nil"/>
            </w:tcBorders>
          </w:tcPr>
          <w:p>
            <w:pPr>
              <w:pStyle w:val="Normal6a"/>
            </w:pPr>
            <w:r>
              <w:t>5.</w:t>
            </w:r>
            <w:r>
              <w:tab/>
            </w:r>
            <w:r>
              <w:t>obžaluje vztrajno neravnovesje med spoloma v finančnih institucijah, zlasti na vodstveni ravni; poudarja, da raznoliko vodstvo in boljši dostop do financiranja za podjetja, ki jih vodijo ženske</w:t>
            </w:r>
            <w:r>
              <w:rPr>
                <w:vertAlign w:val="superscript"/>
              </w:rPr>
              <w:t>13</w:t>
            </w:r>
            <w:r>
              <w:t>, izboljšujeta upravljanje, inovacije in gospodarsko uspešnost; poziva finančne institucije, deležnike, Komisijo in države članice, naj sprejmejo učinkovite strategije za raznolikost, spremljajo razlike med spoloma in vključijo enakost spolov;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Evropski inštitut za enakost spolov, Gender in entrepreneurship (Spol v podjetništvu), 2017, str. 5–6.</w:t>
            </w:r>
          </w:p>
        </w:tc>
        <w:tc>
          <w:tcPr>
            <w:tcW w:w="4876" w:type="dxa"/>
            <w:tcBorders>
              <w:top w:val="nil"/>
              <w:left w:val="nil"/>
              <w:bottom w:val="nil"/>
              <w:right w:val="nil"/>
            </w:tcBorders>
          </w:tcPr>
          <w:p>
            <w:pPr>
              <w:pStyle w:val="Normal6a"/>
            </w:pPr>
            <w:r>
              <w:rPr>
                <w:vertAlign w:val="superscript"/>
              </w:rPr>
              <w:t>13</w:t>
            </w:r>
            <w:r>
              <w:t xml:space="preserve"> </w:t>
            </w:r>
            <w:r>
              <w:t>Evropski inštitut za enakost spolov, Gender in entrepreneurship (Spol v podjetništvu), 2017, str.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obžaluje vztrajno neravnovesje med spoloma v finančnih institucijah, zlasti na vodstveni ravni; poudarja, da raznoliko vodstvo in boljši dostop do financiranja za podjetja, ki jih vodijo ženske</w:t>
            </w:r>
            <w:r>
              <w:rPr>
                <w:vertAlign w:val="superscript"/>
              </w:rPr>
              <w:t>13</w:t>
            </w:r>
            <w:r>
              <w:t>, izboljšujeta upravljanje, inovacije in gospodarsko uspešnost; poziva finančne institucije, deležnike, Komisijo in države članice, naj sprejmejo učinkovite strategije za raznolikost, spremljajo razlike med spoloma in vključijo enakost spolov v nadzorne in naložbene okvire, da bi zagotovili vključujoč dostop do kapitala po vsej EU;</w:t>
            </w:r>
          </w:p>
        </w:tc>
        <w:tc>
          <w:tcPr>
            <w:tcW w:w="4876" w:type="dxa"/>
            <w:tcBorders>
              <w:top w:val="nil"/>
              <w:left w:val="nil"/>
              <w:bottom w:val="nil"/>
              <w:right w:val="nil"/>
            </w:tcBorders>
          </w:tcPr>
          <w:p>
            <w:pPr>
              <w:pStyle w:val="Normal6a"/>
            </w:pPr>
            <w:r>
              <w:t>5.</w:t>
            </w:r>
            <w:r>
              <w:tab/>
            </w:r>
            <w:r>
              <w:t>obžaluje vztrajno neravnovesje med spoloma v finančnih institucijah, zlasti na vodstveni ravni; poudarja, da raznoliko vodstvo in boljši dostop do financiranja za podjetja, ki jih vodijo ženske</w:t>
            </w:r>
            <w:r>
              <w:rPr>
                <w:vertAlign w:val="superscript"/>
              </w:rPr>
              <w:t>13</w:t>
            </w:r>
            <w:r>
              <w:t xml:space="preserve">, izboljšujeta upravljanje, inovacije in gospodarsko uspešnost; poziva finančne institucije, deležnike, Komisijo in države članice, naj sprejmejo učinkovite strategije za raznolikost, spremljajo razlike med spoloma in vključijo enakost spolov v nadzorne in naložbene okvire, da bi zagotovili vključujoč dostop do kapitala po vsej EU; </w:t>
            </w:r>
            <w:r>
              <w:rPr>
                <w:b/>
                <w:i/>
              </w:rPr>
              <w:t>globoko obžaluje neuravnoteženo zastopanost spolov na ožjem seznamu kandidatov za mesto predsednika EBA;</w:t>
            </w:r>
            <w:r>
              <w:t xml:space="preserve"> </w:t>
            </w:r>
            <w:r>
              <w:rPr>
                <w:b/>
                <w:i/>
              </w:rPr>
              <w:t>želi spomniti na zavezo Parlamenta, da ne bo upošteval seznamov kandidatov, pri katerih ni spoštovano načelo uravnotežene zastopanosti spolov;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Evropski inštitut za enakost spolov, Gender in entrepreneurship (Spol v podjetništvu), 2017, str. 5–6.</w:t>
            </w:r>
          </w:p>
        </w:tc>
        <w:tc>
          <w:tcPr>
            <w:tcW w:w="4876" w:type="dxa"/>
            <w:tcBorders>
              <w:top w:val="nil"/>
              <w:left w:val="nil"/>
              <w:bottom w:val="nil"/>
              <w:right w:val="nil"/>
            </w:tcBorders>
          </w:tcPr>
          <w:p>
            <w:pPr>
              <w:pStyle w:val="Normal6a"/>
            </w:pPr>
            <w:r>
              <w:rPr>
                <w:vertAlign w:val="superscript"/>
              </w:rPr>
              <w:t>13</w:t>
            </w:r>
            <w:r>
              <w:t xml:space="preserve"> </w:t>
            </w:r>
            <w:r>
              <w:t>Evropski inštitut za enakost spolov, Gender in entrepreneurship (Spol v podjetništvu), 2017, str.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opozarja, da bi bilo treba finančne institucije upravljati na podlagi zaslug, izkušenj in strokovne ustreznosti, pri čemer bi bilo treba zagotoviti, da imenovanja in upravljavske odločitve temeljijo na objektivnih merilih, ki so povezana s tveganjem, ne da bi se uvedla dodatna merila, ki niso povezana z dobrim upravljanjem podjetij in finančno stabilnostjo;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obžaluje, da je zmožnost bank EU za financiranje obsežnejših naložb omejena zaradi višjih stroškov, manjšega obsega in manjše dobičkonosnosti, zaradi česar ne morejo biti konkurenčne;</w:t>
            </w:r>
            <w:r>
              <w:t xml:space="preserve"> </w:t>
            </w:r>
            <w:r>
              <w:rPr>
                <w:b/>
                <w:i/>
              </w:rPr>
              <w:t>ugotavlja pa, da so zaradi posebne narave bančnega sistema EU in velikega števila manjših bank potrebne posebne rešitve, prilagojene njegovim značilnostim;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ugotavlja, da sta se po zvišanju obrestnih mer s strani ECB dobičkonosnost in odpornost bank v EU znatno izboljšali</w:t>
            </w:r>
            <w:r>
              <w:rPr>
                <w:b/>
                <w:i/>
                <w:vertAlign w:val="superscript"/>
              </w:rPr>
              <w:t>14</w:t>
            </w:r>
            <w:r>
              <w:rPr>
                <w:b/>
                <w:i/>
              </w:rPr>
              <w:t>;</w:t>
            </w:r>
            <w:r>
              <w:t xml:space="preserve"> </w:t>
            </w:r>
            <w:r>
              <w:rPr>
                <w:b/>
                <w:i/>
              </w:rPr>
              <w:t>poudarja, da lahko to podpre bistvene naložbe in da morajo za institucije, ki prejemajo državno pomoč, veljati stroge omejitve glede dividend, odkupov delnic in variabilnih prejemkov;</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Maneely/L.</w:t>
            </w:r>
            <w:r>
              <w:t xml:space="preserve"> </w:t>
            </w:r>
            <w:r>
              <w:rPr>
                <w:b/>
                <w:i/>
              </w:rPr>
              <w:t>Ratnovski, Bank Profits and Bank Taxes in the EU (Dobiček bank in bančni davki v EU), MDS, julij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ugotavlja, da sta se po zvišanju obrestnih mer s strani ECB dobičkonosnost in odpornost bank v EU znatno izboljšali</w:t>
            </w:r>
            <w:r>
              <w:rPr>
                <w:b/>
                <w:i/>
                <w:vertAlign w:val="superscript"/>
              </w:rPr>
              <w:t>14</w:t>
            </w:r>
            <w:r>
              <w:rPr>
                <w:b/>
                <w:i/>
              </w:rPr>
              <w:t>;</w:t>
            </w:r>
            <w:r>
              <w:t xml:space="preserve"> </w:t>
            </w:r>
            <w:r>
              <w:rPr>
                <w:b/>
                <w:i/>
              </w:rPr>
              <w:t>poudarja, da lahko to podpre bistvene naložbe in da 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rPr>
                <w:b/>
                <w:i/>
              </w:rPr>
              <w:t>priznava, da so se zaradi dolgotrajne restriktivne monetarne politike zmanjšale neto obrestne marže in zvišali stroške financiranja, zaradi česar so banke manj zmožne podpreti rast trajnostnih posojil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Maneely/L.</w:t>
            </w:r>
            <w:r>
              <w:t xml:space="preserve"> </w:t>
            </w:r>
            <w:r>
              <w:rPr>
                <w:b/>
                <w:i/>
              </w:rPr>
              <w:t>Ratnovski, Bank Profits and Bank Taxes in the EU (Dobiček bank in bančni davki v EU), MDS, julij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ugotavlja</w:t>
            </w:r>
            <w:r>
              <w:t xml:space="preserve">, da sta se </w:t>
            </w:r>
            <w:r>
              <w:rPr>
                <w:b/>
                <w:i/>
              </w:rPr>
              <w:t>po zvišanju obrestnih mer s strani ECB</w:t>
            </w:r>
            <w:r>
              <w:t xml:space="preserve"> dobičkonosnost in odpornost bank v EU znatno izboljšali</w:t>
            </w:r>
            <w:r>
              <w:rPr>
                <w:vertAlign w:val="superscript"/>
              </w:rPr>
              <w:t>14</w:t>
            </w:r>
            <w:r>
              <w:rPr>
                <w:b/>
                <w:i/>
              </w:rPr>
              <w:t>;</w:t>
            </w:r>
            <w:r>
              <w:t xml:space="preserve"> </w:t>
            </w:r>
            <w:r>
              <w:rPr>
                <w:b/>
                <w:i/>
              </w:rPr>
              <w:t>poudarja, da lahko to podpre bistvene naložbe in da 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rPr>
                <w:b/>
                <w:i/>
              </w:rPr>
              <w:t>pozdravlja</w:t>
            </w:r>
            <w:r>
              <w:t>, da sta se dobičkonosnost in odpornost bank v EU znatno izboljšali</w:t>
            </w:r>
            <w:r>
              <w:rPr>
                <w:b/>
                <w:i/>
              </w:rPr>
              <w:t>;</w:t>
            </w:r>
            <w:r>
              <w:rPr>
                <w:vertAlign w:val="superscript"/>
              </w:rPr>
              <w:t>14</w:t>
            </w:r>
            <w:r>
              <w:t xml:space="preserve"> </w:t>
            </w:r>
            <w:r>
              <w:rPr>
                <w:b/>
                <w:i/>
              </w:rPr>
              <w:t>vendar se zaveda, da še vedno obstaja vrzel v dobičkonosnosti v primerjavi z drugimi jurisdikcijami, zlasti ZDA;</w:t>
            </w:r>
            <w:r>
              <w:t xml:space="preserve"> </w:t>
            </w:r>
            <w:r>
              <w:rPr>
                <w:b/>
                <w:i/>
              </w:rPr>
              <w:t>meni, da so razlike v dobičkonosnosti v primerjavi z drugimi jurisdikcijami posledica strukturnih in regulativnih dejavnikov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ugotavlja, da sta </w:t>
            </w:r>
            <w:r>
              <w:rPr>
                <w:b/>
                <w:i/>
              </w:rPr>
              <w:t>se po zvišanju obrestnih mer s strani ECB</w:t>
            </w:r>
            <w:r>
              <w:t xml:space="preserve"> dobičkonosnost in odpornost </w:t>
            </w:r>
            <w:r>
              <w:rPr>
                <w:b/>
                <w:i/>
              </w:rPr>
              <w:t>bank v EU znatno izboljšali</w:t>
            </w:r>
            <w:r>
              <w:rPr>
                <w:b/>
                <w:i/>
                <w:vertAlign w:val="superscript"/>
              </w:rPr>
              <w:t>14</w:t>
            </w:r>
            <w:r>
              <w:t xml:space="preserve">; poudarja, da lahko </w:t>
            </w:r>
            <w:r>
              <w:rPr>
                <w:b/>
                <w:i/>
              </w:rPr>
              <w:t>to</w:t>
            </w:r>
            <w:r>
              <w:t xml:space="preserve"> podpre </w:t>
            </w:r>
            <w:r>
              <w:rPr>
                <w:b/>
                <w:i/>
              </w:rPr>
              <w:t>bistvene naložbe in da 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t xml:space="preserve">ugotavlja, da sta dobičkonosnost in odpornost </w:t>
            </w:r>
            <w:r>
              <w:rPr>
                <w:b/>
                <w:i/>
              </w:rPr>
              <w:t>v letu 2025 ostali visoki</w:t>
            </w:r>
            <w:r>
              <w:t xml:space="preserve">; poudarja, da </w:t>
            </w:r>
            <w:r>
              <w:rPr>
                <w:b/>
                <w:i/>
              </w:rPr>
              <w:t>se</w:t>
            </w:r>
            <w:r>
              <w:t xml:space="preserve"> lahko </w:t>
            </w:r>
            <w:r>
              <w:rPr>
                <w:b/>
                <w:i/>
              </w:rPr>
              <w:t>s to dobičkonosnostjo</w:t>
            </w:r>
            <w:r>
              <w:t xml:space="preserve"> podpre </w:t>
            </w:r>
            <w:r>
              <w:rPr>
                <w:b/>
                <w:i/>
              </w:rPr>
              <w:t>financiranje gospodinjstev in podjetij, zlasti malih in srednjih ter zagonskih podjetij, pa tudi mladih strokovnjakov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Maneely/L.</w:t>
            </w:r>
            <w:r>
              <w:t xml:space="preserve"> </w:t>
            </w:r>
            <w:r>
              <w:rPr>
                <w:b/>
                <w:i/>
              </w:rPr>
              <w:t>Ratnovski, Bank Profits and Bank Taxes in the EU (Dobiček bank in bančni davki v EU), MDS, julij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xml:space="preserve">; poudarja, da lahko to podpre bistvene naložbe in da </w:t>
            </w:r>
            <w:r>
              <w:rPr>
                <w:b/>
                <w:i/>
              </w:rPr>
              <w:t>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poudarja, da lahko to podpre bistvene naložbe</w:t>
            </w:r>
            <w:r>
              <w:rPr>
                <w:b/>
                <w:i/>
              </w:rPr>
              <w:t>;</w:t>
            </w:r>
            <w:r>
              <w:t xml:space="preserve"> </w:t>
            </w:r>
            <w:r>
              <w:rPr>
                <w:b/>
                <w:i/>
              </w:rPr>
              <w:t>želi opozoriti, da je to povečanje dobičkonosnosti večinoma ciklično</w:t>
            </w:r>
            <w:r>
              <w:t xml:space="preserve"> in da </w:t>
            </w:r>
            <w:r>
              <w:rPr>
                <w:b/>
                <w:i/>
              </w:rPr>
              <w:t>je konkurenčnost bank še vedno odvisna od napredka strukturnih reform bančne unije, unije prihrankov in naložb ter enotnega trga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xml:space="preserve">; poudarja, da lahko to podpre bistvene naložbe </w:t>
            </w:r>
            <w:r>
              <w:rPr>
                <w:b/>
                <w:i/>
              </w:rPr>
              <w:t>in da 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poudarja, da lahko to podpre bistvene naložbe;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xml:space="preserve">; poudarja, da lahko to podpre bistvene naložbe </w:t>
            </w:r>
            <w:r>
              <w:rPr>
                <w:b/>
                <w:i/>
              </w:rPr>
              <w:t>in da 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poudarja, da lahko to podpre bistvene naložbe;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xml:space="preserve">; poudarja, da lahko to podpre bistvene naložbe </w:t>
            </w:r>
            <w:r>
              <w:rPr>
                <w:b/>
                <w:i/>
              </w:rPr>
              <w:t>in da morajo za institucije, ki prejemajo državno pomoč, veljati stroge omejitve glede dividend, odkupov delnic in variabilnih prejemkov</w:t>
            </w:r>
            <w:r>
              <w:t>;</w:t>
            </w:r>
          </w:p>
        </w:tc>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poudarja, da lahko to podpre bistvene naložbe;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ugotavlja</w:t>
            </w:r>
            <w:r>
              <w:t>, da sta se po zvišanju obrestnih mer s strani ECB dobičkonosnost in odpornost bank v EU znatno izboljšali</w:t>
            </w:r>
            <w:r>
              <w:rPr>
                <w:vertAlign w:val="superscript"/>
              </w:rPr>
              <w:t>14</w:t>
            </w:r>
            <w:r>
              <w:t xml:space="preserve">; poudarja, da lahko </w:t>
            </w:r>
            <w:r>
              <w:rPr>
                <w:b/>
                <w:i/>
              </w:rPr>
              <w:t>to podpre</w:t>
            </w:r>
            <w:r>
              <w:t xml:space="preserve"> bistvene naložbe in da morajo za institucije, ki prejemajo državno pomoč, veljati stroge omejitve glede dividend, odkupov delnic in variabilnih prejemkov;</w:t>
            </w:r>
          </w:p>
        </w:tc>
        <w:tc>
          <w:tcPr>
            <w:tcW w:w="4876" w:type="dxa"/>
            <w:tcBorders>
              <w:top w:val="nil"/>
              <w:left w:val="nil"/>
              <w:bottom w:val="nil"/>
              <w:right w:val="nil"/>
            </w:tcBorders>
          </w:tcPr>
          <w:p>
            <w:pPr>
              <w:pStyle w:val="Normal6a"/>
            </w:pPr>
            <w:r>
              <w:t>6.</w:t>
            </w:r>
            <w:r>
              <w:tab/>
            </w:r>
            <w:r>
              <w:rPr>
                <w:b/>
                <w:i/>
              </w:rPr>
              <w:t>poudarja</w:t>
            </w:r>
            <w:r>
              <w:t xml:space="preserve">, da sta se po </w:t>
            </w:r>
            <w:r>
              <w:rPr>
                <w:b/>
                <w:i/>
              </w:rPr>
              <w:t>večkratnem</w:t>
            </w:r>
            <w:r>
              <w:t xml:space="preserve"> zvišanju obrestnih mer s strani ECB dobičkonosnost in odpornost bank v EU znatno izboljšali</w:t>
            </w:r>
            <w:r>
              <w:rPr>
                <w:vertAlign w:val="superscript"/>
              </w:rPr>
              <w:t>14</w:t>
            </w:r>
            <w:r>
              <w:t xml:space="preserve">; poudarja, da </w:t>
            </w:r>
            <w:r>
              <w:rPr>
                <w:b/>
                <w:i/>
              </w:rPr>
              <w:t>se s tem</w:t>
            </w:r>
            <w:r>
              <w:t xml:space="preserve"> lahko </w:t>
            </w:r>
            <w:r>
              <w:rPr>
                <w:b/>
                <w:i/>
              </w:rPr>
              <w:t>podpirajo</w:t>
            </w:r>
            <w:r>
              <w:t xml:space="preserve"> bistvene naložbe in da morajo za institucije, ki prejemajo državno pomoč, veljati stroge omejitve glede dividend, odkupov delnic in variabilnih prejemkov; </w:t>
            </w:r>
            <w:r>
              <w:rPr>
                <w:b/>
                <w:i/>
              </w:rPr>
              <w:t>poudarja, da se z vzdržno donosnostjo lahko podpirajo akumulacija kapitala, sposobnost absorpcije pretresov in financiranje realnega gospodarstva;</w:t>
            </w:r>
            <w:r>
              <w:t xml:space="preserve"> </w:t>
            </w:r>
            <w:r>
              <w:rPr>
                <w:b/>
                <w:i/>
              </w:rPr>
              <w:t>opozarja, da lahko davki, ki temeljijo na dohodku bank, zmanjšajo zadržani dobiček in omejijo zmožnost kreditnih institucij, da ustvarijo ali obnovijo kapitalske rezerve, kot je ECB nedavno poudarila v mnenjih o državnih dajatvah za banke;</w:t>
            </w:r>
            <w:r>
              <w:t xml:space="preserve"> </w:t>
            </w:r>
            <w:r>
              <w:rPr>
                <w:b/>
                <w:i/>
              </w:rPr>
              <w:t>poudarja, da bi moral vsak davčni ukrep, ki zadeva banke, ostati izjemen, sorazmeren in začasen;</w:t>
            </w:r>
            <w:r>
              <w:t xml:space="preserve"> </w:t>
            </w:r>
            <w:r>
              <w:rPr>
                <w:b/>
                <w:i/>
              </w:rPr>
              <w:t>poleg tega ne bi smel škodovati finančni stabilnosti in zmožnosti bank za financiranje realnega gospodarstva;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rPr>
                <w:b/>
                <w:i/>
              </w:rPr>
              <w:t>M.</w:t>
            </w:r>
            <w:r>
              <w:t xml:space="preserve"> 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poudarja, da lahko to podpre bistvene naložbe in da morajo za institucije, ki prejemajo državno pomoč, veljati stroge omejitve glede dividend, odkupov delnic in variabilnih prejemkov;</w:t>
            </w:r>
          </w:p>
        </w:tc>
        <w:tc>
          <w:tcPr>
            <w:tcW w:w="4876" w:type="dxa"/>
            <w:tcBorders>
              <w:top w:val="nil"/>
              <w:left w:val="nil"/>
              <w:bottom w:val="nil"/>
              <w:right w:val="nil"/>
            </w:tcBorders>
          </w:tcPr>
          <w:p>
            <w:pPr>
              <w:pStyle w:val="Normal6a"/>
            </w:pPr>
            <w:r>
              <w:t>6.</w:t>
            </w:r>
            <w:r>
              <w:tab/>
            </w:r>
            <w:r>
              <w:t>ugotavlja, da sta se po zvišanju obrestnih mer s strani ECB dobičkonosnost in odpornost bank v EU znatno izboljšali</w:t>
            </w:r>
            <w:r>
              <w:rPr>
                <w:vertAlign w:val="superscript"/>
              </w:rPr>
              <w:t>14</w:t>
            </w:r>
            <w:r>
              <w:t xml:space="preserve">; poudarja, da lahko to podpre bistvene naložbe in </w:t>
            </w:r>
            <w:r>
              <w:rPr>
                <w:b/>
                <w:i/>
              </w:rPr>
              <w:t>pomaga financirati evropsko gospodarstvo ter</w:t>
            </w:r>
            <w:r>
              <w:t xml:space="preserve"> da morajo za institucije, ki prejemajo državno pomoč, veljati stroge omejitve glede dividend, odkupov delnic in variabilnih prejemkov;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(Dobiček bank in bančni davki v EU), MDS, julij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poudarja, da so banke EU zelo izpostavljene dolgoročnemu državnemu dolgu, zlasti domačim izpostavljenostim;</w:t>
            </w:r>
            <w:r>
              <w:t xml:space="preserve"> </w:t>
            </w:r>
            <w:r>
              <w:rPr>
                <w:b/>
                <w:i/>
              </w:rPr>
              <w:t>opozarja, da bi bilo pomembno bolj diverzificirati te izpostavljenosti, da bi bil evropski sektor odpornejši na asimetrične fiskalne pretrese;</w:t>
            </w:r>
            <w:r>
              <w:t xml:space="preserve"> </w:t>
            </w:r>
            <w:r>
              <w:rPr>
                <w:b/>
                <w:i/>
              </w:rPr>
              <w:t>poudarja pomen izvrševanja fiskalnih pravil EU, s katerimi naj bi zagotovili zaupanje v državni dolg držav članic, omogočili diverzifikacijo in s tem pomagali zmanjšati sistemsko tveganje v euroobmočju;</w:t>
            </w:r>
            <w:r>
              <w:t xml:space="preserve"> </w:t>
            </w:r>
            <w:r>
              <w:rPr>
                <w:b/>
                <w:i/>
              </w:rPr>
              <w:t>želi opomniti, da odsotnost skupnega varnega vrednostnega papirja, ki bi služil kot referenčno merilo, zmanjšuje učinkovitost na kapitalskih trgih in v bančnem sektorju;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poziva Komisijo, naj pripravi smernice za ciljno usmerjen solidarnostni prispevek bank na podlagi nedavnih dobičkov, da bi zagotovili pravičen prispevek k javnim financam, hkrati pa podprli odpornost in finančno stabilnost;</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poudarja, da sta pravilno delovanje in verodostojnost bančne unije odvisna tudi od popolnega spoštovanja in učinkovitega izvrševanja zakonodaje Unije o varstvu potrošnikov v bančnem sektorju;</w:t>
            </w:r>
            <w:r>
              <w:t xml:space="preserve"> </w:t>
            </w:r>
            <w:r>
              <w:rPr>
                <w:b/>
                <w:i/>
              </w:rPr>
              <w:t>poudarja, da se morajo kreditne institucije vzdržati uporabe nepoštenih pogodbenih pogojev in poslovnih praks, zlasti pri hipotekarnih posojilih in posojilih na drobno;</w:t>
            </w:r>
            <w:r>
              <w:t xml:space="preserve"> </w:t>
            </w:r>
            <w:r>
              <w:rPr>
                <w:b/>
                <w:i/>
              </w:rPr>
              <w:t>poudarja, da morajo imeti potrošniki, vključno s posojilojemalci, koristi od učinkovitega varstva, pravne varnosti in dostopa do učinkovitih pravnih sredstev;</w:t>
            </w:r>
            <w:r>
              <w:t xml:space="preserve"> </w:t>
            </w:r>
            <w:r>
              <w:rPr>
                <w:b/>
                <w:i/>
              </w:rPr>
              <w:t>v zvezi s tem poziva države članice in pristojne organe, naj zagotovijo stroge nadzorne in izvršilne ukrepe v primeru kršitev;</w:t>
            </w:r>
            <w:r>
              <w:t xml:space="preserve"> </w:t>
            </w:r>
            <w:r>
              <w:rPr>
                <w:b/>
                <w:i/>
              </w:rPr>
              <w:t>nadalje poudarja, da je pomembno zagotoviti ustrezno zaščito primarnih prebivališč, manjših od 250 kvadratnih metrov, zlasti v primerih, ko so posojilojemalci že odplačali znaten del svojega posojila, na primer 50 % začetnega posojila;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poudarja, da bi morali biti vsi nacionalni ukrepi, ki vplivajo na bančni sektor, vključno s solidarnostnimi prispevki, izjemni in sorazmerni ter ne bi smeli ogrožati zmožnosti bank za financiranje realnega gospodarstva, podpiranje naložb ali ohranjanje finančne stabilnosti;</w:t>
            </w:r>
            <w:r>
              <w:t xml:space="preserve"> </w:t>
            </w:r>
            <w:r>
              <w:rPr>
                <w:b/>
                <w:i/>
              </w:rPr>
              <w:t>poziva Komisijo, naj spremlja njihov vpliv na konkurenčnost in čezmejno povezovanje na notranjem trgu;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pozdravlja vlogo organa AMLA pri krepitvi boja EU proti pranju denarja in financiranju terorizma;</w:t>
            </w:r>
            <w:r>
              <w:t xml:space="preserve"> </w:t>
            </w:r>
            <w:r>
              <w:rPr>
                <w:b/>
                <w:i/>
              </w:rPr>
              <w:t>poziva k doslednemu izvajanju, okrepljenemu sodelovanju, izmenjavi informacij in usklajenemu izvrševanju po vsej EU;</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pozdravlja vlogo</w:t>
            </w:r>
            <w:r>
              <w:t xml:space="preserve"> organa AMLA pri krepitvi boja EU proti pranju denarja in financiranju terorizma; poziva k doslednemu izvajanju, okrepljenemu sodelovanju, izmenjavi informacij in usklajenemu izvrševanju po vsej EU;</w:t>
            </w:r>
          </w:p>
        </w:tc>
        <w:tc>
          <w:tcPr>
            <w:tcW w:w="4876" w:type="dxa"/>
            <w:tcBorders>
              <w:top w:val="nil"/>
              <w:left w:val="nil"/>
              <w:bottom w:val="nil"/>
              <w:right w:val="nil"/>
            </w:tcBorders>
          </w:tcPr>
          <w:p>
            <w:pPr>
              <w:pStyle w:val="Normal6a"/>
            </w:pPr>
            <w:r>
              <w:t>8.</w:t>
            </w:r>
            <w:r>
              <w:tab/>
            </w:r>
            <w:r>
              <w:rPr>
                <w:b/>
                <w:i/>
              </w:rPr>
              <w:t>z zanimanjem pričakuje, kakšna bo vloga</w:t>
            </w:r>
            <w:r>
              <w:t xml:space="preserve"> organa AMLA pri krepitvi boja EU proti pranju denarja in financiranju terorizma; poziva k doslednemu izvajanju, okrepljenemu sodelovanju, izmenjavi informacij in usklajenemu izvrševanju po vsej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pozdravlja vlogo organa AMLA pri krepitvi boja EU proti pranju denarja in financiranju terorizma; poziva k doslednemu izvajanju, okrepljenemu sodelovanju, izmenjavi informacij in usklajenemu izvrševanju po vsej EU;</w:t>
            </w:r>
          </w:p>
        </w:tc>
        <w:tc>
          <w:tcPr>
            <w:tcW w:w="4876" w:type="dxa"/>
            <w:tcBorders>
              <w:top w:val="nil"/>
              <w:left w:val="nil"/>
              <w:bottom w:val="nil"/>
              <w:right w:val="nil"/>
            </w:tcBorders>
          </w:tcPr>
          <w:p>
            <w:pPr>
              <w:pStyle w:val="Normal6a"/>
            </w:pPr>
            <w:r>
              <w:t>8.</w:t>
            </w:r>
            <w:r>
              <w:tab/>
            </w:r>
            <w:r>
              <w:t xml:space="preserve">pozdravlja vlogo organa AMLA pri krepitvi boja EU proti pranju denarja in financiranju terorizma; poziva k doslednemu izvajanju, okrepljenemu sodelovanju, izmenjavi informacij in usklajenemu izvrševanju po vsej EU; </w:t>
            </w:r>
            <w:r>
              <w:rPr>
                <w:b/>
                <w:i/>
              </w:rPr>
              <w:t>poudarja, da mora organ AMLA pri svojem nadzornem in regulativnem delu upoštevati načelo sorazmernosti;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pozdravlja vlogo organa AMLA pri krepitvi boja EU proti pranju denarja in financiranju terorizma; poziva k doslednemu izvajanju, okrepljenemu sodelovanju, izmenjavi informacij in usklajenemu izvrševanju po vsej EU;</w:t>
            </w:r>
          </w:p>
        </w:tc>
        <w:tc>
          <w:tcPr>
            <w:tcW w:w="4876" w:type="dxa"/>
            <w:tcBorders>
              <w:top w:val="nil"/>
              <w:left w:val="nil"/>
              <w:bottom w:val="nil"/>
              <w:right w:val="nil"/>
            </w:tcBorders>
          </w:tcPr>
          <w:p>
            <w:pPr>
              <w:pStyle w:val="Normal6a"/>
            </w:pPr>
            <w:r>
              <w:t>8.</w:t>
            </w:r>
            <w:r>
              <w:tab/>
            </w:r>
            <w:r>
              <w:t xml:space="preserve">pozdravlja vlogo organa AMLA pri krepitvi boja EU proti pranju denarja in financiranju terorizma; poziva k doslednemu izvajanju, okrepljenemu sodelovanju, izmenjavi informacij in usklajenemu izvrševanju po vsej EU; </w:t>
            </w:r>
            <w:r>
              <w:rPr>
                <w:b/>
                <w:i/>
              </w:rPr>
              <w:t>opozarja, da bi moral usklajen, poenostavljen in sorazmeren pristop ostati osrednje vodilno načelo pri delu organa AMLA na ravni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pozdravlja vlogo organa AMLA pri krepitvi boja EU proti pranju denarja in financiranju terorizma; poziva k doslednemu izvajanju, okrepljenemu sodelovanju, izmenjavi informacij in usklajenemu izvrševanju po vsej EU;</w:t>
            </w:r>
          </w:p>
        </w:tc>
        <w:tc>
          <w:tcPr>
            <w:tcW w:w="4876" w:type="dxa"/>
            <w:tcBorders>
              <w:top w:val="nil"/>
              <w:left w:val="nil"/>
              <w:bottom w:val="nil"/>
              <w:right w:val="nil"/>
            </w:tcBorders>
          </w:tcPr>
          <w:p>
            <w:pPr>
              <w:pStyle w:val="Normal6a"/>
            </w:pPr>
            <w:r>
              <w:t>8.</w:t>
            </w:r>
            <w:r>
              <w:tab/>
            </w:r>
            <w:r>
              <w:t>pozdravlja vlogo organa AMLA pri krepitvi boja EU proti pranju denarja in financiranju terorizma; poziva k doslednemu izvajanju, okrepljenemu sodelovanju, izmenjavi informacij in usklajenemu izvrševanju po vsej EU</w:t>
            </w:r>
            <w:r>
              <w:rPr>
                <w:b/>
                <w:i/>
              </w:rPr>
              <w:t>, da bi se izognili nepotrebnemu regulativnemu prekrivanju in pretiranim upravnim bremenom za finančne institucije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pozdravlja vlogo organa AMLA pri krepitvi boja EU proti pranju denarja in financiranju terorizma; poziva k doslednemu izvajanju, okrepljenemu sodelovanju, izmenjavi informacij in usklajenemu izvrševanju po vsej EU;</w:t>
            </w:r>
          </w:p>
        </w:tc>
        <w:tc>
          <w:tcPr>
            <w:tcW w:w="4876" w:type="dxa"/>
            <w:tcBorders>
              <w:top w:val="nil"/>
              <w:left w:val="nil"/>
              <w:bottom w:val="nil"/>
              <w:right w:val="nil"/>
            </w:tcBorders>
          </w:tcPr>
          <w:p>
            <w:pPr>
              <w:pStyle w:val="Normal6a"/>
            </w:pPr>
            <w:r>
              <w:t>8.</w:t>
            </w:r>
            <w:r>
              <w:tab/>
            </w:r>
            <w:r>
              <w:t xml:space="preserve">pozdravlja vlogo organa AMLA pri krepitvi boja EU proti pranju denarja in financiranju terorizma; poziva k doslednemu izvajanju, okrepljenemu sodelovanju, izmenjavi informacij in usklajenemu izvrševanju po vsej EU; </w:t>
            </w:r>
            <w:r>
              <w:rPr>
                <w:b/>
                <w:i/>
              </w:rPr>
              <w:t>poudarja potrebo po učinkovitem sodelovanju med organom AMLA ter evropskimi nadzornimi organi in bonitetnimi organi;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poudarja, da je treba poenostaviti evropski regulativni in nadzorni okvir ter okvir poročanja za banke, da bi odpravili zapletenost, ki po nepotrebnem vpliva na konkurenčnost evropskih bank in njihovo zmožnost učinkovitega zagotavljanja storitev realnemu gospodarstvu;</w:t>
            </w:r>
            <w:r>
              <w:t xml:space="preserve"> </w:t>
            </w:r>
            <w:r>
              <w:rPr>
                <w:b/>
                <w:i/>
              </w:rPr>
              <w:t>poudarja, da prizadevanja za poenostavitev ne bi smela vplivati na odpornost bank, finančno stabilnost ali učinkovitost okvira za reševanje;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poudarja, da je zanesljivo, dosledno in pravočasno finančno poročanje bistveno za nadzor in stabilnost;</w:t>
            </w:r>
            <w:r>
              <w:t xml:space="preserve"> poudarja, da poenostavitev ne sme oslabiti bonitetnih standardov, standardov varstva potrošnikov ali standardov stabilnosti; poziva k </w:t>
            </w:r>
            <w:r>
              <w:rPr>
                <w:b/>
                <w:i/>
              </w:rPr>
              <w:t>uravnoteženemu in celovitejšemu pristopu s skupnim slovarjem</w:t>
            </w:r>
            <w:r>
              <w:t xml:space="preserve"> podatkov </w:t>
            </w:r>
            <w:r>
              <w:rPr>
                <w:b/>
                <w:i/>
              </w:rPr>
              <w:t>in odložiščem zahtevkov</w:t>
            </w:r>
            <w:r>
              <w:t xml:space="preserve">, da bi </w:t>
            </w:r>
            <w:r>
              <w:rPr>
                <w:b/>
                <w:i/>
              </w:rPr>
              <w:t>zmanjšali nepotrebno zapletenost, hkrati pa ohranili trdnost okvira bančne unije</w:t>
            </w:r>
            <w:r>
              <w:t>;</w:t>
            </w:r>
          </w:p>
        </w:tc>
        <w:tc>
          <w:tcPr>
            <w:tcW w:w="4876" w:type="dxa"/>
            <w:tcBorders>
              <w:top w:val="nil"/>
              <w:left w:val="nil"/>
              <w:bottom w:val="nil"/>
              <w:right w:val="nil"/>
            </w:tcBorders>
          </w:tcPr>
          <w:p>
            <w:pPr>
              <w:pStyle w:val="Normal6a"/>
            </w:pPr>
            <w:r>
              <w:t>9.</w:t>
            </w:r>
            <w:r>
              <w:tab/>
            </w:r>
            <w:r>
              <w:t xml:space="preserve">poudarja, da poenostavitev </w:t>
            </w:r>
            <w:r>
              <w:rPr>
                <w:b/>
                <w:i/>
              </w:rPr>
              <w:t>predpisov</w:t>
            </w:r>
            <w:r>
              <w:t xml:space="preserve"> ne sme oslabiti bonitetnih standardov, standardov varstva potrošnikov ali standardov stabilnosti</w:t>
            </w:r>
            <w:r>
              <w:rPr>
                <w:b/>
                <w:i/>
              </w:rPr>
              <w:t>, temveč jih mora narediti bolj učinkovite in sorazmerne za končni namen</w:t>
            </w:r>
            <w:r>
              <w:t xml:space="preserve">; poziva k </w:t>
            </w:r>
            <w:r>
              <w:rPr>
                <w:b/>
                <w:i/>
              </w:rPr>
              <w:t>okrepitvi digitalnega razvoja, zlasti umetne inteligence, za nadzorne naloge;</w:t>
            </w:r>
            <w:r>
              <w:t xml:space="preserve"> </w:t>
            </w:r>
            <w:r>
              <w:rPr>
                <w:b/>
                <w:i/>
              </w:rPr>
              <w:t>spodbuja nadzornike in regulatorje, naj zmanjšajo stroške zagotavljanja skladnosti in poročanja za regulirane subjekte z večjo izmenjavo</w:t>
            </w:r>
            <w:r>
              <w:t xml:space="preserve"> podatkov </w:t>
            </w:r>
            <w:r>
              <w:rPr>
                <w:b/>
                <w:i/>
              </w:rPr>
              <w:t>med različnimi organi in preučitvijo možnosti</w:t>
            </w:r>
            <w:r>
              <w:t xml:space="preserve">, da bi </w:t>
            </w:r>
            <w:r>
              <w:rPr>
                <w:b/>
                <w:i/>
              </w:rPr>
              <w:t>umetna inteligenca prešla z modela „potisni“, po katerem podatke urejajo nadzorovane institucije, na model „potegni“, po katerem bi nadzorovane institucije nadzornikom omogočile dostop do razčlenjenih ravni podatkov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poudarja, da je zanesljivo, dosledno in pravočasno finančno poročanje bistveno za nadzor in stabilnost; poudarja</w:t>
            </w:r>
            <w:r>
              <w:rPr>
                <w:b/>
                <w:i/>
              </w:rPr>
              <w:t>, da</w:t>
            </w:r>
            <w:r>
              <w:t xml:space="preserve"> poenostavitev </w:t>
            </w:r>
            <w:r>
              <w:rPr>
                <w:b/>
                <w:i/>
              </w:rPr>
              <w:t>ne sme oslabiti bonitetnih standardov, standardov</w:t>
            </w:r>
            <w:r>
              <w:t xml:space="preserve"> varstva potrošnikov ali </w:t>
            </w:r>
            <w:r>
              <w:rPr>
                <w:b/>
                <w:i/>
              </w:rPr>
              <w:t>standardov</w:t>
            </w:r>
            <w:r>
              <w:t xml:space="preserve"> stabilnosti; poziva k uravnoteženemu in </w:t>
            </w:r>
            <w:r>
              <w:rPr>
                <w:b/>
                <w:i/>
              </w:rPr>
              <w:t>celovitejšemu</w:t>
            </w:r>
            <w:r>
              <w:t xml:space="preserve"> pristopu </w:t>
            </w:r>
            <w:r>
              <w:rPr>
                <w:b/>
                <w:i/>
              </w:rPr>
              <w:t>s skupnim slovarjem podatkov in odložiščem zahtevkov</w:t>
            </w:r>
            <w:r>
              <w:t xml:space="preserve">, da bi zmanjšali </w:t>
            </w:r>
            <w:r>
              <w:rPr>
                <w:b/>
                <w:i/>
              </w:rPr>
              <w:t>nepotrebno zapletenost, hkrati pa ohranili trdnost okvira bančne unije</w:t>
            </w:r>
            <w:r>
              <w:t>;</w:t>
            </w:r>
          </w:p>
        </w:tc>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poudarja </w:t>
            </w:r>
            <w:r>
              <w:rPr>
                <w:b/>
                <w:i/>
              </w:rPr>
              <w:t>pomen pravne varnosti, predvidljivosti in stabilnosti bančnega sektorja;</w:t>
            </w:r>
            <w:r>
              <w:t xml:space="preserve"> </w:t>
            </w:r>
            <w:r>
              <w:rPr>
                <w:b/>
                <w:i/>
              </w:rPr>
              <w:t>v zvezi s tem poudarja, da so potrebni nadaljnji ukrepi, ki bodo spodbujali digitalizacijo in</w:t>
            </w:r>
            <w:r>
              <w:t xml:space="preserve"> poenostavitev</w:t>
            </w:r>
            <w:r>
              <w:rPr>
                <w:b/>
                <w:i/>
              </w:rPr>
              <w:t>, hkrati pa ohranili bonitetne standarde, standarde</w:t>
            </w:r>
            <w:r>
              <w:t xml:space="preserve"> varstva potrošnikov ali </w:t>
            </w:r>
            <w:r>
              <w:rPr>
                <w:b/>
                <w:i/>
              </w:rPr>
              <w:t>standarde</w:t>
            </w:r>
            <w:r>
              <w:t xml:space="preserve"> stabilnosti; poziva k uravnoteženemu in </w:t>
            </w:r>
            <w:r>
              <w:rPr>
                <w:b/>
                <w:i/>
              </w:rPr>
              <w:t>bolj celostnemu</w:t>
            </w:r>
            <w:r>
              <w:t xml:space="preserve"> pristopu</w:t>
            </w:r>
            <w:r>
              <w:rPr>
                <w:b/>
                <w:i/>
              </w:rPr>
              <w:t>, kot je centralizirano podatkovno vozlišče, ki bo temeljilo na standardiziranih opredelitvah in si ga bodo delili organi</w:t>
            </w:r>
            <w:r>
              <w:t xml:space="preserve">, da bi zmanjšali </w:t>
            </w:r>
            <w:r>
              <w:rPr>
                <w:b/>
                <w:i/>
              </w:rPr>
              <w:t>podvajanje, izboljšali kakovost podatkov in zmanjšali upravno breme za banke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w:t>
            </w:r>
            <w:r>
              <w:rPr>
                <w:b/>
                <w:i/>
              </w:rPr>
              <w:t>poudarja, da</w:t>
            </w:r>
            <w:r>
              <w:t xml:space="preserve"> poenostavitev </w:t>
            </w:r>
            <w:r>
              <w:rPr>
                <w:b/>
                <w:i/>
              </w:rPr>
              <w:t>ne sme oslabiti bonitetnih standardov, standardov varstva potrošnikov ali standardov stabilnosti;</w:t>
            </w:r>
            <w:r>
              <w:t xml:space="preserve"> </w:t>
            </w:r>
            <w:r>
              <w:rPr>
                <w:b/>
                <w:i/>
              </w:rPr>
              <w:t>poziva k uravnoteženemu in celovitejšemu pristopu s skupnim slovarjem podatkov in odložiščem zahtevkov</w:t>
            </w:r>
            <w:r>
              <w:t xml:space="preserve">, da bi </w:t>
            </w:r>
            <w:r>
              <w:rPr>
                <w:b/>
                <w:i/>
              </w:rPr>
              <w:t>zmanjšali nepotrebno zapletenost, hkrati pa ohranili trdnost okvira bančne unije</w:t>
            </w:r>
            <w:r>
              <w:t>;</w:t>
            </w:r>
          </w:p>
        </w:tc>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w:t>
            </w:r>
            <w:r>
              <w:rPr>
                <w:b/>
                <w:i/>
              </w:rPr>
              <w:t>vendar ugotavlja, da je potrebna</w:t>
            </w:r>
            <w:r>
              <w:t xml:space="preserve"> poenostavitev</w:t>
            </w:r>
            <w:r>
              <w:rPr>
                <w:b/>
                <w:i/>
              </w:rPr>
              <w:t>, zlasti za manjše subjekte;</w:t>
            </w:r>
            <w:r>
              <w:t xml:space="preserve"> </w:t>
            </w:r>
            <w:r>
              <w:rPr>
                <w:b/>
                <w:i/>
              </w:rPr>
              <w:t>meni</w:t>
            </w:r>
            <w:r>
              <w:t xml:space="preserve">, da bi </w:t>
            </w:r>
            <w:r>
              <w:rPr>
                <w:b/>
                <w:i/>
              </w:rPr>
              <w:t>morale biti zahteve na tem področju sorazmerne in prilagojene posebnostim evropskega bančnega sektorja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poudarja, da poenostavitev </w:t>
            </w:r>
            <w:r>
              <w:rPr>
                <w:b/>
                <w:i/>
              </w:rPr>
              <w:t>ne sme oslabiti bonitetnih standardov, standardov</w:t>
            </w:r>
            <w:r>
              <w:t xml:space="preserve"> varstva potrošnikov ali </w:t>
            </w:r>
            <w:r>
              <w:rPr>
                <w:b/>
                <w:i/>
              </w:rPr>
              <w:t>standardov</w:t>
            </w:r>
            <w:r>
              <w:t xml:space="preserve"> stabilnosti; </w:t>
            </w:r>
            <w:r>
              <w:rPr>
                <w:b/>
                <w:i/>
              </w:rPr>
              <w:t>poziva k uravnoteženemu in celovitejšemu pristopu s skupnim slovarjem podatkov in odložiščem zahtevkov, da bi zmanjšali nepotrebno zapletenost, hkrati pa ohranili trdnost okvira bančne unije;</w:t>
            </w:r>
          </w:p>
        </w:tc>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poudarja, da </w:t>
            </w:r>
            <w:r>
              <w:rPr>
                <w:b/>
                <w:i/>
              </w:rPr>
              <w:t>bi se morala</w:t>
            </w:r>
            <w:r>
              <w:t xml:space="preserve"> poenostavitev </w:t>
            </w:r>
            <w:r>
              <w:rPr>
                <w:b/>
                <w:i/>
              </w:rPr>
              <w:t>osredotočiti na odpravo podvajanja in nepotrebne zapletenosti, ne da bi pri tem oslabili bonitetne standarde, standarde</w:t>
            </w:r>
            <w:r>
              <w:t xml:space="preserve"> varstva potrošnikov ali </w:t>
            </w:r>
            <w:r>
              <w:rPr>
                <w:b/>
                <w:i/>
              </w:rPr>
              <w:t>standarde</w:t>
            </w:r>
            <w:r>
              <w:t xml:space="preserve"> stabilnosti;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w:t>
            </w:r>
            <w:r>
              <w:rPr>
                <w:b/>
                <w:i/>
              </w:rPr>
              <w:t>poudarja, da poenostavitev ne sme oslabiti bonitetnih standardov, standardov varstva potrošnikov ali standardov stabilnosti;</w:t>
            </w:r>
            <w:r>
              <w:t xml:space="preserve"> poziva k uravnoteženemu in celovitejšemu pristopu s skupnim slovarjem podatkov in odložiščem zahtevkov, da bi zmanjšali nepotrebno zapletenost, hkrati pa ohranili trdnost okvira bančne unije;</w:t>
            </w:r>
          </w:p>
        </w:tc>
        <w:tc>
          <w:tcPr>
            <w:tcW w:w="4876" w:type="dxa"/>
            <w:tcBorders>
              <w:top w:val="nil"/>
              <w:left w:val="nil"/>
              <w:bottom w:val="nil"/>
              <w:right w:val="nil"/>
            </w:tcBorders>
          </w:tcPr>
          <w:p>
            <w:pPr>
              <w:pStyle w:val="Normal6a"/>
            </w:pPr>
            <w:r>
              <w:t>9.</w:t>
            </w:r>
            <w:r>
              <w:tab/>
            </w:r>
            <w:r>
              <w:t>poudarja, da je zanesljivo, dosledno in pravočasno finančno poročanje bistveno za nadzor in stabilnost; poziva k uravnoteženemu</w:t>
            </w:r>
            <w:r>
              <w:rPr>
                <w:b/>
                <w:i/>
              </w:rPr>
              <w:t>, manj obremenjujočemu</w:t>
            </w:r>
            <w:r>
              <w:t xml:space="preserve"> in celovitejšemu pristopu </w:t>
            </w:r>
            <w:r>
              <w:rPr>
                <w:b/>
                <w:i/>
              </w:rPr>
              <w:t>k nadzornemu poročanju</w:t>
            </w:r>
            <w:r>
              <w:t xml:space="preserve"> s skupnim slovarjem podatkov in odložiščem zahtevkov, da bi zmanjšali nepotrebno zapletenost, hkrati pa ohranili trdnost okvira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poudarja, da poenostavitev ne sme oslabiti </w:t>
            </w:r>
            <w:r>
              <w:rPr>
                <w:b/>
                <w:i/>
              </w:rPr>
              <w:t>bonitetnih standardov,</w:t>
            </w:r>
            <w:r>
              <w:t xml:space="preserve"> standardov varstva potrošnikov ali </w:t>
            </w:r>
            <w:r>
              <w:rPr>
                <w:b/>
                <w:i/>
              </w:rPr>
              <w:t>standardov</w:t>
            </w:r>
            <w:r>
              <w:t xml:space="preserve"> stabilnosti; poziva k uravnoteženemu in celovitejšemu pristopu s skupnim slovarjem podatkov in odložiščem zahtevkov, da bi zmanjšali nepotrebno zapletenost, hkrati pa ohranili trdnost okvira bančne unije;</w:t>
            </w:r>
          </w:p>
        </w:tc>
        <w:tc>
          <w:tcPr>
            <w:tcW w:w="4876" w:type="dxa"/>
            <w:tcBorders>
              <w:top w:val="nil"/>
              <w:left w:val="nil"/>
              <w:bottom w:val="nil"/>
              <w:right w:val="nil"/>
            </w:tcBorders>
          </w:tcPr>
          <w:p>
            <w:pPr>
              <w:pStyle w:val="Normal6a"/>
            </w:pPr>
            <w:r>
              <w:t>9.</w:t>
            </w:r>
            <w:r>
              <w:tab/>
            </w:r>
            <w:r>
              <w:t xml:space="preserve">poudarja, da je zanesljivo, dosledno in pravočasno finančno poročanje bistveno za nadzor in stabilnost; poudarja, da poenostavitev ne sme oslabiti </w:t>
            </w:r>
            <w:r>
              <w:rPr>
                <w:b/>
                <w:i/>
              </w:rPr>
              <w:t>bonitetne stabilnosti ter</w:t>
            </w:r>
            <w:r>
              <w:t xml:space="preserve"> standardov varstva potrošnikov ali stabilnosti; poziva k uravnoteženemu in celovitejšemu pristopu s skupnim slovarjem podatkov in odložiščem zahtevkov, da bi zmanjšali nepotrebno zapletenost, hkrati pa ohranili trdnost okvira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ugotavlja, da se bančni sektor sooča s številnimi prekrivajočimi se, razdrobljenimi in včasih nasprotujočimi si pravili;</w:t>
            </w:r>
            <w:r>
              <w:t xml:space="preserve"> </w:t>
            </w:r>
            <w:r>
              <w:rPr>
                <w:b/>
                <w:i/>
              </w:rPr>
              <w:t>pozdravlja prihodnji celovit pregled konkurenčnosti bančnega sektorja EU, ki ga bo Komisija opravila leta 2026;</w:t>
            </w:r>
            <w:r>
              <w:t xml:space="preserve"> </w:t>
            </w:r>
            <w:r>
              <w:rPr>
                <w:b/>
                <w:i/>
              </w:rPr>
              <w:t>poziva Komisijo, naj zmanjša nepotrebna regulativna bremena za bančni sektor, da ne bi ovirala njegove konkurenčnosti;</w:t>
            </w:r>
            <w:r>
              <w:t xml:space="preserve"> </w:t>
            </w:r>
            <w:r>
              <w:rPr>
                <w:b/>
                <w:i/>
              </w:rPr>
              <w:t>v zvezi s tem poziva Komisijo, naj uvede preverjanje konkurenčnosti za vso novo zakonodajo, racionalizira zakonodajne postopke, na primer z zmanjšanjem števila klavzul o samodejnem pregledu in moratorijem na nebistvena nova pravila, ter sistematično odpravi odvečne obveznosti poročanja ali razkritja;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naj se nadzornikom omogoči, da se izognejo neupravičenim omejitvam pri uporabi digitalnih inovativnih orodij, ki lahko povečajo produktivnost in konkurenčnost na splošno;</w:t>
            </w:r>
            <w:r>
              <w:t xml:space="preserve"> </w:t>
            </w:r>
            <w:r>
              <w:rPr>
                <w:b/>
                <w:i/>
              </w:rPr>
              <w:t>spodbuja k sorazmernemu pristopu, ki temelji na načelih in preprečuje nastajanje ovir za inovacije;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pozdravlja delovno skupino Evropske centralne banke na visoki ravni za poenostavitev;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poudarja, kako pomembno je zagotoviti sorazmernost v bančnem regulativnem okviru EU, pri čemer je treba upoštevati velikost in kompleksnost različnih institucij;</w:t>
            </w:r>
            <w:r>
              <w:t xml:space="preserve"> </w:t>
            </w:r>
            <w:r>
              <w:rPr>
                <w:b/>
                <w:i/>
              </w:rPr>
              <w:t>poudarja pomen malih bank pri podpiranju malih in srednjih podjetij ter lokalnih gospodarstev in poziva Komisijo, naj vsi predpisi še naprej upoštevajo tveganja, so uravnoteženi in podpirajo raznolik in konkurenčen bančni sektor po vsej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priznava institucionalni </w:t>
            </w:r>
            <w:r>
              <w:rPr>
                <w:b/>
                <w:i/>
              </w:rPr>
              <w:t>in regulativni napredek, ki je okrepil odpornost bank euroobmočja</w:t>
            </w:r>
            <w:r>
              <w:t xml:space="preserve">; ugotavlja, da </w:t>
            </w:r>
            <w:r>
              <w:rPr>
                <w:b/>
                <w:i/>
              </w:rPr>
              <w:t>še vedno obstajajo ovire, ki preprečujejo sprostitev polnega potenciala enotnega trga Unije za finančne storitve</w:t>
            </w:r>
            <w:r>
              <w:t xml:space="preserve">; </w:t>
            </w:r>
            <w:r>
              <w:rPr>
                <w:b/>
                <w:i/>
              </w:rPr>
              <w:t>poziva Komisijo, države članice in organe EU, naj ambicije uskladijo s konkretnimi ukrepi za dokončanje unije prihrankov in naložb ter enotnega trga, s čimer bi spodbudili poenostavitev in konkurenčnost;</w:t>
            </w:r>
          </w:p>
        </w:tc>
        <w:tc>
          <w:tcPr>
            <w:tcW w:w="4876" w:type="dxa"/>
            <w:tcBorders>
              <w:top w:val="nil"/>
              <w:left w:val="nil"/>
              <w:bottom w:val="nil"/>
              <w:right w:val="nil"/>
            </w:tcBorders>
          </w:tcPr>
          <w:p>
            <w:pPr>
              <w:pStyle w:val="Normal6a"/>
            </w:pPr>
            <w:r>
              <w:t>10.</w:t>
            </w:r>
            <w:r>
              <w:tab/>
            </w:r>
            <w:r>
              <w:t xml:space="preserve">priznava institucionalni </w:t>
            </w:r>
            <w:r>
              <w:rPr>
                <w:b/>
                <w:i/>
              </w:rPr>
              <w:t>razvoj na področju odpornosti</w:t>
            </w:r>
            <w:r>
              <w:t xml:space="preserve">; ugotavlja, da </w:t>
            </w:r>
            <w:r>
              <w:rPr>
                <w:b/>
                <w:i/>
              </w:rPr>
              <w:t>sedanje širjenje predpisov še naprej spodkopava resnični potencial evropskega bančnega sektorja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priznava institucionalni in regulativni napredek, ki je okrepil odpornost bank </w:t>
            </w:r>
            <w:r>
              <w:rPr>
                <w:b/>
                <w:i/>
              </w:rPr>
              <w:t>euroobmočja</w:t>
            </w:r>
            <w:r>
              <w:t xml:space="preserve">; ugotavlja, da še vedno obstajajo ovire, ki preprečujejo sprostitev polnega potenciala enotnega trga Unije za finančne storitve; poziva Komisijo, države članice in organe EU, naj ambicije uskladijo s konkretnimi ukrepi za dokončanje unije prihrankov in naložb ter enotnega trga, </w:t>
            </w:r>
            <w:r>
              <w:rPr>
                <w:b/>
                <w:i/>
              </w:rPr>
              <w:t>s čimer bi spodbudili poenostavitev in konkurenčnost</w:t>
            </w:r>
            <w:r>
              <w:t>;</w:t>
            </w:r>
          </w:p>
        </w:tc>
        <w:tc>
          <w:tcPr>
            <w:tcW w:w="4876" w:type="dxa"/>
            <w:tcBorders>
              <w:top w:val="nil"/>
              <w:left w:val="nil"/>
              <w:bottom w:val="nil"/>
              <w:right w:val="nil"/>
            </w:tcBorders>
          </w:tcPr>
          <w:p>
            <w:pPr>
              <w:pStyle w:val="Normal6a"/>
            </w:pPr>
            <w:r>
              <w:t>10.</w:t>
            </w:r>
            <w:r>
              <w:tab/>
            </w:r>
            <w:r>
              <w:t xml:space="preserve">priznava institucionalni in regulativni napredek, ki je okrepil odpornost bank </w:t>
            </w:r>
            <w:r>
              <w:rPr>
                <w:b/>
                <w:i/>
              </w:rPr>
              <w:t>v EU</w:t>
            </w:r>
            <w:r>
              <w:t xml:space="preserve">; ugotavlja, da še vedno obstajajo ovire, ki preprečujejo sprostitev polnega potenciala enotnega trga Unije za finančne storitve; poziva Komisijo, države članice in organe EU, naj ambicije uskladijo s konkretnimi ukrepi za dokončanje unije prihrankov in naložb ter enotnega trga, </w:t>
            </w:r>
            <w:r>
              <w:rPr>
                <w:b/>
                <w:i/>
              </w:rPr>
              <w:t>da bi zagotovili potrebne naložbe za zeleni prehod</w:t>
            </w:r>
            <w:r>
              <w:t xml:space="preserve">; </w:t>
            </w:r>
            <w:r>
              <w:rPr>
                <w:b/>
                <w:i/>
              </w:rPr>
              <w:t>poudarja pomen uredbe o taksonomiji za to prizadevanje;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priznava institucionalni in regulativni napredek, ki je okrepil odpornost bank euroobmočja; ugotavlja, da še vedno obstajajo ovire, ki preprečujejo sprostitev polnega potenciala enotnega trga Unije za finančne storitve; poziva Komisijo, države članice in organe EU, naj ambicije uskladijo s konkretnimi ukrepi za dokončanje unije prihrankov in naložb ter enotnega trga, s čimer bi spodbudili poenostavitev in konkurenčnost;</w:t>
            </w:r>
          </w:p>
        </w:tc>
        <w:tc>
          <w:tcPr>
            <w:tcW w:w="4876" w:type="dxa"/>
            <w:tcBorders>
              <w:top w:val="nil"/>
              <w:left w:val="nil"/>
              <w:bottom w:val="nil"/>
              <w:right w:val="nil"/>
            </w:tcBorders>
          </w:tcPr>
          <w:p>
            <w:pPr>
              <w:pStyle w:val="Normal6a"/>
            </w:pPr>
            <w:r>
              <w:t>10.</w:t>
            </w:r>
            <w:r>
              <w:tab/>
            </w:r>
            <w:r>
              <w:t xml:space="preserve">priznava institucionalni in regulativni napredek, ki je okrepil odpornost bank euroobmočja; ugotavlja, da še vedno obstajajo </w:t>
            </w:r>
            <w:r>
              <w:rPr>
                <w:b/>
                <w:i/>
              </w:rPr>
              <w:t>pomembne</w:t>
            </w:r>
            <w:r>
              <w:t xml:space="preserve"> ovire, ki preprečujejo sprostitev polnega potenciala enotnega trga Unije za finančne storitve; poziva Komisijo, države članice in organe EU, naj ambicije uskladijo s konkretnimi ukrepi za dokončanje unije prihrankov in naložb ter enotnega trga, s čimer bi spodbudili poenostavitev in konkurenčnost; </w:t>
            </w:r>
            <w:r>
              <w:rPr>
                <w:b/>
                <w:i/>
              </w:rPr>
              <w:t>poziva Komisijo, naj bo v svojem poročilu o konkurenčnosti bančnega sektorja EU za leto 2026 ambiciozna in drzna ter naj preseže zgolj poenostavitev ter predstavi konkretne in izvedljive predloge za okrepitev povezovanja trgov, enakih konkurenčnih pogojev na mednarodni ravni in konkurenčnosti evropskih bank;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poudarja, da bi morali nadzorniki glede na sedanjo geopolitično negotovost, potencialno precenjene delniške trge in nedavne primere pretresov v ZDA po nepreglednem posojanju v nebančnem (zasebnem kreditnem) sektorju ohraniti v prihodnost usmerjeno perspektivo in zadostno spremljati tveganja ter da bi morale banke ohraniti ustrezne kapitalske rezerve in biti operativno odporne;</w:t>
            </w:r>
            <w:r>
              <w:t xml:space="preserve"> </w:t>
            </w:r>
            <w:r>
              <w:rPr>
                <w:b/>
                <w:i/>
              </w:rPr>
              <w:t>v zvezi s tem poudarja, da je treba izboljšati nadzor in odpornost nebančnih finančnih posrednikov;</w:t>
            </w:r>
            <w:r>
              <w:t xml:space="preserve"> </w:t>
            </w:r>
            <w:r>
              <w:rPr>
                <w:b/>
                <w:i/>
              </w:rPr>
              <w:t>poudarja, da lahko preudaren nadzor danes zaščiti davkoplačevalce, vlagatelje in realno gospodarstvo pred izgubami v prihodnosti;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spodbuja vse večjo uporabo umetne inteligence v bančnem sektorju, pri čemer priznava njen potencial za izboljšanje učinkovitosti, inovacij in potrošniških storitev ter okrepitev preprečevanja goljufij;</w:t>
            </w:r>
            <w:r>
              <w:t xml:space="preserve"> </w:t>
            </w:r>
            <w:r>
              <w:rPr>
                <w:b/>
                <w:i/>
              </w:rPr>
              <w:t>poudarja, da regulacija na ravni EU ne sme postati ovira za tehnološke inovacije in njihovo uvajanje v bančnem sektorju, saj ustvarja negotovost in zmedo med akterji na trgu glede skladne uporabe umetne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pozdravlja poročilo ECB o poenostavitvi evropskega bonitetnega regulativnega in nadzornega okvira ter okvira poročanja iz decembra 2025 in poročilo EBA o učinkovitosti regulativnega in nadzornega okvira;</w:t>
            </w:r>
            <w:r>
              <w:t xml:space="preserve"> </w:t>
            </w:r>
            <w:r>
              <w:rPr>
                <w:b/>
                <w:i/>
              </w:rPr>
              <w:t>poziva Komisijo, naj v okviru prihodnjega pregleda konkurenčnosti bančne unije spremlja in nadalje razvija predloge iz teh poročil;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ECB, naj sprejme ustrezne ukrepe za odpravo vseh ovir, ki otežujejo okrevanje kratkoročnih nezavarovanih medbančnih trgov, ki so se od velike finančne krize močno zmanjšali;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meni, da temeljno vprašanje „prevelik, da bi propadel“ ni bilo ustrezno obravnavano in da je strukturna reforma še vedno potrebna;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pozdravlja namero Komisije, da bo leta 2026 ocenila konkurenčnost evropskega bančnega sektorja;</w:t>
            </w:r>
            <w:r>
              <w:t xml:space="preserve"> </w:t>
            </w:r>
            <w:r>
              <w:rPr>
                <w:b/>
                <w:i/>
              </w:rPr>
              <w:t>poziva Komisijo, naj predstavi ambiciozno poročilo, ki ga bodo spremljali zakonodajni predlogi za bistveno izboljšanje konkurenčnosti evropskega bančnega sektorja;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spodbuja ECB, naj odstrani vse preostale ovire, ki preprečujejo čezmejne združitve bank, hkrati pa naj zagotavlja finančno stabilnost in pomaga pri povezovanju evropskega bančnega trga;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poudarja, da je treba evropska bančna pravila bolje prilagoditi velikosti, poslovnemu modelu, kompleksnosti in profilu tveganja institucij;</w:t>
            </w:r>
            <w:r>
              <w:t xml:space="preserve"> </w:t>
            </w:r>
            <w:r>
              <w:rPr>
                <w:b/>
                <w:i/>
              </w:rPr>
              <w:t>poudarja, da so se druge večje jurisdikcije odločile za namensko in bolj sorazmerno ureditev za male banke;</w:t>
            </w:r>
            <w:r>
              <w:t xml:space="preserve"> </w:t>
            </w:r>
            <w:r>
              <w:rPr>
                <w:b/>
                <w:i/>
              </w:rPr>
              <w:t>poziva Komisijo, naj prihodnji pregled bančne konkurenčnosti izkoristi kot priložnost za razvoj pristne ureditve za majhne banke, ki niso mednarodno dejavne, ki bo bistveno manj stroga od zelo zapletenih bonitetnih in nadzornih zahtev, ki se trenutno uporabljajo za vse evropske banke in so bile zasnovane predvsem za velike, mednarodno dejavne in sistemsko pomembne bančne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ugotavlja, da bi lahko bila regulacija, ki vpliva na bančni sektor, bolj sorazmerna, in obžaluje preobremenjenost malih bank, ki ovira rast in večjo konkurenčnost; spodbuja k oblikovanju v celoti ustreznega sklopa pravil za male banke, ki se lahko odločijo za sodelovanje;</w:t>
            </w:r>
            <w:r>
              <w:t xml:space="preserve"> </w:t>
            </w:r>
            <w:r>
              <w:rPr>
                <w:b/>
                <w:i/>
              </w:rPr>
              <w:t>meni, da se bo predlagani „režim za male banke“ odzval na potrebe teh bank z bolj sorazmerno ureditvijo, kot so jo že uvedle druge jurisdikcije in svetovni finančni centri;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z zaskrbljenostjo ugotavlja, da je izpostavljenost bank domačemu državnemu dolgu še vedno zelo visoka;</w:t>
            </w:r>
            <w:r>
              <w:t xml:space="preserve"> </w:t>
            </w:r>
            <w:r>
              <w:rPr>
                <w:b/>
                <w:i/>
              </w:rPr>
              <w:t>opozarja, da se bančna unija še naprej spoprijema z izzivom, kako ločiti bančno tveganje in tveganje državnih posojilojemalcev;</w:t>
            </w:r>
            <w:r>
              <w:t xml:space="preserve"> </w:t>
            </w:r>
            <w:r>
              <w:rPr>
                <w:b/>
                <w:i/>
              </w:rPr>
              <w:t>poudarja, da je mogoče tveganje v bilancah stanja bank dodatno zmanjšati s primernejšo regulativno obravnavo izpostavljenosti državnih vrednostnih papirjev;</w:t>
            </w:r>
            <w:r>
              <w:t xml:space="preserve"> </w:t>
            </w:r>
            <w:r>
              <w:rPr>
                <w:b/>
                <w:i/>
              </w:rPr>
              <w:t>poziva Komisijo, naj pripravi zakonodajni predlog o uvedbi ustreznih uteži tveganja za izpostavljenost državnih vrednostnih papirjev;</w:t>
            </w:r>
            <w:r>
              <w:t xml:space="preserve"> </w:t>
            </w:r>
            <w:r>
              <w:rPr>
                <w:b/>
                <w:i/>
              </w:rPr>
              <w:t>poudarja, da je zaradi naraščajočih ravni javnega dolga ustrezna obravnava izpostavljenosti državnih vrednostnih papirjev še nujnejša;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spodbuja k nadaljnjemu napredku pri celoviti racionalizaciji finančnih pravil EU z odpravo odvečnih obveznosti poročanja ali razkritja;</w:t>
            </w:r>
            <w:r>
              <w:t xml:space="preserve"> </w:t>
            </w:r>
            <w:r>
              <w:rPr>
                <w:b/>
                <w:i/>
              </w:rPr>
              <w:t>poziva k bolj poenostavljeni kapitalski strukturi, ki bi zmanjšala število prekrivajočih se blažilnikov in nadzorniških pribitkov, da bi ustvarili jasnejšo in preglednejšo hierarhijo kapitalskih zahtev;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opozarja na razdrobljenost evropskega bančnega trga, ki ovira učinkovitost ter ustvarja prekrivajoče se predpise in podvojene zahteve, tudi na področju varstva potrošnikov;</w:t>
            </w:r>
            <w:r>
              <w:t xml:space="preserve"> </w:t>
            </w:r>
            <w:r>
              <w:rPr>
                <w:b/>
                <w:i/>
              </w:rPr>
              <w:t>poudarja, da je treba dokončati enotni trg za banke in zmanjšati sedanje strukturno omejevanje, ki hčerinske družbe sili, da imajo kapital in likvidnost na lokalni ravni;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poziva Komisijo, naj razmisli, ali bi bilo mogoče vlogo in naloge Evropskega bančnega organa nadalje razviti, da bi se bolje upošteval vpliv regulativnih in nadzornih standardov na inovacije in mednarodno konkurenčnost bančnega sektorja EU, brez poseganja v njegov temeljni bonitetni mandat;</w:t>
            </w:r>
            <w:r>
              <w:t xml:space="preserve"> </w:t>
            </w:r>
            <w:r>
              <w:rPr>
                <w:b/>
                <w:i/>
              </w:rPr>
              <w:t>poudarja, da je spodbujanje inovacijam prijaznih in sorazmernih nadzornih praks bistveno za zagotovitev, da bančna unija ostane odporna, konkurenčna in sposobna podpirati rast v realnem gospodarstvu;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ugotavlja, da je skupni količnik navadnega lastniškega temeljnega kapitala bank v enotnem mehanizmu nadzora v </w:t>
            </w:r>
            <w:r>
              <w:rPr>
                <w:b/>
                <w:i/>
              </w:rPr>
              <w:t>drugem</w:t>
            </w:r>
            <w:r>
              <w:t xml:space="preserve"> četrtletju 2025 dosegel 16,12 %, pri čemer je donosnost lastniškega kapitala znašala </w:t>
            </w:r>
            <w:r>
              <w:rPr>
                <w:b/>
                <w:i/>
              </w:rPr>
              <w:t>10,11</w:t>
            </w:r>
            <w:r>
              <w:t> %, medtem ko se je delež slabih posojil zmanjšal na 2,22 %, delež posojil iz druge skupine pa znaša 9,59 %</w:t>
            </w:r>
            <w:r>
              <w:rPr>
                <w:vertAlign w:val="superscript"/>
              </w:rPr>
              <w:t>15</w:t>
            </w:r>
            <w:r>
              <w:t>; poudarja, da je treba spremljati kreditno tveganje, hkrati pa ohraniti zadosten kapital in likvidnost za odpornost bančnega sektorja;</w:t>
            </w:r>
          </w:p>
        </w:tc>
        <w:tc>
          <w:tcPr>
            <w:tcW w:w="4876" w:type="dxa"/>
            <w:tcBorders>
              <w:top w:val="nil"/>
              <w:left w:val="nil"/>
              <w:bottom w:val="nil"/>
              <w:right w:val="nil"/>
            </w:tcBorders>
          </w:tcPr>
          <w:p>
            <w:pPr>
              <w:pStyle w:val="Normal6a"/>
            </w:pPr>
            <w:r>
              <w:t>11.</w:t>
            </w:r>
            <w:r>
              <w:tab/>
            </w:r>
            <w:r>
              <w:t xml:space="preserve">ugotavlja, da je skupni količnik navadnega lastniškega temeljnega kapitala bank v enotnem mehanizmu nadzora v </w:t>
            </w:r>
            <w:r>
              <w:rPr>
                <w:b/>
                <w:i/>
              </w:rPr>
              <w:t>tretjem</w:t>
            </w:r>
            <w:r>
              <w:t xml:space="preserve"> četrtletju 2025 dosegel 16,12 %, pri čemer je donosnost lastniškega kapitala znašala </w:t>
            </w:r>
            <w:r>
              <w:rPr>
                <w:b/>
                <w:i/>
              </w:rPr>
              <w:t>9,88</w:t>
            </w:r>
            <w:r>
              <w:t xml:space="preserve"> %, medtem ko se je delež slabih posojil zmanjšal na 2,22 %, delež posojil iz druge skupine pa znaša 9,59 %</w:t>
            </w:r>
            <w:r>
              <w:rPr>
                <w:vertAlign w:val="superscript"/>
              </w:rPr>
              <w:t>15</w:t>
            </w:r>
            <w:r>
              <w:t>; poudarja, da je treba spremljati kreditno tveganje, hkrati pa ohraniti zadosten kapital in likvidnost za odpornost bančnega sektorja;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ECB, Statistični podatki bančnega nadzora (</w:t>
            </w:r>
            <w:r>
              <w:rPr>
                <w:b/>
                <w:i/>
              </w:rPr>
              <w:t>drugo</w:t>
            </w:r>
            <w:r>
              <w:t xml:space="preserve"> četrtletje 2025).</w:t>
            </w:r>
          </w:p>
        </w:tc>
        <w:tc>
          <w:tcPr>
            <w:tcW w:w="4876" w:type="dxa"/>
            <w:tcBorders>
              <w:top w:val="nil"/>
              <w:left w:val="nil"/>
              <w:bottom w:val="nil"/>
              <w:right w:val="nil"/>
            </w:tcBorders>
          </w:tcPr>
          <w:p>
            <w:pPr>
              <w:pStyle w:val="Normal6a"/>
            </w:pPr>
            <w:r>
              <w:rPr>
                <w:vertAlign w:val="superscript"/>
              </w:rPr>
              <w:t>15</w:t>
            </w:r>
            <w:r>
              <w:t xml:space="preserve"> </w:t>
            </w:r>
            <w:r>
              <w:t>ECB, Statistični podatki bančnega nadzora (</w:t>
            </w:r>
            <w:r>
              <w:rPr>
                <w:b/>
                <w:i/>
              </w:rPr>
              <w:t>tretje</w:t>
            </w:r>
            <w:r>
              <w:t xml:space="preserve"> četrtletje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ugotavlja, da je skupni količnik navadnega lastniškega temeljnega kapitala bank v enotnem mehanizmu nadzora v drugem četrtletju 2025 dosegel 16,12 %, pri čemer je donosnost lastniškega kapitala znašala 10,11 %, medtem ko se je delež slabih posojil zmanjšal na 2,22 %, delež posojil iz druge skupine pa znaša 9,59 %</w:t>
            </w:r>
            <w:r>
              <w:rPr>
                <w:b/>
                <w:i/>
                <w:vertAlign w:val="superscript"/>
              </w:rPr>
              <w:t>15</w:t>
            </w:r>
            <w:r>
              <w:t>; poudarja, da je treba spremljati kreditno tveganje, hkrati pa ohraniti zadosten kapital in likvidnost za odpornost bančnega sektorja;</w:t>
            </w:r>
          </w:p>
        </w:tc>
        <w:tc>
          <w:tcPr>
            <w:tcW w:w="4876" w:type="dxa"/>
            <w:tcBorders>
              <w:top w:val="nil"/>
              <w:left w:val="nil"/>
              <w:bottom w:val="nil"/>
              <w:right w:val="nil"/>
            </w:tcBorders>
          </w:tcPr>
          <w:p>
            <w:pPr>
              <w:pStyle w:val="Normal6a"/>
            </w:pPr>
            <w:r>
              <w:t>11.</w:t>
            </w:r>
            <w:r>
              <w:tab/>
            </w:r>
            <w:r>
              <w:t xml:space="preserve">ugotavlja, da je skupni količnik navadnega lastniškega temeljnega kapitala bank v enotnem mehanizmu nadzora v drugem četrtletju 2025 dosegel 16,12 %, pri čemer je donosnost lastniškega kapitala znašala 10,11 %, medtem ko se je delež slabih posojil zmanjšal na 2,22 %, delež posojil iz druge skupine pa znaša 9,59 %; poudarja, da je treba spremljati kreditno tveganje, hkrati pa ohraniti zadosten kapital in likvidnost za odpornost bančnega sektorja; </w:t>
            </w:r>
            <w:r>
              <w:rPr>
                <w:b/>
                <w:i/>
              </w:rPr>
              <w:t>poudarja, da tega napredka pri zmanjševanju tveganja ni spremljal sorazmeren napredek pri delitvi tveganja;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ECB, Statistični podatki bančnega nadzora (drugo četrtletje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opozarja na neugodne makroekonomske razmere in geopolitične dejavnike, ki bi lahko povzročili poslabšanje kakovosti sredstev;</w:t>
            </w:r>
            <w:r>
              <w:t xml:space="preserve"> </w:t>
            </w:r>
            <w:r>
              <w:rPr>
                <w:b/>
                <w:i/>
              </w:rPr>
              <w:t>zato poudarja, kako pomembna sta preudarno upravljanje tveganj in ustrezno oblikovanje rezervacij;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poudarja, da je izpostavljenost bank euroobmočja nacionalnemu državnemu dolgu še vedno visoka, in opozarja na s tem povezana tveganja;</w:t>
            </w:r>
            <w:r>
              <w:t xml:space="preserve"> </w:t>
            </w:r>
            <w:r>
              <w:rPr>
                <w:b/>
                <w:i/>
              </w:rPr>
              <w:t>opominja, da je eden glavnih ciljev bančne unije odpraviti povezavo med bankami in državnim dolgom;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poudarja, da so Odbor za finančno stabilnost, Evropski odbor za sistemska tveganja (ESRB) ter drugi mednarodni in evropski organi večkrat poudarili tveganje, ki izhaja iz nebančnega finančnega sektorja, zlasti zaradi njegove večje povezanosti s tradicionalnim bančnim sektorjem;</w:t>
            </w:r>
            <w:r>
              <w:t xml:space="preserve"> </w:t>
            </w:r>
            <w:r>
              <w:rPr>
                <w:b/>
                <w:i/>
              </w:rPr>
              <w:t>podpira priporočilo Eurosistema, naj se uvedejo testi izjemnih situacij za celoten sistem, da bi se določila in količinsko opredelila tveganja za odpornost ključnih trgov;</w:t>
            </w:r>
            <w:r>
              <w:t xml:space="preserve"> </w:t>
            </w:r>
            <w:r>
              <w:rPr>
                <w:b/>
                <w:i/>
              </w:rPr>
              <w:t>poziva Komisijo, naj preuči, ali v nadzornih orodjih obstajajo vrzeli, tudi v zvezi z morebitnimi likvidnostnimi krči in posledicami za sistemsko tveganje;</w:t>
            </w:r>
            <w:r>
              <w:t xml:space="preserve"> </w:t>
            </w:r>
            <w:r>
              <w:rPr>
                <w:b/>
                <w:i/>
              </w:rPr>
              <w:t>poziva Komisijo, naj predlaga ustrezne zakonodajne predloge za zaščito finančne stabilnosti;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w:t>
            </w:r>
            <w:r>
              <w:rPr>
                <w:b/>
                <w:i/>
              </w:rPr>
              <w:t>je</w:t>
            </w:r>
            <w:r>
              <w:t xml:space="preserve"> treba </w:t>
            </w:r>
            <w:r>
              <w:rPr>
                <w:b/>
                <w:i/>
              </w:rPr>
              <w:t>standarde</w:t>
            </w:r>
            <w:r>
              <w:t xml:space="preserve"> Basel III </w:t>
            </w:r>
            <w:r>
              <w:rPr>
                <w:b/>
                <w:i/>
              </w:rPr>
              <w:t>izvajati pravočasno, v celoti in dosledno, da bi okrepili odpornost in konkurenčnost;</w:t>
            </w:r>
            <w:r>
              <w:t xml:space="preserve"> </w:t>
            </w:r>
            <w:r>
              <w:rPr>
                <w:b/>
                <w:i/>
              </w:rPr>
              <w:t>obžaluje, da prihaja do odstopanj, in poziva Komisijo, naj pregleda sklepe o enakovrednosti z jurisdikcijami, ki ne izvajajo teh standardov</w:t>
            </w:r>
            <w:r>
              <w:t>;</w:t>
            </w:r>
          </w:p>
        </w:tc>
        <w:tc>
          <w:tcPr>
            <w:tcW w:w="4876" w:type="dxa"/>
            <w:tcBorders>
              <w:top w:val="nil"/>
              <w:left w:val="nil"/>
              <w:bottom w:val="nil"/>
              <w:right w:val="nil"/>
            </w:tcBorders>
          </w:tcPr>
          <w:p>
            <w:pPr>
              <w:pStyle w:val="Normal6a"/>
            </w:pPr>
            <w:r>
              <w:t>12.</w:t>
            </w:r>
            <w:r>
              <w:tab/>
            </w:r>
            <w:r>
              <w:t xml:space="preserve">poudarja, da </w:t>
            </w:r>
            <w:r>
              <w:rPr>
                <w:b/>
                <w:i/>
              </w:rPr>
              <w:t>bi bilo</w:t>
            </w:r>
            <w:r>
              <w:t xml:space="preserve"> treba </w:t>
            </w:r>
            <w:r>
              <w:rPr>
                <w:b/>
                <w:i/>
              </w:rPr>
              <w:t>pravila</w:t>
            </w:r>
            <w:r>
              <w:t xml:space="preserve"> Basel III </w:t>
            </w:r>
            <w:r>
              <w:rPr>
                <w:b/>
                <w:i/>
              </w:rPr>
              <w:t>prilagoditi posebnostim evropskega bančnega sektorja ob upoštevanju merila sorazmernosti in uvedbe poenostavitev za manjše banke, kar je v skladu z ugotovitvami projektne skupine Evropske centralne banke na visoki ravni za poenostavitev, ki jo podpira Svet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treba standarde Basel III izvajati </w:t>
            </w:r>
            <w:r>
              <w:rPr>
                <w:b/>
                <w:i/>
              </w:rPr>
              <w:t>pravočasno, v celoti in dosledno</w:t>
            </w:r>
            <w:r>
              <w:t xml:space="preserve">, da bi </w:t>
            </w:r>
            <w:r>
              <w:rPr>
                <w:b/>
                <w:i/>
              </w:rPr>
              <w:t>okrepili odpornost in</w:t>
            </w:r>
            <w:r>
              <w:t xml:space="preserve"> konkurenčnost</w:t>
            </w:r>
            <w:r>
              <w:rPr>
                <w:b/>
                <w:i/>
              </w:rPr>
              <w:t>;</w:t>
            </w:r>
            <w:r>
              <w:t xml:space="preserve"> </w:t>
            </w:r>
            <w:r>
              <w:rPr>
                <w:b/>
                <w:i/>
              </w:rPr>
              <w:t>obžaluje, da prihaja do odstopanj, in poziva Komisijo, naj pregleda sklepe o enakovrednosti z jurisdikcijami, ki ne izvajajo teh standardov</w:t>
            </w:r>
            <w:r>
              <w:t>;</w:t>
            </w:r>
          </w:p>
        </w:tc>
        <w:tc>
          <w:tcPr>
            <w:tcW w:w="4876" w:type="dxa"/>
            <w:tcBorders>
              <w:top w:val="nil"/>
              <w:left w:val="nil"/>
              <w:bottom w:val="nil"/>
              <w:right w:val="nil"/>
            </w:tcBorders>
          </w:tcPr>
          <w:p>
            <w:pPr>
              <w:pStyle w:val="Normal6a"/>
            </w:pPr>
            <w:r>
              <w:t>12.</w:t>
            </w:r>
            <w:r>
              <w:tab/>
            </w:r>
            <w:r>
              <w:t xml:space="preserve">poudarja, da je treba standarde Basel III izvajati </w:t>
            </w:r>
            <w:r>
              <w:rPr>
                <w:b/>
                <w:i/>
              </w:rPr>
              <w:t>na način, ki upošteva svetovni razvoj in potrebo po zaščiti mednarodne konkurenčnosti evropskih bank;</w:t>
            </w:r>
            <w:r>
              <w:t xml:space="preserve"> </w:t>
            </w:r>
            <w:r>
              <w:rPr>
                <w:b/>
                <w:i/>
              </w:rPr>
              <w:t>z zaskrbljenostjo ugotavlja, da so se druge jurisdikcije odločile za manj ambiciozen program izvajanja;</w:t>
            </w:r>
            <w:r>
              <w:t xml:space="preserve"> </w:t>
            </w:r>
            <w:r>
              <w:rPr>
                <w:b/>
                <w:i/>
              </w:rPr>
              <w:t>poudarja</w:t>
            </w:r>
            <w:r>
              <w:t xml:space="preserve">, da bi </w:t>
            </w:r>
            <w:r>
              <w:rPr>
                <w:b/>
                <w:i/>
              </w:rPr>
              <w:t>morala Komisija natančno oceniti, ali je treba odložiti začetek izvajanja, da bi lahko ohranili mednarodno</w:t>
            </w:r>
            <w:r>
              <w:t xml:space="preserve"> konkurenčnost </w:t>
            </w:r>
            <w:r>
              <w:rPr>
                <w:b/>
                <w:i/>
              </w:rPr>
              <w:t>bank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treba </w:t>
            </w:r>
            <w:r>
              <w:rPr>
                <w:b/>
                <w:i/>
              </w:rPr>
              <w:t>standarde</w:t>
            </w:r>
            <w:r>
              <w:t xml:space="preserve"> Basel III </w:t>
            </w:r>
            <w:r>
              <w:rPr>
                <w:b/>
                <w:i/>
              </w:rPr>
              <w:t>izvajati pravočasno, v celoti in dosledno</w:t>
            </w:r>
            <w:r>
              <w:t xml:space="preserve">, da bi </w:t>
            </w:r>
            <w:r>
              <w:rPr>
                <w:b/>
                <w:i/>
              </w:rPr>
              <w:t>okrepili</w:t>
            </w:r>
            <w:r>
              <w:t xml:space="preserve"> odpornost in konkurenčnost; </w:t>
            </w:r>
            <w:r>
              <w:rPr>
                <w:b/>
                <w:i/>
              </w:rPr>
              <w:t>obžaluje, da prihaja do odstopanj, in poziva Komisijo, naj pregleda sklepe o enakovrednosti z jurisdikcijami, ki ne izvajajo teh standardov</w:t>
            </w:r>
            <w:r>
              <w:t>;</w:t>
            </w:r>
          </w:p>
        </w:tc>
        <w:tc>
          <w:tcPr>
            <w:tcW w:w="4876" w:type="dxa"/>
            <w:tcBorders>
              <w:top w:val="nil"/>
              <w:left w:val="nil"/>
              <w:bottom w:val="nil"/>
              <w:right w:val="nil"/>
            </w:tcBorders>
          </w:tcPr>
          <w:p>
            <w:pPr>
              <w:pStyle w:val="Normal6a"/>
            </w:pPr>
            <w:r>
              <w:t>12.</w:t>
            </w:r>
            <w:r>
              <w:tab/>
            </w:r>
            <w:r>
              <w:t xml:space="preserve">poudarja, da je treba </w:t>
            </w:r>
            <w:r>
              <w:rPr>
                <w:b/>
                <w:i/>
              </w:rPr>
              <w:t>zagotoviti izvajanje standardov</w:t>
            </w:r>
            <w:r>
              <w:t xml:space="preserve"> Basel III, da bi </w:t>
            </w:r>
            <w:r>
              <w:rPr>
                <w:b/>
                <w:i/>
              </w:rPr>
              <w:t>povečali</w:t>
            </w:r>
            <w:r>
              <w:t xml:space="preserve"> odpornost in </w:t>
            </w:r>
            <w:r>
              <w:rPr>
                <w:b/>
                <w:i/>
              </w:rPr>
              <w:t>svetovno</w:t>
            </w:r>
            <w:r>
              <w:t xml:space="preserve"> konkurenčnost; </w:t>
            </w:r>
            <w:r>
              <w:rPr>
                <w:b/>
                <w:i/>
              </w:rPr>
              <w:t>ugotavlja, da je izvajanje v nekaterih večjih jurisdikcijah zunaj EU še vedno nejasno, in poudarja, da je ohranjanje finančne stabilnosti, celovitosti baselskega okvira in enakih konkurenčnih pogojev bistveno za zagotavljanje dolgoročne konkurenčnosti v mednarodnem okviru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treba standarde Basel III izvajati pravočasno, v celoti in dosledno, </w:t>
            </w:r>
            <w:r>
              <w:rPr>
                <w:b/>
                <w:i/>
              </w:rPr>
              <w:t>da bi okrepili</w:t>
            </w:r>
            <w:r>
              <w:t xml:space="preserve"> odpornost in konkurenčnost; </w:t>
            </w:r>
            <w:r>
              <w:rPr>
                <w:b/>
                <w:i/>
              </w:rPr>
              <w:t>obžaluje, da prihaja do odstopanj, in</w:t>
            </w:r>
            <w:r>
              <w:t xml:space="preserve"> poziva Komisijo, naj </w:t>
            </w:r>
            <w:r>
              <w:rPr>
                <w:b/>
                <w:i/>
              </w:rPr>
              <w:t>pregleda sklepe o enakovrednosti z jurisdikcijami, ki ne izvajajo teh standardov</w:t>
            </w:r>
            <w:r>
              <w:t>;</w:t>
            </w:r>
          </w:p>
        </w:tc>
        <w:tc>
          <w:tcPr>
            <w:tcW w:w="4876" w:type="dxa"/>
            <w:tcBorders>
              <w:top w:val="nil"/>
              <w:left w:val="nil"/>
              <w:bottom w:val="nil"/>
              <w:right w:val="nil"/>
            </w:tcBorders>
          </w:tcPr>
          <w:p>
            <w:pPr>
              <w:pStyle w:val="Normal6a"/>
            </w:pPr>
            <w:r>
              <w:t>12.</w:t>
            </w:r>
            <w:r>
              <w:tab/>
            </w:r>
            <w:r>
              <w:t xml:space="preserve">poudarja, da je treba standarde Basel III izvajati pravočasno, v celoti in dosledno, </w:t>
            </w:r>
            <w:r>
              <w:rPr>
                <w:b/>
                <w:i/>
              </w:rPr>
              <w:t>dokler krepijo</w:t>
            </w:r>
            <w:r>
              <w:t xml:space="preserve"> odpornost in konkurenčnost; </w:t>
            </w:r>
            <w:r>
              <w:rPr>
                <w:b/>
                <w:i/>
              </w:rPr>
              <w:t>z zaskrbljenostjo ugotavlja, da so si druge jurisdikcije prizadevale za manj ambiciozen program, kar bi lahko ogrozilo enake konkurenčne pogoje na mednarodni ravni;</w:t>
            </w:r>
            <w:r>
              <w:t xml:space="preserve"> poziva Komisijo, naj </w:t>
            </w:r>
            <w:r>
              <w:rPr>
                <w:b/>
                <w:i/>
              </w:rPr>
              <w:t>oceni in zagotovi mednarodno konkurenčnost bank EU, ne da bi pri tem zmanjšala njihovo odpornost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treba standarde Basel III </w:t>
            </w:r>
            <w:r>
              <w:rPr>
                <w:b/>
                <w:i/>
              </w:rPr>
              <w:t>izvajati</w:t>
            </w:r>
            <w:r>
              <w:t xml:space="preserve"> pravočasno, v celoti in dosledno, da bi okrepili odpornost in konkurenčnost; obžaluje</w:t>
            </w:r>
            <w:r>
              <w:rPr>
                <w:b/>
                <w:i/>
              </w:rPr>
              <w:t>, da prihaja do odstopanj, in poziva Komisijo, naj pregleda sklepe o enakovrednosti z jurisdikcijami, ki ne izvajajo teh standardov</w:t>
            </w:r>
            <w:r>
              <w:t>;</w:t>
            </w:r>
          </w:p>
        </w:tc>
        <w:tc>
          <w:tcPr>
            <w:tcW w:w="4876" w:type="dxa"/>
            <w:tcBorders>
              <w:top w:val="nil"/>
              <w:left w:val="nil"/>
              <w:bottom w:val="nil"/>
              <w:right w:val="nil"/>
            </w:tcBorders>
          </w:tcPr>
          <w:p>
            <w:pPr>
              <w:pStyle w:val="Normal6a"/>
            </w:pPr>
            <w:r>
              <w:t>12.</w:t>
            </w:r>
            <w:r>
              <w:tab/>
            </w:r>
            <w:r>
              <w:t xml:space="preserve">poudarja, da je treba standarde Basel III pravočasno, v celoti in dosledno </w:t>
            </w:r>
            <w:r>
              <w:rPr>
                <w:b/>
                <w:i/>
              </w:rPr>
              <w:t>izvajati izključno za mednarodno dejavne banke, za katere so bili ti standardi zasnovani</w:t>
            </w:r>
            <w:r>
              <w:t xml:space="preserve">, da bi okrepili odpornost in konkurenčnost; obžaluje </w:t>
            </w:r>
            <w:r>
              <w:rPr>
                <w:b/>
                <w:i/>
              </w:rPr>
              <w:t>odstopanja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poudarja, da je treba standarde Basel III izvajati pravočasno</w:t>
            </w:r>
            <w:r>
              <w:rPr>
                <w:b/>
                <w:i/>
              </w:rPr>
              <w:t>, v celoti</w:t>
            </w:r>
            <w:r>
              <w:t xml:space="preserve"> in dosledno, da bi okrepili odpornost in konkurenčnost; </w:t>
            </w:r>
            <w:r>
              <w:rPr>
                <w:b/>
                <w:i/>
              </w:rPr>
              <w:t>obžaluje, da prihaja do odstopanj, in</w:t>
            </w:r>
            <w:r>
              <w:t xml:space="preserve"> poziva Komisijo, naj </w:t>
            </w:r>
            <w:r>
              <w:rPr>
                <w:b/>
                <w:i/>
              </w:rPr>
              <w:t>pregleda sklepe</w:t>
            </w:r>
            <w:r>
              <w:t xml:space="preserve"> o enakovrednosti </w:t>
            </w:r>
            <w:r>
              <w:rPr>
                <w:b/>
                <w:i/>
              </w:rPr>
              <w:t>z jurisdikcijami</w:t>
            </w:r>
            <w:r>
              <w:t xml:space="preserve">, ki ne izvajajo </w:t>
            </w:r>
            <w:r>
              <w:rPr>
                <w:b/>
                <w:i/>
              </w:rPr>
              <w:t>teh</w:t>
            </w:r>
            <w:r>
              <w:t xml:space="preserve"> standardov;</w:t>
            </w:r>
          </w:p>
        </w:tc>
        <w:tc>
          <w:tcPr>
            <w:tcW w:w="4876" w:type="dxa"/>
            <w:tcBorders>
              <w:top w:val="nil"/>
              <w:left w:val="nil"/>
              <w:bottom w:val="nil"/>
              <w:right w:val="nil"/>
            </w:tcBorders>
          </w:tcPr>
          <w:p>
            <w:pPr>
              <w:pStyle w:val="Normal6a"/>
            </w:pPr>
            <w:r>
              <w:t>12.</w:t>
            </w:r>
            <w:r>
              <w:tab/>
            </w:r>
            <w:r>
              <w:t xml:space="preserve">poudarja, da je treba standarde Basel III izvajati pravočasno in dosledno, da bi okrepili odpornost in konkurenčnost; </w:t>
            </w:r>
            <w:r>
              <w:rPr>
                <w:b/>
                <w:i/>
              </w:rPr>
              <w:t>se zaveda, da še vedno ni jasno, kako se bodo izvajali standardi okvira Basel III v nekaterih drugih jurisdikcijah, in da to lahko ogrozi enake konkurenčne pogoje na mednarodni ravni;</w:t>
            </w:r>
            <w:r>
              <w:t xml:space="preserve"> </w:t>
            </w:r>
            <w:r>
              <w:rPr>
                <w:b/>
                <w:i/>
              </w:rPr>
              <w:t>poudarja, da bi morala Komisija oceniti, ali bi lahko ciljno usmerjene spremembe prispevale k ohranjanju mednarodne konkurenčnosti bank EU brez oslabitve njihove odpornosti;</w:t>
            </w:r>
            <w:r>
              <w:t xml:space="preserve"> poziva Komisijo, naj </w:t>
            </w:r>
            <w:r>
              <w:rPr>
                <w:b/>
                <w:i/>
              </w:rPr>
              <w:t>oceni, ali je treba pregledati odločitve</w:t>
            </w:r>
            <w:r>
              <w:t xml:space="preserve"> o enakovrednosti</w:t>
            </w:r>
            <w:r>
              <w:rPr>
                <w:b/>
                <w:i/>
              </w:rPr>
              <w:t>, sprejete v jurisdikcijah</w:t>
            </w:r>
            <w:r>
              <w:t xml:space="preserve">, ki ne izvajajo standardov </w:t>
            </w:r>
            <w:r>
              <w:rPr>
                <w:b/>
                <w:i/>
              </w:rPr>
              <w:t>Basel III, da bi ohranili finančno stabilnost finančnega sektorja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treba standarde Basel III </w:t>
            </w:r>
            <w:r>
              <w:rPr>
                <w:b/>
                <w:i/>
              </w:rPr>
              <w:t>izvajati</w:t>
            </w:r>
            <w:r>
              <w:t xml:space="preserve"> pravočasno, v celoti in dosledno, da bi okrepili odpornost in konkurenčnost; obžaluje, da prihaja do odstopanj, in poziva Komisijo, naj </w:t>
            </w:r>
            <w:r>
              <w:rPr>
                <w:b/>
                <w:i/>
              </w:rPr>
              <w:t>pregleda</w:t>
            </w:r>
            <w:r>
              <w:t xml:space="preserve"> sklepe o enakovrednosti z jurisdikcijami, ki ne izvajajo teh standardov;</w:t>
            </w:r>
          </w:p>
        </w:tc>
        <w:tc>
          <w:tcPr>
            <w:tcW w:w="4876" w:type="dxa"/>
            <w:tcBorders>
              <w:top w:val="nil"/>
              <w:left w:val="nil"/>
              <w:bottom w:val="nil"/>
              <w:right w:val="nil"/>
            </w:tcBorders>
          </w:tcPr>
          <w:p>
            <w:pPr>
              <w:pStyle w:val="Normal6a"/>
            </w:pPr>
            <w:r>
              <w:t>12.</w:t>
            </w:r>
            <w:r>
              <w:tab/>
            </w:r>
            <w:r>
              <w:t xml:space="preserve">poudarja, da je treba standarde Basel III </w:t>
            </w:r>
            <w:r>
              <w:rPr>
                <w:b/>
                <w:i/>
              </w:rPr>
              <w:t>uvesti</w:t>
            </w:r>
            <w:r>
              <w:t xml:space="preserve"> pravočasno, v celoti in dosledno, da bi okrepili odpornost in konkurenčnost; obžaluje, da prihaja do odstopanj, in poziva Komisijo, naj </w:t>
            </w:r>
            <w:r>
              <w:rPr>
                <w:b/>
                <w:i/>
              </w:rPr>
              <w:t>ponovno preuči</w:t>
            </w:r>
            <w:r>
              <w:t xml:space="preserve"> sklepe o enakovrednosti z jurisdikcijami, ki ne izvajajo teh standardov; </w:t>
            </w:r>
            <w:r>
              <w:rPr>
                <w:b/>
                <w:i/>
              </w:rPr>
              <w:t>hkrati poudarja, da bi bilo treba pri izvajanju standardov Basel III ohraniti enake konkurenčne pogoje na svetovni ravni, pri tem pa preprečiti, da bi nacionalni organi pri izvajanju pravil EU na tretji ravni ta pravila čezmerno prenašali, in predvideti nenamerne učinke na zmožnost bank EU za financiranje realnega gospodarstva;</w:t>
            </w:r>
            <w:r>
              <w:t xml:space="preserve"> </w:t>
            </w:r>
            <w:r>
              <w:rPr>
                <w:b/>
                <w:i/>
              </w:rPr>
              <w:t>v zvezi s tem pozdravlja pobudo Komisije, da objavi poročilo o konkurenčnosti in povezovanju bančnega sektorja EU, ter poziva h konkretnim predlogom za podporo posojilni zmogljivosti bank, zlasti za potrebe gospodinjstev, malih in srednjih podjetij ter zasebnih in javnih produktivnih naložb, ti predlogi pa naj po potrebi vključujejo ukrepe za podporo učinkoviti uporabi kratkoročnih finančnih instrumentov z nizkim tveganjem, kot sta faktoring in financiranje trgovine;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w:t>
            </w:r>
            <w:r>
              <w:rPr>
                <w:b/>
                <w:i/>
              </w:rPr>
              <w:t>treba standarde</w:t>
            </w:r>
            <w:r>
              <w:t xml:space="preserve"> Basel III </w:t>
            </w:r>
            <w:r>
              <w:rPr>
                <w:b/>
                <w:i/>
              </w:rPr>
              <w:t>izvajati pravočasno, v celoti in dosledno, da bi okrepili</w:t>
            </w:r>
            <w:r>
              <w:t xml:space="preserve"> odpornost in konkurenčnost</w:t>
            </w:r>
            <w:r>
              <w:rPr>
                <w:b/>
                <w:i/>
              </w:rPr>
              <w:t>;</w:t>
            </w:r>
            <w:r>
              <w:t xml:space="preserve"> </w:t>
            </w:r>
            <w:r>
              <w:rPr>
                <w:b/>
                <w:i/>
              </w:rPr>
              <w:t>obžaluje, da prihaja do odstopanj</w:t>
            </w:r>
            <w:r>
              <w:t xml:space="preserve">, </w:t>
            </w:r>
            <w:r>
              <w:rPr>
                <w:b/>
                <w:i/>
              </w:rPr>
              <w:t>in poziva Komisijo, naj</w:t>
            </w:r>
            <w:r>
              <w:t xml:space="preserve"> pregleda </w:t>
            </w:r>
            <w:r>
              <w:rPr>
                <w:b/>
                <w:i/>
              </w:rPr>
              <w:t>sklepe o enakovrednosti z jurisdikcijami, ki ne izvajajo teh standardov</w:t>
            </w:r>
            <w:r>
              <w:t>;</w:t>
            </w:r>
          </w:p>
        </w:tc>
        <w:tc>
          <w:tcPr>
            <w:tcW w:w="4876" w:type="dxa"/>
            <w:tcBorders>
              <w:top w:val="nil"/>
              <w:left w:val="nil"/>
              <w:bottom w:val="nil"/>
              <w:right w:val="nil"/>
            </w:tcBorders>
          </w:tcPr>
          <w:p>
            <w:pPr>
              <w:pStyle w:val="Normal6a"/>
            </w:pPr>
            <w:r>
              <w:t>12.</w:t>
            </w:r>
            <w:r>
              <w:tab/>
            </w:r>
            <w:r>
              <w:t xml:space="preserve">poudarja, da je </w:t>
            </w:r>
            <w:r>
              <w:rPr>
                <w:b/>
                <w:i/>
              </w:rPr>
              <w:t>finančna stabilnost pogoj za učinkovito monetarno politiko in odporen finančni sistem;</w:t>
            </w:r>
            <w:r>
              <w:t xml:space="preserve"> </w:t>
            </w:r>
            <w:r>
              <w:rPr>
                <w:b/>
                <w:i/>
              </w:rPr>
              <w:t>pozdravlja dokončanje in izvajanje okvira</w:t>
            </w:r>
            <w:r>
              <w:t xml:space="preserve"> Basel III</w:t>
            </w:r>
            <w:r>
              <w:rPr>
                <w:b/>
                <w:i/>
              </w:rPr>
              <w:t>, ki bo okrepil</w:t>
            </w:r>
            <w:r>
              <w:t xml:space="preserve"> odpornost in konkurenčnost </w:t>
            </w:r>
            <w:r>
              <w:rPr>
                <w:b/>
                <w:i/>
              </w:rPr>
              <w:t>v EU;</w:t>
            </w:r>
            <w:r>
              <w:t xml:space="preserve"> </w:t>
            </w:r>
            <w:r>
              <w:rPr>
                <w:b/>
                <w:i/>
              </w:rPr>
              <w:t>poudarja, da še vedno ni jasno</w:t>
            </w:r>
            <w:r>
              <w:t xml:space="preserve">, </w:t>
            </w:r>
            <w:r>
              <w:rPr>
                <w:b/>
                <w:i/>
              </w:rPr>
              <w:t>kako se bodo izvajali standardi okvira Basel III v nekaterih drugih jurisdikcijah, kar bi lahko povzročilo tveganje za težave pri enakih konkurenčnih pogojih na mednarodni ravni;</w:t>
            </w:r>
            <w:r>
              <w:t xml:space="preserve"> </w:t>
            </w:r>
            <w:r>
              <w:rPr>
                <w:b/>
                <w:i/>
              </w:rPr>
              <w:t>poudarja, da je pomembno zagotavljati pravo ravnovesje med finančno stabilnostjo, spoštovanjem mednarodnih okvirov in enakimi pogoji na mednarodni ravni, da bi lahko evropske banke enakopravno konkurirale bankam iz drugih jurisdikcij;</w:t>
            </w:r>
            <w:r>
              <w:t xml:space="preserve"> </w:t>
            </w:r>
            <w:r>
              <w:rPr>
                <w:b/>
                <w:i/>
              </w:rPr>
              <w:t>poudarja, da je treba upoštevati evropske posebnosti, da bi zagotovili konkurenčen evropski bančni sektor;</w:t>
            </w:r>
            <w:r>
              <w:t xml:space="preserve"> </w:t>
            </w:r>
            <w:r>
              <w:rPr>
                <w:b/>
                <w:i/>
              </w:rPr>
              <w:t>poudarja pomen doslednega in mednarodno usklajenega izvajanja temeljnega</w:t>
            </w:r>
            <w:r>
              <w:t xml:space="preserve"> pregleda </w:t>
            </w:r>
            <w:r>
              <w:rPr>
                <w:b/>
                <w:i/>
              </w:rPr>
              <w:t>trgovalne knjige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poudarja, da je treba standarde Basel III izvajati pravočasno, v celoti in dosledno, da bi okrepili odpornost in konkurenčnost; </w:t>
            </w:r>
            <w:r>
              <w:rPr>
                <w:b/>
                <w:i/>
              </w:rPr>
              <w:t>obžaluje, da prihaja do odstopanj, in</w:t>
            </w:r>
            <w:r>
              <w:t xml:space="preserve"> poziva Komisijo, naj </w:t>
            </w:r>
            <w:r>
              <w:rPr>
                <w:b/>
                <w:i/>
              </w:rPr>
              <w:t>pregleda</w:t>
            </w:r>
            <w:r>
              <w:t xml:space="preserve"> sklepe o enakovrednosti z jurisdikcijami, ki ne </w:t>
            </w:r>
            <w:r>
              <w:rPr>
                <w:b/>
                <w:i/>
              </w:rPr>
              <w:t>izvajajo teh standardov</w:t>
            </w:r>
            <w:r>
              <w:t>;</w:t>
            </w:r>
          </w:p>
        </w:tc>
        <w:tc>
          <w:tcPr>
            <w:tcW w:w="4876" w:type="dxa"/>
            <w:tcBorders>
              <w:top w:val="nil"/>
              <w:left w:val="nil"/>
              <w:bottom w:val="nil"/>
              <w:right w:val="nil"/>
            </w:tcBorders>
          </w:tcPr>
          <w:p>
            <w:pPr>
              <w:pStyle w:val="Normal6a"/>
            </w:pPr>
            <w:r>
              <w:t>12.</w:t>
            </w:r>
            <w:r>
              <w:tab/>
            </w:r>
            <w:r>
              <w:t xml:space="preserve">poudarja, da je treba standarde Basel III izvajati pravočasno, v celoti in dosledno, da bi okrepili odpornost in konkurenčnost; poziva Komisijo, naj </w:t>
            </w:r>
            <w:r>
              <w:rPr>
                <w:b/>
                <w:i/>
              </w:rPr>
              <w:t>dosledno in na podlagi tveganja oceni</w:t>
            </w:r>
            <w:r>
              <w:t xml:space="preserve"> sklepe o enakovrednosti z jurisdikcijami, ki ne </w:t>
            </w:r>
            <w:r>
              <w:rPr>
                <w:b/>
                <w:i/>
              </w:rPr>
              <w:t>uporabljajo sporazuma, tako da zagotovi enake konkurenčne pogoje na svetovni ravni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poudarja, da je treba standarde Basel III izvajati pravočasno, v celoti in dosledno, da bi okrepili odpornost in konkurenčnost; obžaluje, da prihaja do odstopanj, in poziva Komisijo, naj pregleda sklepe o enakovrednosti z jurisdikcijami, ki ne izvajajo teh standardov;</w:t>
            </w:r>
          </w:p>
        </w:tc>
        <w:tc>
          <w:tcPr>
            <w:tcW w:w="4876" w:type="dxa"/>
            <w:tcBorders>
              <w:top w:val="nil"/>
              <w:left w:val="nil"/>
              <w:bottom w:val="nil"/>
              <w:right w:val="nil"/>
            </w:tcBorders>
          </w:tcPr>
          <w:p>
            <w:pPr>
              <w:pStyle w:val="Normal6a"/>
            </w:pPr>
            <w:r>
              <w:t>12.</w:t>
            </w:r>
            <w:r>
              <w:tab/>
            </w:r>
            <w:r>
              <w:t>poudarja, da je treba standarde Basel III izvajati pravočasno, v celoti in dosledno, da bi okrepili odpornost in konkurenčnost</w:t>
            </w:r>
            <w:r>
              <w:rPr>
                <w:b/>
                <w:i/>
              </w:rPr>
              <w:t>, vključno s temeljnim pregledom trgovalne knjige;</w:t>
            </w:r>
            <w:r>
              <w:t xml:space="preserve"> </w:t>
            </w:r>
            <w:r>
              <w:rPr>
                <w:b/>
                <w:i/>
              </w:rPr>
              <w:t>opozarja, da je bilo v okviru enotnega mehanizma nadzora večkrat ponovljeno, da bi izvajanje temeljnega pregleda trgovalne knjige okrepilo odpornost bank EU in ne bi ogrozilo njihove konkurenčnosti</w:t>
            </w:r>
            <w:r>
              <w:t xml:space="preserve">; obžaluje, da prihaja do odstopanj, in poziva Komisijo, naj pregleda sklepe o enakovrednosti z jurisdikcijami, ki ne izvajajo teh standardov; </w:t>
            </w:r>
            <w:r>
              <w:rPr>
                <w:b/>
                <w:i/>
              </w:rPr>
              <w:t>poudarja, da je bila EU doslej manj skladna z baselskim sporazumom kot nekatere druge mednarodne partnerice;</w:t>
            </w:r>
            <w:r>
              <w:t xml:space="preserve"> </w:t>
            </w:r>
            <w:r>
              <w:rPr>
                <w:b/>
                <w:i/>
              </w:rPr>
              <w:t>meni, da pomanjkljivo izvajanje v drugih mednarodnih jurisdikcijah povečuje tveganja, s katerimi se soočajo banke EU, in da bi bilo treba to ustrezno upoštevati v nadzornem okviru;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poudarja, da je treba standarde Basel III izvajati pravočasno, v celoti in dosledno, da bi okrepili odpornost in konkurenčnost; obžaluje, da prihaja do odstopanj, in poziva Komisijo, naj pregleda sklepe o enakovrednosti z jurisdikcijami, ki ne izvajajo teh standardov;</w:t>
            </w:r>
          </w:p>
        </w:tc>
        <w:tc>
          <w:tcPr>
            <w:tcW w:w="4876" w:type="dxa"/>
            <w:tcBorders>
              <w:top w:val="nil"/>
              <w:left w:val="nil"/>
              <w:bottom w:val="nil"/>
              <w:right w:val="nil"/>
            </w:tcBorders>
          </w:tcPr>
          <w:p>
            <w:pPr>
              <w:pStyle w:val="Normal6a"/>
            </w:pPr>
            <w:r>
              <w:t>12.</w:t>
            </w:r>
            <w:r>
              <w:tab/>
            </w:r>
            <w:r>
              <w:t xml:space="preserve">poudarja, da je treba standarde Basel III izvajati pravočasno, v celoti in dosledno, da bi okrepili odpornost in konkurenčnost; obžaluje, da prihaja do odstopanj, in poziva Komisijo, naj pregleda sklepe o enakovrednosti z jurisdikcijami, ki ne izvajajo teh standardov; </w:t>
            </w:r>
            <w:r>
              <w:rPr>
                <w:b/>
                <w:i/>
              </w:rPr>
              <w:t>poudarja, da odstopanja EU od popolnega izvajanja sporazuma Basel III, vključno s postopnimi prilagoditvami in odloženimi pravili o tržnem tveganju, škodujejo konkurenčnosti in finančni stabilnosti, saj omogočajo regulativno arbitražo in nedosledno tehtanje tveganja;</w:t>
            </w:r>
            <w:r>
              <w:t xml:space="preserve"> </w:t>
            </w:r>
            <w:r>
              <w:rPr>
                <w:b/>
                <w:i/>
              </w:rPr>
              <w:t>ta odstopanja bi bilo treba nujno odpraviti, da bi banke EU uskladili s podobnimi bankami po svetu;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ugotavlja, da so banke vse bolj izpostavljene nebančnim finančnim posrednikom, kar povzroča najrazličnejša tveganja, od likvidnosti do tveganj nasprotne stranke;</w:t>
            </w:r>
            <w:r>
              <w:t xml:space="preserve"> </w:t>
            </w:r>
            <w:r>
              <w:rPr>
                <w:b/>
                <w:i/>
              </w:rPr>
              <w:t>poudarja, da je potreben celovit evropski nadzor nad sektorjem nebančnih finančnih posrednikov;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je seznanjen z ugotovitvami ECB, da visoke kapitalske zahteve ne ovirajo konkurenčnosti bank, temveč zagotavljajo njihovo odpornost in sposobnost financiranja gospodarstva v celotnem ciklu;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obžaluje, da se zapira vedno več bančnih poslovalnic, kar vpliva na ranljive in obrobne skupnosti;</w:t>
            </w:r>
            <w:r>
              <w:t xml:space="preserve"> </w:t>
            </w:r>
            <w:r>
              <w:rPr>
                <w:b/>
                <w:i/>
              </w:rPr>
              <w:t>poudarja, da imajo manjše banke pomembno vlogo pri omogočanju dostopa gospodinjstev do storitev;</w:t>
            </w:r>
            <w:r>
              <w:t xml:space="preserve"> </w:t>
            </w:r>
            <w:r>
              <w:rPr>
                <w:b/>
                <w:i/>
              </w:rPr>
              <w:t>z zaskrbljenostjo ugotavlja, da zaradi umetne inteligence prihaja do izgube delovnih mest;</w:t>
            </w:r>
            <w:r>
              <w:t xml:space="preserve"> </w:t>
            </w:r>
            <w:r>
              <w:rPr>
                <w:b/>
                <w:i/>
              </w:rPr>
              <w:t>poudarja, da je treba ohraniti kakovost delovnih mest, poštene pogoje in enakopraven dostop do bančništva;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obžaluje, da se zapira vedno več</w:t>
            </w:r>
            <w:r>
              <w:t xml:space="preserve"> bančnih poslovalnic</w:t>
            </w:r>
            <w:r>
              <w:rPr>
                <w:b/>
                <w:i/>
              </w:rPr>
              <w:t>, kar vpliva na ranljive in obrobne skupnosti</w:t>
            </w:r>
            <w:r>
              <w:t>; poudarja, da imajo manjše banke pomembno vlogo pri omogočanju dostopa gospodinjstev do storitev</w:t>
            </w:r>
            <w:r>
              <w:rPr>
                <w:b/>
                <w:i/>
              </w:rPr>
              <w:t>;</w:t>
            </w:r>
            <w:r>
              <w:t xml:space="preserve"> </w:t>
            </w:r>
            <w:r>
              <w:rPr>
                <w:b/>
                <w:i/>
              </w:rPr>
              <w:t>z zaskrbljenostjo ugotavlja, da zaradi umetne inteligence prihaja do izgube delovnih mest</w:t>
            </w:r>
            <w:r>
              <w:t xml:space="preserve">; poudarja, da je treba </w:t>
            </w:r>
            <w:r>
              <w:rPr>
                <w:b/>
                <w:i/>
              </w:rPr>
              <w:t>ohraniti kakovost delovnih mest, poštene pogoje in enakopraven dostop do bančništva</w:t>
            </w:r>
            <w:r>
              <w:t>;</w:t>
            </w:r>
          </w:p>
        </w:tc>
        <w:tc>
          <w:tcPr>
            <w:tcW w:w="4876" w:type="dxa"/>
            <w:tcBorders>
              <w:top w:val="nil"/>
              <w:left w:val="nil"/>
              <w:bottom w:val="nil"/>
              <w:right w:val="nil"/>
            </w:tcBorders>
          </w:tcPr>
          <w:p>
            <w:pPr>
              <w:pStyle w:val="Normal6a"/>
            </w:pPr>
            <w:r>
              <w:t>13.</w:t>
            </w:r>
            <w:r>
              <w:tab/>
            </w:r>
            <w:r>
              <w:rPr>
                <w:b/>
                <w:i/>
              </w:rPr>
              <w:t>je seznanjen z vse pogostejšim zapiranjem</w:t>
            </w:r>
            <w:r>
              <w:t xml:space="preserve"> bančnih poslovalnic; poudarja, da imajo manjše banke pomembno vlogo pri omogočanju dostopa gospodinjstev </w:t>
            </w:r>
            <w:r>
              <w:rPr>
                <w:b/>
                <w:i/>
              </w:rPr>
              <w:t>in lokalnih podjetij</w:t>
            </w:r>
            <w:r>
              <w:t xml:space="preserve"> do storitev; poudarja, da je treba </w:t>
            </w:r>
            <w:r>
              <w:rPr>
                <w:b/>
                <w:i/>
              </w:rPr>
              <w:t>nadzorno in bonitetno ureditev prilagoditi velikosti, kompleksnosti in profilu tveganja manjših bank v skladu z načelom sorazmernosti, da bi odpravili nepotrebna regulativna bremena, ki ovirajo njihovo zmožnost za rast, konkurenčnost in nadaljnje delovanje v realnem gospodarstvu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obžaluje, da se zapira vedno več</w:t>
            </w:r>
            <w:r>
              <w:t xml:space="preserve"> bančnih poslovalnic, </w:t>
            </w:r>
            <w:r>
              <w:rPr>
                <w:b/>
                <w:i/>
              </w:rPr>
              <w:t>kar vpliva</w:t>
            </w:r>
            <w:r>
              <w:t xml:space="preserve"> na ranljive in obrobne skupnosti;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w:t>
            </w:r>
          </w:p>
        </w:tc>
        <w:tc>
          <w:tcPr>
            <w:tcW w:w="4876" w:type="dxa"/>
            <w:tcBorders>
              <w:top w:val="nil"/>
              <w:left w:val="nil"/>
              <w:bottom w:val="nil"/>
              <w:right w:val="nil"/>
            </w:tcBorders>
          </w:tcPr>
          <w:p>
            <w:pPr>
              <w:pStyle w:val="Normal6a"/>
            </w:pPr>
            <w:r>
              <w:t>13.</w:t>
            </w:r>
            <w:r>
              <w:tab/>
            </w:r>
            <w:r>
              <w:rPr>
                <w:b/>
                <w:i/>
              </w:rPr>
              <w:t>je seznanjen z vse pogostejšim zapiranjem</w:t>
            </w:r>
            <w:r>
              <w:t xml:space="preserve"> bančnih poslovalnic, </w:t>
            </w:r>
            <w:r>
              <w:rPr>
                <w:b/>
                <w:i/>
              </w:rPr>
              <w:t>ki je v različnih državah članicah različno obsežno;</w:t>
            </w:r>
            <w:r>
              <w:t xml:space="preserve"> </w:t>
            </w:r>
            <w:r>
              <w:rPr>
                <w:b/>
                <w:i/>
              </w:rPr>
              <w:t>priznava, da lahko ta zaprtja pomembno vplivajo</w:t>
            </w:r>
            <w:r>
              <w:t xml:space="preserve"> na ranljive in obrobne skupnosti</w:t>
            </w:r>
            <w:r>
              <w:rPr>
                <w:b/>
                <w:i/>
              </w:rPr>
              <w:t>, hkrati pa poudarja primere inovacij, ki nekaterim uporabnikom zaradi tehnološkega razvoja omogočajo boljše storitve na daljavo;</w:t>
            </w:r>
            <w:r>
              <w:t xml:space="preserve"> </w:t>
            </w:r>
            <w:r>
              <w:rPr>
                <w:b/>
                <w:i/>
              </w:rPr>
              <w:t>opozarja na primere sodelovanja različnih bank pri zagotavljanju fizičnih bančnih storitev strankam kljub zaprtju nekaterih bančnih poslovalnic na podeželskih in mestnih območjih</w:t>
            </w:r>
            <w:r>
              <w:t xml:space="preserve">; poudarja, da imajo manjše banke pomembno vlogo pri omogočanju dostopa gospodinjstev do storitev; </w:t>
            </w:r>
            <w:r>
              <w:rPr>
                <w:b/>
                <w:i/>
              </w:rPr>
              <w:t>poudarja prispevek večjih bank h konkurenčnosti in financiranju evropskega gospodarstva;</w:t>
            </w:r>
            <w:r>
              <w:t xml:space="preserve"> z zaskrbljenostjo ugotavlja, da zaradi umetne inteligence prihaja do izgube delovnih mest</w:t>
            </w:r>
            <w:r>
              <w:rPr>
                <w:b/>
                <w:i/>
              </w:rPr>
              <w:t>, in se zaveda morebitnih nevarnosti, povezanih z umetno inteligenco, ki povzročajo koncentracijo tveganja v bilancah stanja bank</w:t>
            </w:r>
            <w:r>
              <w:t xml:space="preserve">; poudarja, da je treba ohraniti </w:t>
            </w:r>
            <w:r>
              <w:rPr>
                <w:b/>
                <w:i/>
              </w:rPr>
              <w:t>kakovostno obvladovanje tveganj,</w:t>
            </w:r>
            <w:r>
              <w:t xml:space="preserve"> kakovost delovnih mest, poštene pogoje in enakopraven dostop do bančništva;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obžaluje, da se zapira vedno več bančnih poslovalnic, kar vpliva na ranljive in obrobne skupnosti; poudarja, da </w:t>
            </w:r>
            <w:r>
              <w:rPr>
                <w:b/>
                <w:i/>
              </w:rPr>
              <w:t>imajo manjše banke pomembno</w:t>
            </w:r>
            <w:r>
              <w:t xml:space="preserve"> vlogo </w:t>
            </w:r>
            <w:r>
              <w:rPr>
                <w:b/>
                <w:i/>
              </w:rPr>
              <w:t>pri omogočanju</w:t>
            </w:r>
            <w:r>
              <w:t xml:space="preserve"> dostopa </w:t>
            </w:r>
            <w:r>
              <w:rPr>
                <w:b/>
                <w:i/>
              </w:rPr>
              <w:t>gospodinjstev</w:t>
            </w:r>
            <w:r>
              <w:t xml:space="preserve"> do storitev</w:t>
            </w:r>
            <w:r>
              <w:rPr>
                <w:b/>
                <w:i/>
              </w:rPr>
              <w:t>;</w:t>
            </w:r>
            <w:r>
              <w:t xml:space="preserve"> </w:t>
            </w:r>
            <w:r>
              <w:rPr>
                <w:b/>
                <w:i/>
              </w:rPr>
              <w:t>z zaskrbljenostjo ugotavlja, da zaradi umetne inteligence prihaja do izgube delovnih mest;</w:t>
            </w:r>
            <w:r>
              <w:t xml:space="preserve"> </w:t>
            </w:r>
            <w:r>
              <w:rPr>
                <w:b/>
                <w:i/>
              </w:rPr>
              <w:t>poudarja, da je treba ohraniti kakovost delovnih mest, poštene pogoje in enakopraven dostop do bančništva</w:t>
            </w:r>
            <w:r>
              <w:t>;</w:t>
            </w:r>
          </w:p>
        </w:tc>
        <w:tc>
          <w:tcPr>
            <w:tcW w:w="4876" w:type="dxa"/>
            <w:tcBorders>
              <w:top w:val="nil"/>
              <w:left w:val="nil"/>
              <w:bottom w:val="nil"/>
              <w:right w:val="nil"/>
            </w:tcBorders>
          </w:tcPr>
          <w:p>
            <w:pPr>
              <w:pStyle w:val="Normal6a"/>
            </w:pPr>
            <w:r>
              <w:t>13.</w:t>
            </w:r>
            <w:r>
              <w:tab/>
            </w:r>
            <w:r>
              <w:t xml:space="preserve">obžaluje, da se zapira vedno več bančnih poslovalnic, kar vpliva na ranljive in obrobne skupnosti; poudarja, da </w:t>
            </w:r>
            <w:r>
              <w:rPr>
                <w:b/>
                <w:i/>
              </w:rPr>
              <w:t>je ta trend vsaj delno posledica pretiranih regulativnih bremen;</w:t>
            </w:r>
            <w:r>
              <w:t xml:space="preserve"> </w:t>
            </w:r>
            <w:r>
              <w:rPr>
                <w:b/>
                <w:i/>
              </w:rPr>
              <w:t>poudarja</w:t>
            </w:r>
            <w:r>
              <w:t xml:space="preserve"> vlogo </w:t>
            </w:r>
            <w:r>
              <w:rPr>
                <w:b/>
                <w:i/>
              </w:rPr>
              <w:t>manjših bank pri zagotavljanju</w:t>
            </w:r>
            <w:r>
              <w:t xml:space="preserve"> dostopa do storitev </w:t>
            </w:r>
            <w:r>
              <w:rPr>
                <w:b/>
                <w:i/>
              </w:rPr>
              <w:t>gospodinjstvom in potrebo po nadaljnjem razvoju ureditve za male banke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obžaluje, da se zapira vedno več bančnih poslovalnic, kar vpliva na ranljive in obrobne skupnosti;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w:t>
            </w:r>
          </w:p>
        </w:tc>
        <w:tc>
          <w:tcPr>
            <w:tcW w:w="4876" w:type="dxa"/>
            <w:tcBorders>
              <w:top w:val="nil"/>
              <w:left w:val="nil"/>
              <w:bottom w:val="nil"/>
              <w:right w:val="nil"/>
            </w:tcBorders>
          </w:tcPr>
          <w:p>
            <w:pPr>
              <w:pStyle w:val="Normal6a"/>
            </w:pPr>
            <w:r>
              <w:t>13.</w:t>
            </w:r>
            <w:r>
              <w:tab/>
            </w:r>
            <w:r>
              <w:t xml:space="preserve">obžaluje, da se zapira vedno več bančnih poslovalnic, kar vpliva na ranljive in obrobne skupnosti; </w:t>
            </w:r>
            <w:r>
              <w:rPr>
                <w:b/>
                <w:i/>
              </w:rPr>
              <w:t>opozarja na pravico državljanov do dostopa do osnovnih finančnih storitev;</w:t>
            </w:r>
            <w:r>
              <w:t xml:space="preserve"> poudarja, da imajo manjše banke pomembno vlogo pri omogočanju dostopa gospodinjstev do storitev; </w:t>
            </w:r>
            <w:r>
              <w:rPr>
                <w:b/>
                <w:i/>
              </w:rPr>
              <w:t>poudarja, da raznolikost bančnih poslovnih modelov povečuje odpornost finančnega sistema;</w:t>
            </w:r>
            <w:r>
              <w:t xml:space="preserve"> z zaskrbljenostjo ugotavlja, da zaradi umetne inteligence prihaja do izgube delovnih mest</w:t>
            </w:r>
            <w:r>
              <w:rPr>
                <w:b/>
                <w:i/>
              </w:rPr>
              <w:t>;</w:t>
            </w:r>
            <w:r>
              <w:t xml:space="preserve"> </w:t>
            </w:r>
            <w:r>
              <w:rPr>
                <w:b/>
                <w:i/>
              </w:rPr>
              <w:t>poziva kreditne institucije, naj izvajajo politike preusposabljanja in zagotovijo človeški nadzor nad avtomatiziranimi odločitvami</w:t>
            </w:r>
            <w:r>
              <w:t>; poudarja, da je treba ohraniti kakovost delovnih mest, poštene pogoje in enakopraven dostop do bančništva;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obžaluje, da se zapira vedno več bančnih poslovalnic, kar vpliva na ranljive </w:t>
            </w:r>
            <w:r>
              <w:rPr>
                <w:b/>
                <w:i/>
              </w:rPr>
              <w:t>in obrobne</w:t>
            </w:r>
            <w:r>
              <w:t xml:space="preserve"> skupnosti; poudarja, da imajo manjše banke pomembno vlogo pri omogočanju dostopa gospodinjstev do storitev; </w:t>
            </w:r>
            <w:r>
              <w:rPr>
                <w:b/>
                <w:i/>
              </w:rPr>
              <w:t>z zaskrbljenostjo ugotavlja, da zaradi</w:t>
            </w:r>
            <w:r>
              <w:t xml:space="preserve"> umetne inteligence </w:t>
            </w:r>
            <w:r>
              <w:rPr>
                <w:b/>
                <w:i/>
              </w:rPr>
              <w:t>prihaja do izgube delovnih mest;</w:t>
            </w:r>
            <w:r>
              <w:t xml:space="preserve"> </w:t>
            </w:r>
            <w:r>
              <w:rPr>
                <w:b/>
                <w:i/>
              </w:rPr>
              <w:t>poudarja, da je treba ohraniti kakovost</w:t>
            </w:r>
            <w:r>
              <w:t xml:space="preserve"> delovnih mest, </w:t>
            </w:r>
            <w:r>
              <w:rPr>
                <w:b/>
                <w:i/>
              </w:rPr>
              <w:t>poštene pogoje in enakopraven dostop</w:t>
            </w:r>
            <w:r>
              <w:t xml:space="preserve"> do bančništva;</w:t>
            </w:r>
          </w:p>
        </w:tc>
        <w:tc>
          <w:tcPr>
            <w:tcW w:w="4876" w:type="dxa"/>
            <w:tcBorders>
              <w:top w:val="nil"/>
              <w:left w:val="nil"/>
              <w:bottom w:val="nil"/>
              <w:right w:val="nil"/>
            </w:tcBorders>
          </w:tcPr>
          <w:p>
            <w:pPr>
              <w:pStyle w:val="Normal6a"/>
            </w:pPr>
            <w:r>
              <w:t>13.</w:t>
            </w:r>
            <w:r>
              <w:tab/>
            </w:r>
            <w:r>
              <w:t xml:space="preserve">obžaluje, da se </w:t>
            </w:r>
            <w:r>
              <w:rPr>
                <w:b/>
                <w:i/>
              </w:rPr>
              <w:t>na podeželju</w:t>
            </w:r>
            <w:r>
              <w:t xml:space="preserve"> zapira vedno več bančnih poslovalnic, kar vpliva na ranljive skupnosti; poudarja, da imajo manjše banke pomembno vlogo pri omogočanju dostopa gospodinjstev do storitev; </w:t>
            </w:r>
            <w:r>
              <w:rPr>
                <w:b/>
                <w:i/>
              </w:rPr>
              <w:t>poudarja pomen digitalizacije in</w:t>
            </w:r>
            <w:r>
              <w:t xml:space="preserve"> umetne inteligence </w:t>
            </w:r>
            <w:r>
              <w:rPr>
                <w:b/>
                <w:i/>
              </w:rPr>
              <w:t>pri krepitvi učinkovitosti bančnega sektorja, kot so racionalizacija operacij, zmanjšanje stroškov ter izboljšanje hitrosti in kakovosti storitev za stranke ob hkratnem zagotavljanju kakovosti</w:t>
            </w:r>
            <w:r>
              <w:t xml:space="preserve"> delovnih mest, </w:t>
            </w:r>
            <w:r>
              <w:rPr>
                <w:b/>
                <w:i/>
              </w:rPr>
              <w:t>poštenih pogojev in pravičnega dostopa</w:t>
            </w:r>
            <w:r>
              <w:t xml:space="preserve"> do bančništva;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obžaluje, da se zapira vedno več bančnih poslovalnic, kar vpliva na ranljive in obrobne skupnosti;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w:t>
            </w:r>
          </w:p>
        </w:tc>
        <w:tc>
          <w:tcPr>
            <w:tcW w:w="4876" w:type="dxa"/>
            <w:tcBorders>
              <w:top w:val="nil"/>
              <w:left w:val="nil"/>
              <w:bottom w:val="nil"/>
              <w:right w:val="nil"/>
            </w:tcBorders>
          </w:tcPr>
          <w:p>
            <w:pPr>
              <w:pStyle w:val="Normal6a"/>
            </w:pPr>
            <w:r>
              <w:t>13.</w:t>
            </w:r>
            <w:r>
              <w:tab/>
            </w:r>
            <w:r>
              <w:t>obžaluje, da se zapira vedno več bančnih poslovalnic, kar vpliva na ranljive in obrobne skupnosti</w:t>
            </w:r>
            <w:r>
              <w:rPr>
                <w:b/>
                <w:i/>
              </w:rPr>
              <w:t>, med drugim zaradi vse večjih regulativnih bremen</w:t>
            </w:r>
            <w:r>
              <w:t xml:space="preserve">;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 </w:t>
            </w:r>
            <w:r>
              <w:rPr>
                <w:b/>
                <w:i/>
              </w:rPr>
              <w:t>pozdravlja pristop k izvajanju režima malega bančništva;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obžaluje, da se zapira vedno več bančnih poslovalnic, kar vpliva na ranljive in obrobne skupnosti;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w:t>
            </w:r>
          </w:p>
        </w:tc>
        <w:tc>
          <w:tcPr>
            <w:tcW w:w="4876" w:type="dxa"/>
            <w:tcBorders>
              <w:top w:val="nil"/>
              <w:left w:val="nil"/>
              <w:bottom w:val="nil"/>
              <w:right w:val="nil"/>
            </w:tcBorders>
          </w:tcPr>
          <w:p>
            <w:pPr>
              <w:pStyle w:val="Normal6a"/>
            </w:pPr>
            <w:r>
              <w:t>13.</w:t>
            </w:r>
            <w:r>
              <w:tab/>
            </w:r>
            <w:r>
              <w:t>obžaluje, da se zapira vedno več bančnih poslovalnic, kar vpliva na ranljive in obrobne skupnosti</w:t>
            </w:r>
            <w:r>
              <w:rPr>
                <w:b/>
                <w:i/>
              </w:rPr>
              <w:t>, deloma zaradi vse večjih regulativnih bremen</w:t>
            </w:r>
            <w:r>
              <w:t xml:space="preserve">;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 </w:t>
            </w:r>
            <w:r>
              <w:rPr>
                <w:b/>
                <w:i/>
              </w:rPr>
              <w:t>pozdravlja pristop k izvajanju režima malega bančništva;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obžaluje, da se zapira vedno več bančnih poslovalnic, </w:t>
            </w:r>
            <w:r>
              <w:rPr>
                <w:b/>
                <w:i/>
              </w:rPr>
              <w:t>kar vpliva</w:t>
            </w:r>
            <w:r>
              <w:t xml:space="preserve"> na ranljive in obrobne skupnosti;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w:t>
            </w:r>
          </w:p>
        </w:tc>
        <w:tc>
          <w:tcPr>
            <w:tcW w:w="4876" w:type="dxa"/>
            <w:tcBorders>
              <w:top w:val="nil"/>
              <w:left w:val="nil"/>
              <w:bottom w:val="nil"/>
              <w:right w:val="nil"/>
            </w:tcBorders>
          </w:tcPr>
          <w:p>
            <w:pPr>
              <w:pStyle w:val="Normal6a"/>
            </w:pPr>
            <w:r>
              <w:t>13.</w:t>
            </w:r>
            <w:r>
              <w:tab/>
            </w:r>
            <w:r>
              <w:t xml:space="preserve">obžaluje, da se zapira vedno več bančnih poslovalnic, </w:t>
            </w:r>
            <w:r>
              <w:rPr>
                <w:b/>
                <w:i/>
              </w:rPr>
              <w:t>deloma zaradi vse večjih regulativnih bremen;</w:t>
            </w:r>
            <w:r>
              <w:t xml:space="preserve"> </w:t>
            </w:r>
            <w:r>
              <w:rPr>
                <w:b/>
                <w:i/>
              </w:rPr>
              <w:t>v zvezi s tem pozdravlja pristop k izvajanju režima malega bančništva;</w:t>
            </w:r>
            <w:r>
              <w:t xml:space="preserve"> </w:t>
            </w:r>
            <w:r>
              <w:rPr>
                <w:b/>
                <w:i/>
              </w:rPr>
              <w:t>ugotavlja tudi, da ta zaprtja nesorazmerno vplivajo</w:t>
            </w:r>
            <w:r>
              <w:t xml:space="preserve"> na ranljive in obrobne skupnosti; poudarja, da imajo manjše banke pomembno vlogo pri omogočanju dostopa gospodinjstev do storitev; z zaskrbljenostjo ugotavlja, da zaradi umetne inteligence prihaja do izgube delovnih mest; poudarja, da je treba ohraniti kakovost delovnih mest, poštene pogoje in enakopraven dostop do bančništva;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opozarja, da vse pogosteje prihaja do zapiranja bančnih podružnic, kar je skrb zbujajoče, saj bi lahko nekatera območja ostala povsem brez njih, zaradi tega pa so še posebej prizadeti najbolj ranljivi državljani in območja EU, ki so digitalno najbolj zapostavljena;</w:t>
            </w:r>
            <w:r>
              <w:t xml:space="preserve"> </w:t>
            </w:r>
            <w:r>
              <w:rPr>
                <w:b/>
                <w:i/>
              </w:rPr>
              <w:t>poudarja, da imajo srednje velike in manjše banke bistveno vlogo pri zagotavljanju osnovnih bančnih storitev, zlasti na podeželskih, gorskih, celinskih, otoških in najbolj oddaljenih območjih EU, s čimer podpirajo družine, mala in srednja podjetja ter lokalna gospodarstva;</w:t>
            </w:r>
            <w:r>
              <w:t xml:space="preserve"> </w:t>
            </w:r>
            <w:r>
              <w:rPr>
                <w:b/>
                <w:i/>
              </w:rPr>
              <w:t>poudarja, da je treba subjektom, ki opravljajo pomembno socialno-ekonomsko funkcijo, zmanjšati regulativno breme, tako da se pri bančnem nadzoru uporabi načelo sorazmernosti;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priznava strukturne spremembe v bančnih poslovnih modelih, vključno s tistimi, ki so posledica digitalizacije, in poudarja, da je treba družinam ter malim in srednjim podjetjem še naprej zagotavljati učinkovit dostop do osnovnih finančnih storitev;</w:t>
            </w:r>
            <w:r>
              <w:t xml:space="preserve"> </w:t>
            </w:r>
            <w:r>
              <w:rPr>
                <w:b/>
                <w:i/>
              </w:rPr>
              <w:t>poudarja vlogo, ki jo lahko imajo pri tem manjši subjekti in novi digitalni kanali;</w:t>
            </w:r>
            <w:r>
              <w:t xml:space="preserve"> </w:t>
            </w:r>
            <w:r>
              <w:rPr>
                <w:b/>
                <w:i/>
              </w:rPr>
              <w:t>poudarja, da je treba uvajanje novih tehnologij, vključno z umetno inteligenco, upravljati odgovorno ter spodbujati prilagajanje znanj in spretnosti ter produktivnost, ne da bi pri tem ovirali inovacije in konkurenčnost evropskega finančnega sektorja;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poziva Evropsko komisijo, naj preuči ustreznost pobud, s katerimi naj bi na enoten način na celotnem ozemlju držav članic zagotovili minimalni fizični dostop do finančnih storitev, pri čemer naj razmisli o tem, da bi kot ukrep proti zapiranju bančnih podružnic del povečanih dobičkov namenili za podporo njihovi mreži;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se zaveda</w:t>
            </w:r>
            <w:r>
              <w:t xml:space="preserve"> tveganj in priložnosti</w:t>
            </w:r>
            <w:r>
              <w:rPr>
                <w:b/>
                <w:i/>
              </w:rPr>
              <w:t>, povezanih s kripto</w:t>
            </w:r>
            <w:r>
              <w:t xml:space="preserve"> sredstvi; poziva k </w:t>
            </w:r>
            <w:r>
              <w:rPr>
                <w:b/>
                <w:i/>
              </w:rPr>
              <w:t>doslednemu</w:t>
            </w:r>
            <w:r>
              <w:t xml:space="preserve"> nadzoru, </w:t>
            </w:r>
            <w:r>
              <w:rPr>
                <w:b/>
                <w:i/>
              </w:rPr>
              <w:t>da se zagotovi, da bodo inovacije v javnem interesu</w:t>
            </w:r>
            <w:r>
              <w:t>; poziva organe EU in nacionalne organe, naj spremljajo izpostavljenost, obravnavajo špekulativna tveganja, se borijo proti finančnemu kriminalu in zaščitijo potrošnike;</w:t>
            </w:r>
          </w:p>
        </w:tc>
        <w:tc>
          <w:tcPr>
            <w:tcW w:w="4876" w:type="dxa"/>
            <w:tcBorders>
              <w:top w:val="nil"/>
              <w:left w:val="nil"/>
              <w:bottom w:val="nil"/>
              <w:right w:val="nil"/>
            </w:tcBorders>
          </w:tcPr>
          <w:p>
            <w:pPr>
              <w:pStyle w:val="Normal6a"/>
            </w:pPr>
            <w:r>
              <w:t>14.</w:t>
            </w:r>
            <w:r>
              <w:tab/>
            </w:r>
            <w:r>
              <w:rPr>
                <w:b/>
                <w:i/>
              </w:rPr>
              <w:t>priznava tokenizacijo</w:t>
            </w:r>
            <w:r>
              <w:t xml:space="preserve"> tveganj in priložnosti </w:t>
            </w:r>
            <w:r>
              <w:rPr>
                <w:b/>
                <w:i/>
              </w:rPr>
              <w:t>v zvezi s finančnimi</w:t>
            </w:r>
            <w:r>
              <w:t xml:space="preserve"> sredstvi; poziva k </w:t>
            </w:r>
            <w:r>
              <w:rPr>
                <w:b/>
                <w:i/>
              </w:rPr>
              <w:t>sorazmernemu pristopu k regulaciji in</w:t>
            </w:r>
            <w:r>
              <w:t xml:space="preserve"> nadzoru, </w:t>
            </w:r>
            <w:r>
              <w:rPr>
                <w:b/>
                <w:i/>
              </w:rPr>
              <w:t>ki bo temeljil na načelih in ne bo oviral inovacij</w:t>
            </w:r>
            <w:r>
              <w:t>; poziva organe EU in nacionalne organe, naj spremljajo izpostavljenost, obravnavajo špekulativna tveganja, se borijo proti finančnemu kriminalu in zaščitijo potrošnike;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se zaveda tveganj in priložnosti, povezanih s kripto sredstvi</w:t>
            </w:r>
            <w:r>
              <w:t xml:space="preserve">; poziva k doslednemu nadzoru, da se zagotovi, da bodo inovacije v javnem interesu; poziva organe EU in nacionalne organe, naj spremljajo izpostavljenost, obravnavajo špekulativna </w:t>
            </w:r>
            <w:r>
              <w:rPr>
                <w:b/>
                <w:i/>
              </w:rPr>
              <w:t>tveganja</w:t>
            </w:r>
            <w:r>
              <w:t>, se borijo proti finančnemu kriminalu in zaščitijo potrošnike;</w:t>
            </w:r>
          </w:p>
        </w:tc>
        <w:tc>
          <w:tcPr>
            <w:tcW w:w="4876" w:type="dxa"/>
            <w:tcBorders>
              <w:top w:val="nil"/>
              <w:left w:val="nil"/>
              <w:bottom w:val="nil"/>
              <w:right w:val="nil"/>
            </w:tcBorders>
          </w:tcPr>
          <w:p>
            <w:pPr>
              <w:pStyle w:val="Normal6a"/>
            </w:pPr>
            <w:r>
              <w:t>14.</w:t>
            </w:r>
            <w:r>
              <w:tab/>
            </w:r>
            <w:r>
              <w:rPr>
                <w:b/>
                <w:i/>
              </w:rPr>
              <w:t>poudarja tveganja v zvezi s kriptosredstvi</w:t>
            </w:r>
            <w:r>
              <w:t xml:space="preserve">; poziva k doslednemu nadzoru, da se zagotovi, da bodo inovacije v javnem interesu; poziva organe EU in nacionalne organe, naj spremljajo izpostavljenost, obravnavajo </w:t>
            </w:r>
            <w:r>
              <w:rPr>
                <w:b/>
                <w:i/>
              </w:rPr>
              <w:t>tveganja,</w:t>
            </w:r>
            <w:r>
              <w:t xml:space="preserve"> špekulativna </w:t>
            </w:r>
            <w:r>
              <w:rPr>
                <w:b/>
                <w:i/>
              </w:rPr>
              <w:t>ravnanja</w:t>
            </w:r>
            <w:r>
              <w:t>, se borijo proti finančnemu kriminalu in zaščitijo potrošnike;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se zaveda tveganj in priložnosti, povezanih s kripto sredstvi</w:t>
            </w:r>
            <w:r>
              <w:t>; poziva k doslednemu nadzoru, da se zagotovi, da bodo inovacije v javnem interesu; poziva organe EU in nacionalne organe, naj spremljajo izpostavljenost, obravnavajo špekulativna tveganja, se borijo proti finančnemu kriminalu in zaščitijo potrošnike;</w:t>
            </w:r>
          </w:p>
        </w:tc>
        <w:tc>
          <w:tcPr>
            <w:tcW w:w="4876" w:type="dxa"/>
            <w:tcBorders>
              <w:top w:val="nil"/>
              <w:left w:val="nil"/>
              <w:bottom w:val="nil"/>
              <w:right w:val="nil"/>
            </w:tcBorders>
          </w:tcPr>
          <w:p>
            <w:pPr>
              <w:pStyle w:val="Normal6a"/>
            </w:pPr>
            <w:r>
              <w:t>14.</w:t>
            </w:r>
            <w:r>
              <w:tab/>
            </w:r>
            <w:r>
              <w:rPr>
                <w:b/>
                <w:i/>
              </w:rPr>
              <w:t>poudarja posebna tveganja, ki jih predstavljajo kriptosredstva;</w:t>
            </w:r>
            <w:r>
              <w:t xml:space="preserve"> </w:t>
            </w:r>
            <w:r>
              <w:rPr>
                <w:b/>
                <w:i/>
              </w:rPr>
              <w:t>opozarja, da so kriptosredstva zelo nestanovitna in neproduktivna sredstva, ki se večinoma uporabljajo za špekulativne namene</w:t>
            </w:r>
            <w:r>
              <w:t>; poziva k doslednemu nadzoru, da se zagotovi, da bodo inovacije v javnem interesu; poziva organe EU in nacionalne organe, naj spremljajo izpostavljenost, obravnavajo špekulativna tveganja, se borijo proti finančnemu kriminalu in zaščitijo potrošnike;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se zaveda tveganj in priložnosti, povezanih s kripto sredstvi; poziva k doslednemu nadzoru</w:t>
            </w:r>
            <w:r>
              <w:rPr>
                <w:b/>
                <w:i/>
              </w:rPr>
              <w:t>, da se zagotovi, da bodo inovacije v javnem interesu</w:t>
            </w:r>
            <w:r>
              <w:t>; poziva organe EU in nacionalne organe, naj spremljajo izpostavljenost, obravnavajo špekulativna tveganja, se borijo proti finančnemu kriminalu in zaščitijo potrošnike;</w:t>
            </w:r>
          </w:p>
        </w:tc>
        <w:tc>
          <w:tcPr>
            <w:tcW w:w="4876" w:type="dxa"/>
            <w:tcBorders>
              <w:top w:val="nil"/>
              <w:left w:val="nil"/>
              <w:bottom w:val="nil"/>
              <w:right w:val="nil"/>
            </w:tcBorders>
          </w:tcPr>
          <w:p>
            <w:pPr>
              <w:pStyle w:val="Normal6a"/>
            </w:pPr>
            <w:r>
              <w:t>14.</w:t>
            </w:r>
            <w:r>
              <w:tab/>
            </w:r>
            <w:r>
              <w:t xml:space="preserve">se zaveda tveganj in priložnosti, povezanih s kripto sredstvi; poziva k doslednemu </w:t>
            </w:r>
            <w:r>
              <w:rPr>
                <w:b/>
                <w:i/>
              </w:rPr>
              <w:t>in inovacijam prijaznemu</w:t>
            </w:r>
            <w:r>
              <w:t xml:space="preserve"> nadzoru; poziva organe EU in nacionalne organe, naj spremljajo izpostavljenost, obravnavajo špekulativna tveganja, se borijo proti finančnemu kriminalu in zaščitijo potrošnike;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se zaveda tveganj in priložnosti, povezanih s kripto sredstvi; poziva k </w:t>
            </w:r>
            <w:r>
              <w:rPr>
                <w:b/>
                <w:i/>
              </w:rPr>
              <w:t>doslednemu</w:t>
            </w:r>
            <w:r>
              <w:t xml:space="preserve"> nadzoru, da se zagotovi, da bodo inovacije v javnem interesu; poziva organe EU in nacionalne organe, naj spremljajo izpostavljenost, obravnavajo špekulativna tveganja, se borijo proti finančnemu kriminalu in zaščitijo potrošnike;</w:t>
            </w:r>
          </w:p>
        </w:tc>
        <w:tc>
          <w:tcPr>
            <w:tcW w:w="4876" w:type="dxa"/>
            <w:tcBorders>
              <w:top w:val="nil"/>
              <w:left w:val="nil"/>
              <w:bottom w:val="nil"/>
              <w:right w:val="nil"/>
            </w:tcBorders>
          </w:tcPr>
          <w:p>
            <w:pPr>
              <w:pStyle w:val="Normal6a"/>
            </w:pPr>
            <w:r>
              <w:t>14.</w:t>
            </w:r>
            <w:r>
              <w:tab/>
            </w:r>
            <w:r>
              <w:t xml:space="preserve">se zaveda tveganj in priložnosti, povezanih s kripto sredstvi; poziva k </w:t>
            </w:r>
            <w:r>
              <w:rPr>
                <w:b/>
                <w:i/>
              </w:rPr>
              <w:t>strogemu</w:t>
            </w:r>
            <w:r>
              <w:t xml:space="preserve"> nadzoru, da se zagotovi, da bodo inovacije v javnem interesu; poziva organe EU in nacionalne organe, naj spremljajo izpostavljenost, obravnavajo špekulativna tveganja, se borijo proti finančnemu kriminalu in zaščitijo potrošnike;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se zaveda tveganj in priložnosti, povezanih s kripto sredstvi; poziva k doslednemu nadzoru, da se zagotovi, da bodo inovacije v javnem interesu; poziva organe EU in nacionalne organe, naj spremljajo izpostavljenost, obravnavajo špekulativna tveganja, se borijo proti finančnemu kriminalu in zaščitijo potrošnike;</w:t>
            </w:r>
          </w:p>
        </w:tc>
        <w:tc>
          <w:tcPr>
            <w:tcW w:w="4876" w:type="dxa"/>
            <w:tcBorders>
              <w:top w:val="nil"/>
              <w:left w:val="nil"/>
              <w:bottom w:val="nil"/>
              <w:right w:val="nil"/>
            </w:tcBorders>
          </w:tcPr>
          <w:p>
            <w:pPr>
              <w:pStyle w:val="Normal6a"/>
            </w:pPr>
            <w:r>
              <w:t>14.</w:t>
            </w:r>
            <w:r>
              <w:tab/>
            </w:r>
            <w:r>
              <w:t xml:space="preserve">se zaveda tveganj in priložnosti, povezanih s kripto sredstvi; poziva k doslednemu nadzoru, da se zagotovi, da bodo inovacije v javnem interesu; poziva organe EU in nacionalne organe, naj spremljajo izpostavljenost, obravnavajo špekulativna tveganja, se borijo proti finančnemu kriminalu in zaščitijo potrošnike; </w:t>
            </w:r>
            <w:r>
              <w:rPr>
                <w:b/>
                <w:i/>
              </w:rPr>
              <w:t>poudarja pomen svetovnih standardov na tem področju in potrebo po preučitvi načinov za spodbujanje razvoja stabilnih kovancev, denominiranih v eurih, da bi ohranili monetarno suverenost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Komisijo, EBA in pristojne nacionalne organe v bančni uniji, naj zagotovijo strogo, dosledno in natančno izvajanje in izvrševanje Uredbe (EU) 2023/1114 (MiCA) kot potrebno dopolnitev bančnega okvira Unije za finančno stabilnost;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priznava tveganja, ki jih za banke EU predstavljajo večkrat izdani stabilni kovanci iz tretjih držav, in da bi regulativna arbitraža med jurisdikcijami lahko povzročila naval na banke EU in imela učinke prelivanja;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poziva Komisijo, EBA in pristojne nacionalne organe, naj ustrezno upoštevajo mnenja, nasvete in priporočila ECB in ESRB;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poudarja, da bi se z vsako popustljivostjo, razdrobljenostjo ali izjemami pri nadzoru nad uporabo uredbe o trgih kriptosredstev povečalo tveganje masovnega zatekanja k stabilnim kovancem in širjenja negativnih učinkov na banke, trge državnih dolžniških instrumentov in plačilne sisteme v bančni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pozdravlja reformo kriznega upravljanja in jamstva za vloge za usklajeno</w:t>
            </w:r>
            <w:r>
              <w:t xml:space="preserve"> krizno upravljanje in </w:t>
            </w:r>
            <w:r>
              <w:rPr>
                <w:b/>
                <w:i/>
              </w:rPr>
              <w:t>jamstvo</w:t>
            </w:r>
            <w:r>
              <w:t xml:space="preserve"> za vloge</w:t>
            </w:r>
            <w:r>
              <w:rPr>
                <w:b/>
                <w:i/>
              </w:rPr>
              <w:t>, ki krepi stabilnost ter ščiti prihranke in davkoplačevalce;</w:t>
            </w:r>
            <w:r>
              <w:t xml:space="preserve"> </w:t>
            </w:r>
            <w:r>
              <w:rPr>
                <w:b/>
                <w:i/>
              </w:rPr>
              <w:t>poudarja, da manjše banke potrebujejo prožnost in da morajo imeti organi učinkovita orodja za zagotovitev odporne in družbeno odgovorne bančne unije</w:t>
            </w:r>
            <w:r>
              <w:t>;</w:t>
            </w:r>
          </w:p>
        </w:tc>
        <w:tc>
          <w:tcPr>
            <w:tcW w:w="4876" w:type="dxa"/>
            <w:tcBorders>
              <w:top w:val="nil"/>
              <w:left w:val="nil"/>
              <w:bottom w:val="nil"/>
              <w:right w:val="nil"/>
            </w:tcBorders>
          </w:tcPr>
          <w:p>
            <w:pPr>
              <w:pStyle w:val="Normal6a"/>
            </w:pPr>
            <w:r>
              <w:t>15.</w:t>
            </w:r>
            <w:r>
              <w:tab/>
            </w:r>
            <w:r>
              <w:rPr>
                <w:b/>
                <w:i/>
              </w:rPr>
              <w:t>izraža zaskrbljenost zaradi reforme okvira za</w:t>
            </w:r>
            <w:r>
              <w:t xml:space="preserve"> krizno upravljanje in </w:t>
            </w:r>
            <w:r>
              <w:rPr>
                <w:b/>
                <w:i/>
              </w:rPr>
              <w:t>jamstva</w:t>
            </w:r>
            <w:r>
              <w:t xml:space="preserve"> za vloge </w:t>
            </w:r>
            <w:r>
              <w:rPr>
                <w:b/>
                <w:i/>
              </w:rPr>
              <w:t>v sedanji obliki;</w:t>
            </w:r>
            <w:r>
              <w:t xml:space="preserve"> </w:t>
            </w:r>
            <w:r>
              <w:rPr>
                <w:b/>
                <w:i/>
              </w:rPr>
              <w:t>zavrača vsakršno zasnovo, ki bi s kompleksnimi varovalnimi mehanizmi in delitvijo tveganja prikrivala osnovna tveganja insolventnosti, ter kritizira samo zamisel o združevanju izgub med državami članicami, kar bi v bistvu socializiralo bančna tveganja in zmanjšalo tržno disciplino;</w:t>
            </w:r>
            <w:r>
              <w:t xml:space="preserve"> </w:t>
            </w:r>
            <w:r>
              <w:rPr>
                <w:b/>
                <w:i/>
              </w:rPr>
              <w:t>sedanji okvir za upravljanje bančnih kriz in jamstva za vloge ne bi smel upravičevati prezgodnje razširitve čezmejne delitve tveganja brez jasnih mehanizmov izstopa in odgovornosti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pozdravlja</w:t>
            </w:r>
            <w:r>
              <w:t xml:space="preserve"> reformo kriznega upravljanja in jamstva </w:t>
            </w:r>
            <w:r>
              <w:rPr>
                <w:b/>
                <w:i/>
              </w:rPr>
              <w:t>za vloge za usklajeno krizno upravljanje in jamstvo</w:t>
            </w:r>
            <w:r>
              <w:t xml:space="preserve"> za vloge, ki krepi stabilnost ter ščiti prihranke in davkoplačevalce; poudarja, da </w:t>
            </w:r>
            <w:r>
              <w:rPr>
                <w:b/>
                <w:i/>
              </w:rPr>
              <w:t>manjše</w:t>
            </w:r>
            <w:r>
              <w:t xml:space="preserve"> banke potrebujejo prožnost in da morajo imeti organi učinkovita orodja za zagotovitev odporne </w:t>
            </w:r>
            <w:r>
              <w:rPr>
                <w:b/>
                <w:i/>
              </w:rPr>
              <w:t>in družbeno odgovorne</w:t>
            </w:r>
            <w:r>
              <w:t xml:space="preserve"> bančne unije;</w:t>
            </w:r>
          </w:p>
        </w:tc>
        <w:tc>
          <w:tcPr>
            <w:tcW w:w="4876" w:type="dxa"/>
            <w:tcBorders>
              <w:top w:val="nil"/>
              <w:left w:val="nil"/>
              <w:bottom w:val="nil"/>
              <w:right w:val="nil"/>
            </w:tcBorders>
          </w:tcPr>
          <w:p>
            <w:pPr>
              <w:pStyle w:val="Normal6a"/>
            </w:pPr>
            <w:r>
              <w:t>15.</w:t>
            </w:r>
            <w:r>
              <w:tab/>
            </w:r>
            <w:r>
              <w:rPr>
                <w:b/>
                <w:i/>
              </w:rPr>
              <w:t>je seznanjen z</w:t>
            </w:r>
            <w:r>
              <w:t xml:space="preserve"> reformo </w:t>
            </w:r>
            <w:r>
              <w:rPr>
                <w:b/>
                <w:i/>
              </w:rPr>
              <w:t>okvira za krizno upravljanje in jamstva za vloge za izboljšanje</w:t>
            </w:r>
            <w:r>
              <w:t xml:space="preserve"> kriznega upravljanja in jamstva za vloge, ki krepi stabilnost ter ščiti prihranke in davkoplačevalce; poudarja, da </w:t>
            </w:r>
            <w:r>
              <w:rPr>
                <w:b/>
                <w:i/>
              </w:rPr>
              <w:t>majhne in srednje velike</w:t>
            </w:r>
            <w:r>
              <w:t xml:space="preserve"> banke potrebujejo prožnost in da morajo imeti organi učinkovita orodja za zagotovitev odporne bančne unije; </w:t>
            </w:r>
            <w:r>
              <w:rPr>
                <w:b/>
                <w:i/>
              </w:rPr>
              <w:t>poudarja, da bi moralo biti reševanje privzeta možnost samo za tiste banke, katerih propad bi imel posledice za finančno stabilnost, in da zato insolventnost ostaja privzeta izbira za male in srednje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manjše banke potrebujejo prožnost in da morajo imeti organi učinkovita orodja za </w:t>
            </w:r>
            <w:r>
              <w:rPr>
                <w:b/>
                <w:i/>
              </w:rPr>
              <w:t>zagotovitev odporne in družbeno odgovorne bančne unije</w:t>
            </w:r>
            <w:r>
              <w:t>;</w:t>
            </w:r>
          </w:p>
        </w:tc>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poudarja,da manjše banke potrebujejo prožnost in da morajo imeti organi učinkovita orodja za </w:t>
            </w:r>
            <w:r>
              <w:rPr>
                <w:b/>
                <w:i/>
              </w:rPr>
              <w:t>odzivanje na propad bank in zaščito finančne stabilnosti, tudi v sistemskem scenariju</w:t>
            </w:r>
            <w:r>
              <w:t xml:space="preserve">; </w:t>
            </w:r>
            <w:r>
              <w:rPr>
                <w:b/>
                <w:i/>
              </w:rPr>
              <w:t>ponovno poudarja, da je cilj reševanja bank zaščititi finančno stabilnost in zagotoviti kritične funkcije bank, ne pa reševati upnike ali delničarje;</w:t>
            </w:r>
            <w:r>
              <w:t xml:space="preserve"> </w:t>
            </w:r>
            <w:r>
              <w:rPr>
                <w:b/>
                <w:i/>
              </w:rPr>
              <w:t>poudarja, da bi moralo reševanje propadajoče banke z običajnimi insolvenčnimi postopki ostati standard za banke, ki niso sistemsko pomembne, in kadar to najučinkoviteje ščiti kritične funkcije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w:t>
            </w:r>
            <w:r>
              <w:rPr>
                <w:b/>
                <w:i/>
              </w:rPr>
              <w:t>manjše banke potrebujejo prožnost in da</w:t>
            </w:r>
            <w:r>
              <w:t xml:space="preserve"> morajo imeti organi učinkovita orodja za zagotovitev odporne in družbeno odgovorne bančne unije;</w:t>
            </w:r>
          </w:p>
        </w:tc>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morajo imeti organi učinkovita </w:t>
            </w:r>
            <w:r>
              <w:rPr>
                <w:b/>
                <w:i/>
              </w:rPr>
              <w:t>in sorazmerna</w:t>
            </w:r>
            <w:r>
              <w:t xml:space="preserve"> orodja za zagotovitev odporne in družbeno odgovorne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manjše banke potrebujejo prožnost in da morajo imeti organi učinkovita orodja </w:t>
            </w:r>
            <w:r>
              <w:rPr>
                <w:b/>
                <w:i/>
              </w:rPr>
              <w:t>za zagotovitev odporne in družbeno odgovorne bančne unije</w:t>
            </w:r>
            <w:r>
              <w:t>;</w:t>
            </w:r>
          </w:p>
        </w:tc>
        <w:tc>
          <w:tcPr>
            <w:tcW w:w="4876" w:type="dxa"/>
            <w:tcBorders>
              <w:top w:val="nil"/>
              <w:left w:val="nil"/>
              <w:bottom w:val="nil"/>
              <w:right w:val="nil"/>
            </w:tcBorders>
          </w:tcPr>
          <w:p>
            <w:pPr>
              <w:pStyle w:val="Normal6a"/>
            </w:pPr>
            <w:r>
              <w:t>15.</w:t>
            </w:r>
            <w:r>
              <w:tab/>
            </w:r>
            <w:r>
              <w:t>pozdravlja reformo kriznega upravljanja in jamstva za vloge za usklajeno krizno upravljanje in jamstvo za vloge, ki krepi stabilnost ter ščiti prihranke in davkoplačevalce; poudarja, da manjše banke potrebujejo prožnost in da morajo imeti organi učinkovita orodja</w:t>
            </w:r>
            <w:r>
              <w:rPr>
                <w:b/>
                <w:i/>
              </w:rPr>
              <w:t>, podprta z regulativnim okvirom, ki spodbuja razvoj bank ter prispeva k odporni in finančno stabilni bančni uniji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manjše banke potrebujejo prožnost in da morajo imeti organi učinkovita orodja za zagotovitev odporne </w:t>
            </w:r>
            <w:r>
              <w:rPr>
                <w:b/>
                <w:i/>
              </w:rPr>
              <w:t>in družbeno odgovorne</w:t>
            </w:r>
            <w:r>
              <w:t xml:space="preserve"> bančne unije;</w:t>
            </w:r>
          </w:p>
        </w:tc>
        <w:tc>
          <w:tcPr>
            <w:tcW w:w="4876" w:type="dxa"/>
            <w:tcBorders>
              <w:top w:val="nil"/>
              <w:left w:val="nil"/>
              <w:bottom w:val="nil"/>
              <w:right w:val="nil"/>
            </w:tcBorders>
          </w:tcPr>
          <w:p>
            <w:pPr>
              <w:pStyle w:val="Normal6a"/>
            </w:pPr>
            <w:r>
              <w:t>15.</w:t>
            </w:r>
            <w:r>
              <w:tab/>
            </w:r>
            <w:r>
              <w:t>pozdravlja reformo kriznega upravljanja in jamstva za vloge za usklajeno krizno upravljanje in jamstvo za vloge, ki krepi stabilnost ter ščiti prihranke in davkoplačevalce; poudarja, da manjše banke potrebujejo prožnost in da morajo imeti organi učinkovita orodja za zagotovitev odporne bančne unije;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w:t>
            </w:r>
            <w:r>
              <w:rPr>
                <w:b/>
                <w:i/>
              </w:rPr>
              <w:t>ter</w:t>
            </w:r>
            <w:r>
              <w:t xml:space="preserve"> ščiti prihranke in davkoplačevalce; poudarja, </w:t>
            </w:r>
            <w:r>
              <w:rPr>
                <w:b/>
                <w:i/>
              </w:rPr>
              <w:t>da manjše banke potrebujejo prožnost</w:t>
            </w:r>
            <w:r>
              <w:t xml:space="preserve"> in da morajo imeti organi učinkovita orodja za zagotovitev odporne in družbeno odgovorne bančne unije;</w:t>
            </w:r>
          </w:p>
        </w:tc>
        <w:tc>
          <w:tcPr>
            <w:tcW w:w="4876" w:type="dxa"/>
            <w:tcBorders>
              <w:top w:val="nil"/>
              <w:left w:val="nil"/>
              <w:bottom w:val="nil"/>
              <w:right w:val="nil"/>
            </w:tcBorders>
          </w:tcPr>
          <w:p>
            <w:pPr>
              <w:pStyle w:val="Normal6a"/>
            </w:pPr>
            <w:r>
              <w:t>15.</w:t>
            </w:r>
            <w:r>
              <w:tab/>
            </w:r>
            <w:r>
              <w:t>pozdravlja reformo kriznega upravljanja in jamstva za vloge za usklajeno krizno upravljanje in jamstvo za vloge, ki krepi stabilnost</w:t>
            </w:r>
            <w:r>
              <w:rPr>
                <w:b/>
                <w:i/>
              </w:rPr>
              <w:t>,</w:t>
            </w:r>
            <w:r>
              <w:t xml:space="preserve"> ščiti prihranke in davkoplačevalce </w:t>
            </w:r>
            <w:r>
              <w:rPr>
                <w:b/>
                <w:i/>
              </w:rPr>
              <w:t>ter zagotavlja boljšo uporabo javnega denarja za reševanje, kadar je to v javnem interesu</w:t>
            </w:r>
            <w:r>
              <w:t xml:space="preserve">; poudarja, </w:t>
            </w:r>
            <w:r>
              <w:rPr>
                <w:b/>
                <w:i/>
              </w:rPr>
              <w:t>kako pomemben je jasen regulativni okvir</w:t>
            </w:r>
            <w:r>
              <w:t xml:space="preserve"> in da morajo imeti organi učinkovita orodja</w:t>
            </w:r>
            <w:r>
              <w:rPr>
                <w:b/>
                <w:i/>
              </w:rPr>
              <w:t>, podatke in mehanizme odločanja</w:t>
            </w:r>
            <w:r>
              <w:t xml:space="preserve"> za zagotovitev odporne in družbeno odgovorne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manjše banke </w:t>
            </w:r>
            <w:r>
              <w:rPr>
                <w:b/>
                <w:i/>
              </w:rPr>
              <w:t>potrebujejo prožnost</w:t>
            </w:r>
            <w:r>
              <w:t xml:space="preserve"> in da morajo imeti organi učinkovita orodja za zagotovitev odporne in družbeno odgovorne bančne unije;</w:t>
            </w:r>
          </w:p>
        </w:tc>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w:t>
            </w:r>
            <w:r>
              <w:rPr>
                <w:b/>
                <w:i/>
              </w:rPr>
              <w:t>je potrebna prožnost</w:t>
            </w:r>
            <w:r>
              <w:t xml:space="preserve"> manjše banke </w:t>
            </w:r>
            <w:r>
              <w:rPr>
                <w:b/>
                <w:i/>
              </w:rPr>
              <w:t>in srednje velike banke, za katere okvir za reševanje pogosto ne bo najprimernejši instrument in za katere je likvidacija v rednem insolvenčnem postopku še vedno prednostna možnost,</w:t>
            </w:r>
            <w:r>
              <w:t xml:space="preserve"> in da morajo imeti organi učinkovita orodja za zagotovitev odporne in družbeno odgovorne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manjše banke </w:t>
            </w:r>
            <w:r>
              <w:rPr>
                <w:b/>
                <w:i/>
              </w:rPr>
              <w:t>potrebujejo prožnost</w:t>
            </w:r>
            <w:r>
              <w:t xml:space="preserve"> in da morajo imeti organi učinkovita orodja za zagotovitev odporne in družbeno odgovorne bančne unije;</w:t>
            </w:r>
          </w:p>
        </w:tc>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w:t>
            </w:r>
            <w:r>
              <w:rPr>
                <w:b/>
                <w:i/>
              </w:rPr>
              <w:t>je potrebna prožnost</w:t>
            </w:r>
            <w:r>
              <w:t xml:space="preserve"> manjše banke </w:t>
            </w:r>
            <w:r>
              <w:rPr>
                <w:b/>
                <w:i/>
              </w:rPr>
              <w:t>in srednje velike banke, za katere okvir za reševanje pogosto ne bo najprimernejši instrument in za katere je likvidacija v rednem insolvenčnem postopku še vedno prednostna možnost,</w:t>
            </w:r>
            <w:r>
              <w:t xml:space="preserve"> in da morajo imeti organi učinkovita orodja za zagotovitev odporne in družbeno odgovorne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pozdravlja reformo kriznega upravljanja in jamstva za vloge za usklajeno krizno upravljanje in jamstvo za vloge, ki krepi stabilnost ter ščiti prihranke in davkoplačevalce; poudarja, da manjše banke potrebujejo prožnost in da morajo imeti organi učinkovita orodja za zagotovitev odporne in družbeno odgovorne bančne unije;</w:t>
            </w:r>
          </w:p>
        </w:tc>
        <w:tc>
          <w:tcPr>
            <w:tcW w:w="4876" w:type="dxa"/>
            <w:tcBorders>
              <w:top w:val="nil"/>
              <w:left w:val="nil"/>
              <w:bottom w:val="nil"/>
              <w:right w:val="nil"/>
            </w:tcBorders>
          </w:tcPr>
          <w:p>
            <w:pPr>
              <w:pStyle w:val="Normal6a"/>
            </w:pPr>
            <w:r>
              <w:t>15.</w:t>
            </w:r>
            <w:r>
              <w:tab/>
            </w:r>
            <w:r>
              <w:t xml:space="preserve">pozdravlja reformo kriznega upravljanja in jamstva za vloge za usklajeno krizno upravljanje in jamstvo za vloge, ki krepi stabilnost ter ščiti prihranke in davkoplačevalce; poudarja, da manjše banke potrebujejo prožnost in da morajo imeti organi učinkovita orodja za zagotovitev odporne in družbeno odgovorne bančne unije; </w:t>
            </w:r>
            <w:r>
              <w:rPr>
                <w:b/>
                <w:i/>
              </w:rPr>
              <w:t>poudarja, da je treba olajšati uporabo jamstvenih skladov za vloge za reševanje;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pozdravlja predlog direktive Evropskega parlamenta in Sveta o harmonizaciji nekaterih vidikov insolvenčnega prava, saj bi lahko nadaljnja uskladitev insolvenčnega prava in postopkov prestrukturiranja spodbudila dokončanje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poudarja, da </w:t>
            </w:r>
            <w:r>
              <w:rPr>
                <w:b/>
                <w:i/>
              </w:rPr>
              <w:t>bi morali</w:t>
            </w:r>
            <w:r>
              <w:t xml:space="preserve"> v primeru propada bank </w:t>
            </w:r>
            <w:r>
              <w:rPr>
                <w:b/>
                <w:i/>
              </w:rPr>
              <w:t>najprej odgovarjati delničarji</w:t>
            </w:r>
            <w:r>
              <w:t xml:space="preserve">, </w:t>
            </w:r>
            <w:r>
              <w:rPr>
                <w:b/>
                <w:i/>
              </w:rPr>
              <w:t>upniki ali mehanizmi, ki jih financira sektor, in da bi se javna sredstva v skladu z načeli odgovorne fiskalne politike, socialne pravičnosti in tržne discipline smela uporabiti le kot zadnjo</w:t>
            </w:r>
            <w:r>
              <w:t xml:space="preserve"> možnost;</w:t>
            </w:r>
          </w:p>
        </w:tc>
        <w:tc>
          <w:tcPr>
            <w:tcW w:w="4876" w:type="dxa"/>
            <w:tcBorders>
              <w:top w:val="nil"/>
              <w:left w:val="nil"/>
              <w:bottom w:val="nil"/>
              <w:right w:val="nil"/>
            </w:tcBorders>
          </w:tcPr>
          <w:p>
            <w:pPr>
              <w:pStyle w:val="Normal6a"/>
            </w:pPr>
            <w:r>
              <w:t>16.</w:t>
            </w:r>
            <w:r>
              <w:tab/>
            </w:r>
            <w:r>
              <w:t xml:space="preserve">poudarja, da </w:t>
            </w:r>
            <w:r>
              <w:rPr>
                <w:b/>
                <w:i/>
              </w:rPr>
              <w:t>je potreben stalen in učinkovit nadzor skladnosti z bonitetnimi pravili in pravili za reševanje, ki zagotavljajo verodostojnost in učinkovito izvajanje instrumentov za reševanje s sredstvi upnikov</w:t>
            </w:r>
            <w:r>
              <w:t xml:space="preserve"> v primeru propada bank</w:t>
            </w:r>
            <w:r>
              <w:rPr>
                <w:b/>
                <w:i/>
              </w:rPr>
              <w:t>;</w:t>
            </w:r>
            <w:r>
              <w:t xml:space="preserve"> </w:t>
            </w:r>
            <w:r>
              <w:rPr>
                <w:b/>
                <w:i/>
              </w:rPr>
              <w:t>poudarja</w:t>
            </w:r>
            <w:r>
              <w:t xml:space="preserve">, </w:t>
            </w:r>
            <w:r>
              <w:rPr>
                <w:b/>
                <w:i/>
              </w:rPr>
              <w:t>da mora reševanje finančnih institucij z javnimi sredstvi ostati izrecno zadnja</w:t>
            </w:r>
            <w:r>
              <w:t xml:space="preserve"> možnost</w:t>
            </w:r>
            <w:r>
              <w:rPr>
                <w:b/>
                <w:i/>
              </w:rPr>
              <w:t>, da se ohrani fiskalna odgovornost, zaščitijo davkoplačevalci in ohrani tržna disciplina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poudarja, da bi morali v primeru propada </w:t>
            </w:r>
            <w:r>
              <w:rPr>
                <w:b/>
                <w:i/>
              </w:rPr>
              <w:t>bank</w:t>
            </w:r>
            <w:r>
              <w:t xml:space="preserve"> najprej </w:t>
            </w:r>
            <w:r>
              <w:rPr>
                <w:b/>
                <w:i/>
              </w:rPr>
              <w:t>odgovarjati</w:t>
            </w:r>
            <w:r>
              <w:t xml:space="preserve"> delničarji, upniki </w:t>
            </w:r>
            <w:r>
              <w:rPr>
                <w:b/>
                <w:i/>
              </w:rPr>
              <w:t>ali</w:t>
            </w:r>
            <w:r>
              <w:t xml:space="preserve"> mehanizmi, ki jih financira sektor</w:t>
            </w:r>
            <w:r>
              <w:rPr>
                <w:b/>
                <w:i/>
              </w:rPr>
              <w:t>, in</w:t>
            </w:r>
            <w:r>
              <w:t xml:space="preserve"> da bi </w:t>
            </w:r>
            <w:r>
              <w:rPr>
                <w:b/>
                <w:i/>
              </w:rPr>
              <w:t>se javna sredstva v skladu z načeli odgovorne fiskalne politike, socialne pravičnosti in tržne discipline smela uporabiti</w:t>
            </w:r>
            <w:r>
              <w:t xml:space="preserve"> le kot zadnjo možnost;</w:t>
            </w:r>
          </w:p>
        </w:tc>
        <w:tc>
          <w:tcPr>
            <w:tcW w:w="4876" w:type="dxa"/>
            <w:tcBorders>
              <w:top w:val="nil"/>
              <w:left w:val="nil"/>
              <w:bottom w:val="nil"/>
              <w:right w:val="nil"/>
            </w:tcBorders>
          </w:tcPr>
          <w:p>
            <w:pPr>
              <w:pStyle w:val="Normal6a"/>
            </w:pPr>
            <w:r>
              <w:t>16.</w:t>
            </w:r>
            <w:r>
              <w:tab/>
            </w:r>
            <w:r>
              <w:t xml:space="preserve">poudarja, da bi morali v primeru propada </w:t>
            </w:r>
            <w:r>
              <w:rPr>
                <w:b/>
                <w:i/>
              </w:rPr>
              <w:t>banke izgube v skladu z načelom odgovornosti in tržne discipline</w:t>
            </w:r>
            <w:r>
              <w:t xml:space="preserve"> najprej </w:t>
            </w:r>
            <w:r>
              <w:rPr>
                <w:b/>
                <w:i/>
              </w:rPr>
              <w:t>kriti</w:t>
            </w:r>
            <w:r>
              <w:t xml:space="preserve"> delničarji, upniki </w:t>
            </w:r>
            <w:r>
              <w:rPr>
                <w:b/>
                <w:i/>
              </w:rPr>
              <w:t>in</w:t>
            </w:r>
            <w:r>
              <w:t xml:space="preserve"> mehanizmi, ki jih financira sektor</w:t>
            </w:r>
            <w:r>
              <w:rPr>
                <w:b/>
                <w:i/>
              </w:rPr>
              <w:t>;</w:t>
            </w:r>
            <w:r>
              <w:t xml:space="preserve"> </w:t>
            </w:r>
            <w:r>
              <w:rPr>
                <w:b/>
                <w:i/>
              </w:rPr>
              <w:t>poudarja,</w:t>
            </w:r>
            <w:r>
              <w:t xml:space="preserve"> da bi </w:t>
            </w:r>
            <w:r>
              <w:rPr>
                <w:b/>
                <w:i/>
              </w:rPr>
              <w:t>bilo treba uporabo javnih sredstev predvideti</w:t>
            </w:r>
            <w:r>
              <w:t xml:space="preserve"> le kot zadnjo možnost </w:t>
            </w:r>
            <w:r>
              <w:rPr>
                <w:b/>
                <w:i/>
              </w:rPr>
              <w:t>in v izjemnih okoliščinah, da bi zaščitili davkoplačevalce in ohranili finančno stabilnost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poudarja, da bi </w:t>
            </w:r>
            <w:r>
              <w:rPr>
                <w:b/>
                <w:i/>
              </w:rPr>
              <w:t>morali</w:t>
            </w:r>
            <w:r>
              <w:t xml:space="preserve"> v primeru propada bank najprej </w:t>
            </w:r>
            <w:r>
              <w:rPr>
                <w:b/>
                <w:i/>
              </w:rPr>
              <w:t>odgovarjati delničarji, upniki ali</w:t>
            </w:r>
            <w:r>
              <w:t xml:space="preserve"> mehanizmi, ki jih financira sektor, </w:t>
            </w:r>
            <w:r>
              <w:rPr>
                <w:b/>
                <w:i/>
              </w:rPr>
              <w:t>in da bi se</w:t>
            </w:r>
            <w:r>
              <w:t xml:space="preserve"> javna sredstva </w:t>
            </w:r>
            <w:r>
              <w:rPr>
                <w:b/>
                <w:i/>
              </w:rPr>
              <w:t>v skladu z načeli odgovorne fiskalne politike, socialne pravičnosti in tržne discipline smela</w:t>
            </w:r>
            <w:r>
              <w:t xml:space="preserve"> uporabiti le kot zadnjo možnost;</w:t>
            </w:r>
          </w:p>
        </w:tc>
        <w:tc>
          <w:tcPr>
            <w:tcW w:w="4876" w:type="dxa"/>
            <w:tcBorders>
              <w:top w:val="nil"/>
              <w:left w:val="nil"/>
              <w:bottom w:val="nil"/>
              <w:right w:val="nil"/>
            </w:tcBorders>
          </w:tcPr>
          <w:p>
            <w:pPr>
              <w:pStyle w:val="Normal6a"/>
            </w:pPr>
            <w:r>
              <w:t>16.</w:t>
            </w:r>
            <w:r>
              <w:tab/>
            </w:r>
            <w:r>
              <w:t xml:space="preserve">poudarja, da bi </w:t>
            </w:r>
            <w:r>
              <w:rPr>
                <w:b/>
                <w:i/>
              </w:rPr>
              <w:t>moralo biti reševanje delničarjev in upnikov s sredstvi upnikov</w:t>
            </w:r>
            <w:r>
              <w:t xml:space="preserve"> v primeru propada bank najprej </w:t>
            </w:r>
            <w:r>
              <w:rPr>
                <w:b/>
                <w:i/>
              </w:rPr>
              <w:t>glavni vir financiranja reševanja, preden se</w:t>
            </w:r>
            <w:r>
              <w:t xml:space="preserve"> mehanizmi, ki jih financira sektor, </w:t>
            </w:r>
            <w:r>
              <w:rPr>
                <w:b/>
                <w:i/>
              </w:rPr>
              <w:t>uporabijo kot druga obrambna linija,</w:t>
            </w:r>
            <w:r>
              <w:t xml:space="preserve"> javna sredstva </w:t>
            </w:r>
            <w:r>
              <w:rPr>
                <w:b/>
                <w:i/>
              </w:rPr>
              <w:t>pa bi bilo treba</w:t>
            </w:r>
            <w:r>
              <w:t xml:space="preserve"> uporabiti le kot zadnjo možnost </w:t>
            </w:r>
            <w:r>
              <w:rPr>
                <w:b/>
                <w:i/>
              </w:rPr>
              <w:t>v skladu s fiskalno odgovornostjo, socialno pravičnostjo in tržno disciplino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poudarja, da bi morali v primeru propada bank najprej odgovarjati delničarji, upniki ali mehanizmi, ki jih financira sektor, in da bi se javna sredstva v skladu z načeli odgovorne fiskalne politike</w:t>
            </w:r>
            <w:r>
              <w:rPr>
                <w:b/>
                <w:i/>
              </w:rPr>
              <w:t>, socialne pravičnosti</w:t>
            </w:r>
            <w:r>
              <w:t xml:space="preserve"> in tržne discipline smela uporabiti le kot zadnjo možnost;</w:t>
            </w:r>
          </w:p>
        </w:tc>
        <w:tc>
          <w:tcPr>
            <w:tcW w:w="4876" w:type="dxa"/>
            <w:tcBorders>
              <w:top w:val="nil"/>
              <w:left w:val="nil"/>
              <w:bottom w:val="nil"/>
              <w:right w:val="nil"/>
            </w:tcBorders>
          </w:tcPr>
          <w:p>
            <w:pPr>
              <w:pStyle w:val="Normal6a"/>
            </w:pPr>
            <w:r>
              <w:t>16.</w:t>
            </w:r>
            <w:r>
              <w:tab/>
            </w:r>
            <w:r>
              <w:t>poudarja, da bi morali v primeru propada bank najprej odgovarjati delničarji, upniki ali mehanizmi, ki jih financira sektor, in da bi se javna sredstva v skladu z načeli odgovorne fiskalne politike in tržne discipline smela uporabiti le kot zadnjo možnost</w:t>
            </w:r>
            <w:r>
              <w:rPr>
                <w:b/>
                <w:i/>
              </w:rPr>
              <w:t>, saj je treba preprečiti zanašanje na davkoplačevalski denar pri reševanju bank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poudarja, da bi morali v primeru propada bank najprej odgovarjati delničarji, upniki ali mehanizmi, ki jih financira sektor, in da bi se javna sredstva v skladu z načeli odgovorne fiskalne politike</w:t>
            </w:r>
            <w:r>
              <w:rPr>
                <w:b/>
                <w:i/>
              </w:rPr>
              <w:t>, socialne pravičnosti</w:t>
            </w:r>
            <w:r>
              <w:t xml:space="preserve"> in tržne discipline smela uporabiti le kot zadnjo možnost;</w:t>
            </w:r>
          </w:p>
        </w:tc>
        <w:tc>
          <w:tcPr>
            <w:tcW w:w="4876" w:type="dxa"/>
            <w:tcBorders>
              <w:top w:val="nil"/>
              <w:left w:val="nil"/>
              <w:bottom w:val="nil"/>
              <w:right w:val="nil"/>
            </w:tcBorders>
          </w:tcPr>
          <w:p>
            <w:pPr>
              <w:pStyle w:val="Normal6a"/>
            </w:pPr>
            <w:r>
              <w:t>16.</w:t>
            </w:r>
            <w:r>
              <w:tab/>
            </w:r>
            <w:r>
              <w:t>poudarja, da bi morali v primeru propada bank najprej odgovarjati delničarji, upniki ali mehanizmi, ki jih financira sektor, in da bi se javna sredstva v skladu z načeli odgovorne fiskalne politike in tržne discipline smela uporabiti le kot zadnjo možnost;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poudarja, da </w:t>
            </w:r>
            <w:r>
              <w:rPr>
                <w:b/>
                <w:i/>
              </w:rPr>
              <w:t>bi morali</w:t>
            </w:r>
            <w:r>
              <w:t xml:space="preserve"> v primeru propada bank najprej odgovarjati delničarji, upniki ali mehanizmi, ki jih financira sektor, in da bi se javna sredstva v skladu z načeli odgovorne fiskalne politike, socialne pravičnosti in tržne discipline smela uporabiti le kot zadnjo možnost;</w:t>
            </w:r>
          </w:p>
        </w:tc>
        <w:tc>
          <w:tcPr>
            <w:tcW w:w="4876" w:type="dxa"/>
            <w:tcBorders>
              <w:top w:val="nil"/>
              <w:left w:val="nil"/>
              <w:bottom w:val="nil"/>
              <w:right w:val="nil"/>
            </w:tcBorders>
          </w:tcPr>
          <w:p>
            <w:pPr>
              <w:pStyle w:val="Normal6a"/>
            </w:pPr>
            <w:r>
              <w:t>16.</w:t>
            </w:r>
            <w:r>
              <w:tab/>
            </w:r>
            <w:r>
              <w:t xml:space="preserve">poudarja, da </w:t>
            </w:r>
            <w:r>
              <w:rPr>
                <w:b/>
                <w:i/>
              </w:rPr>
              <w:t>morajo</w:t>
            </w:r>
            <w:r>
              <w:t xml:space="preserve"> v primeru propada bank najprej odgovarjati delničarji, upniki ali mehanizmi, ki jih financira sektor, in da bi se javna sredstva v skladu z načeli odgovorne fiskalne politike, socialne pravičnosti in tržne discipline smela uporabiti le kot zadnjo možnost;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opozarja, da je </w:t>
            </w:r>
            <w:r>
              <w:rPr>
                <w:b/>
                <w:i/>
              </w:rPr>
              <w:t>zadostna</w:t>
            </w:r>
            <w:r>
              <w:t xml:space="preserve"> minimalna zahteva glede kapitala in kvalificiranih obveznosti bistvena za verodostojen okvir za reševanje in za </w:t>
            </w:r>
            <w:r>
              <w:rPr>
                <w:b/>
                <w:i/>
              </w:rPr>
              <w:t>zagotavljanje prožnosti</w:t>
            </w:r>
            <w:r>
              <w:t xml:space="preserve"> organom </w:t>
            </w:r>
            <w:r>
              <w:rPr>
                <w:b/>
                <w:i/>
              </w:rPr>
              <w:t>pri uporabi ustreznih</w:t>
            </w:r>
            <w:r>
              <w:t xml:space="preserve"> strategij reševanja v kriznih razmerah;</w:t>
            </w:r>
          </w:p>
        </w:tc>
        <w:tc>
          <w:tcPr>
            <w:tcW w:w="4876" w:type="dxa"/>
            <w:tcBorders>
              <w:top w:val="nil"/>
              <w:left w:val="nil"/>
              <w:bottom w:val="nil"/>
              <w:right w:val="nil"/>
            </w:tcBorders>
          </w:tcPr>
          <w:p>
            <w:pPr>
              <w:pStyle w:val="Normal6a"/>
            </w:pPr>
            <w:r>
              <w:t>17.</w:t>
            </w:r>
            <w:r>
              <w:tab/>
            </w:r>
            <w:r>
              <w:t xml:space="preserve">opozarja, da je </w:t>
            </w:r>
            <w:r>
              <w:rPr>
                <w:b/>
                <w:i/>
              </w:rPr>
              <w:t>ustrezna</w:t>
            </w:r>
            <w:r>
              <w:t xml:space="preserve"> minimalna zahteva glede kapitala in kvalificiranih obveznosti bistvena za verodostojen okvir za reševanje in za </w:t>
            </w:r>
            <w:r>
              <w:rPr>
                <w:b/>
                <w:i/>
              </w:rPr>
              <w:t>to, da se</w:t>
            </w:r>
            <w:r>
              <w:t xml:space="preserve"> organom </w:t>
            </w:r>
            <w:r>
              <w:rPr>
                <w:b/>
                <w:i/>
              </w:rPr>
              <w:t>zagotovi potrebna prožnost za učinkovito izvajanje</w:t>
            </w:r>
            <w:r>
              <w:t xml:space="preserve"> strategij reševanja v kriznih razmerah</w:t>
            </w:r>
            <w:r>
              <w:rPr>
                <w:b/>
                <w:i/>
              </w:rPr>
              <w:t>, s čimer se zagotovi tržna disciplina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opozarja, da je zadostna minimalna zahteva glede kapitala in kvalificiranih obveznosti bistvena za verodostojen okvir za reševanje in za zagotavljanje prožnosti organom pri uporabi ustreznih strategij reševanja v kriznih razmerah;</w:t>
            </w:r>
          </w:p>
        </w:tc>
        <w:tc>
          <w:tcPr>
            <w:tcW w:w="4876" w:type="dxa"/>
            <w:tcBorders>
              <w:top w:val="nil"/>
              <w:left w:val="nil"/>
              <w:bottom w:val="nil"/>
              <w:right w:val="nil"/>
            </w:tcBorders>
          </w:tcPr>
          <w:p>
            <w:pPr>
              <w:pStyle w:val="Normal6a"/>
            </w:pPr>
            <w:r>
              <w:t>17.</w:t>
            </w:r>
            <w:r>
              <w:tab/>
            </w:r>
            <w:r>
              <w:t xml:space="preserve">opozarja, da je zadostna minimalna zahteva glede kapitala in kvalificiranih obveznosti bistvena za verodostojen okvir za reševanje in za zagotavljanje prožnosti organom pri uporabi ustreznih strategij reševanja v kriznih razmerah; </w:t>
            </w:r>
            <w:r>
              <w:rPr>
                <w:b/>
                <w:i/>
              </w:rPr>
              <w:t>poudarja, da bi morale biti minimalne zahteve glede kapitala in kvalificiranih obveznosti prilagojene dejanski strategiji reševanja posamezne banke, zlasti kadar se instrumenti za prenos uporabljajo poleg mehanizmov za reševanje s sredstvi upnikov, da bi zagotovili pravno jasnost in sorazmernost;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opozarja, da je zadostna minimalna zahteva glede kapitala in kvalificiranih obveznosti bistvena za verodostojen okvir za reševanje in za zagotavljanje prožnosti organom pri uporabi ustreznih strategij reševanja v kriznih razmerah;</w:t>
            </w:r>
          </w:p>
        </w:tc>
        <w:tc>
          <w:tcPr>
            <w:tcW w:w="4876" w:type="dxa"/>
            <w:tcBorders>
              <w:top w:val="nil"/>
              <w:left w:val="nil"/>
              <w:bottom w:val="nil"/>
              <w:right w:val="nil"/>
            </w:tcBorders>
          </w:tcPr>
          <w:p>
            <w:pPr>
              <w:pStyle w:val="Normal6a"/>
            </w:pPr>
            <w:r>
              <w:t>17.</w:t>
            </w:r>
            <w:r>
              <w:tab/>
            </w:r>
            <w:r>
              <w:t xml:space="preserve">opozarja, da je zadostna minimalna zahteva glede kapitala in kvalificiranih obveznosti bistvena za verodostojen okvir za reševanje in za zagotavljanje prožnosti organom pri uporabi ustreznih strategij reševanja v kriznih razmerah; </w:t>
            </w:r>
            <w:r>
              <w:rPr>
                <w:b/>
                <w:i/>
              </w:rPr>
              <w:t>poudarja, da je razpoložljivost zadostne minimalne zahteve glede kapitala in kvalificiranih obveznosti ter zavarovanja s premoženjem v postopku reševanja osnovni pogoj za rešljivost bank in da bi bilo treba minimalno zahtevo glede kapitala in kvalificiranih obveznosti določiti na zelo preudaren način;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opozarja, da je zadostna minimalna zahteva glede kapitala in kvalificiranih obveznosti bistvena za verodostojen okvir za reševanje in za zagotavljanje prožnosti organom pri uporabi ustreznih strategij reševanja v kriznih razmerah;</w:t>
            </w:r>
          </w:p>
        </w:tc>
        <w:tc>
          <w:tcPr>
            <w:tcW w:w="4876" w:type="dxa"/>
            <w:tcBorders>
              <w:top w:val="nil"/>
              <w:left w:val="nil"/>
              <w:bottom w:val="nil"/>
              <w:right w:val="nil"/>
            </w:tcBorders>
          </w:tcPr>
          <w:p>
            <w:pPr>
              <w:pStyle w:val="Normal6a"/>
            </w:pPr>
            <w:r>
              <w:t>17.</w:t>
            </w:r>
            <w:r>
              <w:tab/>
            </w:r>
            <w:r>
              <w:t xml:space="preserve">opozarja, da je zadostna minimalna zahteva glede kapitala in kvalificiranih obveznosti bistvena za verodostojen okvir za reševanje in za zagotavljanje prožnosti organom pri uporabi ustreznih strategij reševanja v kriznih razmerah; </w:t>
            </w:r>
            <w:r>
              <w:rPr>
                <w:b/>
                <w:i/>
              </w:rPr>
              <w:t>poudarja, da bi morala ta minimalna zahteva zadostovati za učinkovito izvajanje katere koli strategije reševanja, vključene v načrt reševanja banke;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poudarja, da bi moral biti odpis ali konverzija teh obveznosti izvršljiv s popolno gotovostjo, če so kvalificirane obveznosti banke izdane vlagateljem zunaj EU, da se zaščiti učinkovita uporaba instrumentov za reševanje;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opozarja, da morajo banke po reševanju še naprej zagotavljati osnovne storitve; poudarja, da je potreben jasen in predvidljiv okvir, ki bo ščitil vlagatelje ter podpiral </w:t>
            </w:r>
            <w:r>
              <w:rPr>
                <w:b/>
                <w:i/>
              </w:rPr>
              <w:t>manjše</w:t>
            </w:r>
            <w:r>
              <w:t xml:space="preserve"> stranke ter </w:t>
            </w:r>
            <w:r>
              <w:rPr>
                <w:b/>
                <w:i/>
              </w:rPr>
              <w:t>mala in srednja</w:t>
            </w:r>
            <w:r>
              <w:t xml:space="preserve"> podjetja;</w:t>
            </w:r>
          </w:p>
        </w:tc>
        <w:tc>
          <w:tcPr>
            <w:tcW w:w="4876" w:type="dxa"/>
            <w:tcBorders>
              <w:top w:val="nil"/>
              <w:left w:val="nil"/>
              <w:bottom w:val="nil"/>
              <w:right w:val="nil"/>
            </w:tcBorders>
          </w:tcPr>
          <w:p>
            <w:pPr>
              <w:pStyle w:val="Normal6a"/>
            </w:pPr>
            <w:r>
              <w:t>18.</w:t>
            </w:r>
            <w:r>
              <w:tab/>
            </w:r>
            <w:r>
              <w:t>opozarja, da morajo banke po reševanju še naprej zagotavljati osnovne storitve; poudarja, da je potreben jasen in predvidljiv okvir, ki bo ščitil vlagatelje ter podpiral stranke ter podjetja</w:t>
            </w:r>
            <w:r>
              <w:rPr>
                <w:b/>
                <w:i/>
              </w:rPr>
              <w:t>, vključno za malimi in srednjimi podjetji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opozarja, da morajo banke </w:t>
            </w:r>
            <w:r>
              <w:rPr>
                <w:b/>
                <w:i/>
              </w:rPr>
              <w:t>po reševanju</w:t>
            </w:r>
            <w:r>
              <w:t xml:space="preserve"> še naprej zagotavljati osnovne storitve; poudarja, da je potreben jasen in predvidljiv okvir, ki bo ščitil vlagatelje ter podpiral manjše stranke ter mala in srednja podjetja;</w:t>
            </w:r>
          </w:p>
        </w:tc>
        <w:tc>
          <w:tcPr>
            <w:tcW w:w="4876" w:type="dxa"/>
            <w:tcBorders>
              <w:top w:val="nil"/>
              <w:left w:val="nil"/>
              <w:bottom w:val="nil"/>
              <w:right w:val="nil"/>
            </w:tcBorders>
          </w:tcPr>
          <w:p>
            <w:pPr>
              <w:pStyle w:val="Normal6a"/>
            </w:pPr>
            <w:r>
              <w:t>18.</w:t>
            </w:r>
            <w:r>
              <w:tab/>
            </w:r>
            <w:r>
              <w:t xml:space="preserve">opozarja, da morajo banke </w:t>
            </w:r>
            <w:r>
              <w:rPr>
                <w:b/>
                <w:i/>
              </w:rPr>
              <w:t>med reševanjem</w:t>
            </w:r>
            <w:r>
              <w:t xml:space="preserve"> še naprej zagotavljati osnovne storitve; poudarja, da je potreben jasen in predvidljiv okvir, ki bo ščitil vlagatelje ter podpiral manjše stranke ter mala in srednja podjetja;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pozdravlja</w:t>
            </w:r>
            <w:r>
              <w:t xml:space="preserve"> enotni sklad za reševanje </w:t>
            </w:r>
            <w:r>
              <w:rPr>
                <w:b/>
                <w:i/>
              </w:rPr>
              <w:t>kot v celoti vzajemno varnostno mrežo, ki jo financira sektor;</w:t>
            </w:r>
            <w:r>
              <w:t xml:space="preserve"> </w:t>
            </w:r>
            <w:r>
              <w:rPr>
                <w:b/>
                <w:i/>
              </w:rPr>
              <w:t>ponovno poziva k popolni ratifikaciji spremembe</w:t>
            </w:r>
            <w:r>
              <w:t xml:space="preserve"> Pogodbe o EMS</w:t>
            </w:r>
            <w:r>
              <w:rPr>
                <w:b/>
                <w:i/>
              </w:rPr>
              <w:t>, da bi okrepili verodostojnost, rešljivost in odpornost euroobmočja</w:t>
            </w:r>
            <w:r>
              <w:t>;</w:t>
            </w:r>
          </w:p>
        </w:tc>
        <w:tc>
          <w:tcPr>
            <w:tcW w:w="4876" w:type="dxa"/>
            <w:tcBorders>
              <w:top w:val="nil"/>
              <w:left w:val="nil"/>
              <w:bottom w:val="nil"/>
              <w:right w:val="nil"/>
            </w:tcBorders>
          </w:tcPr>
          <w:p>
            <w:pPr>
              <w:pStyle w:val="Normal6a"/>
            </w:pPr>
            <w:r>
              <w:t>19.</w:t>
            </w:r>
            <w:r>
              <w:tab/>
            </w:r>
            <w:r>
              <w:rPr>
                <w:b/>
                <w:i/>
              </w:rPr>
              <w:t>kritično ugotavlja, da</w:t>
            </w:r>
            <w:r>
              <w:t xml:space="preserve"> enotni sklad za reševanje</w:t>
            </w:r>
            <w:r>
              <w:rPr>
                <w:b/>
                <w:i/>
              </w:rPr>
              <w:t>, čeprav je zasnovan kot varnostna mreža, trenutno nalaga nepregledne metodologije za prispevke in ni pregleden, kar povečuje stroškovno breme brez dokazljivega povečanja učinkovitosti;</w:t>
            </w:r>
            <w:r>
              <w:t xml:space="preserve"> </w:t>
            </w:r>
            <w:r>
              <w:rPr>
                <w:b/>
                <w:i/>
              </w:rPr>
              <w:t>namesto tega bi bilo mogoče sredstva bolje uporabiti z jasnejšimi nacionalnimi načrti za nepredvidene dogodke in tržno disciplino;</w:t>
            </w:r>
            <w:r>
              <w:t xml:space="preserve"> </w:t>
            </w:r>
            <w:r>
              <w:rPr>
                <w:b/>
                <w:i/>
              </w:rPr>
              <w:t>spoštuje pristojnosti nacionalnih parlamentov v zvezi z ratifikacijo medvladne</w:t>
            </w:r>
            <w:r>
              <w:t xml:space="preserve"> Pogodbe o 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pozdravlja enotni sklad</w:t>
            </w:r>
            <w:r>
              <w:t xml:space="preserve"> za reševanje kot v celoti vzajemno varnostno mrežo, ki jo financira sektor; </w:t>
            </w:r>
            <w:r>
              <w:rPr>
                <w:b/>
                <w:i/>
              </w:rPr>
              <w:t>ponovno poziva k popolni ratifikaciji spremembe Pogodbe o EMS, da bi okrepili verodostojnost, rešljivost in odpornost euroobmočja;</w:t>
            </w:r>
          </w:p>
        </w:tc>
        <w:tc>
          <w:tcPr>
            <w:tcW w:w="4876" w:type="dxa"/>
            <w:tcBorders>
              <w:top w:val="nil"/>
              <w:left w:val="nil"/>
              <w:bottom w:val="nil"/>
              <w:right w:val="nil"/>
            </w:tcBorders>
          </w:tcPr>
          <w:p>
            <w:pPr>
              <w:pStyle w:val="Normal6a"/>
            </w:pPr>
            <w:r>
              <w:t>19.</w:t>
            </w:r>
            <w:r>
              <w:tab/>
            </w:r>
            <w:r>
              <w:rPr>
                <w:b/>
                <w:i/>
              </w:rPr>
              <w:t>je seznanjen z enotnim skladom</w:t>
            </w:r>
            <w:r>
              <w:t xml:space="preserve"> za reševanje kot v celoti vzajemno varnostno mrežo, ki jo financira 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pozdravlja enotni sklad za reševanje kot </w:t>
            </w:r>
            <w:r>
              <w:rPr>
                <w:b/>
                <w:i/>
              </w:rPr>
              <w:t>v celoti vzajemno varnostno mrežo, ki jo financira sektor</w:t>
            </w:r>
            <w:r>
              <w:t>; ponovno poziva k popolni ratifikaciji spremembe Pogodbe o EMS, da bi okrepili verodostojnost, rešljivost in odpornost euroobmočja;</w:t>
            </w:r>
          </w:p>
        </w:tc>
        <w:tc>
          <w:tcPr>
            <w:tcW w:w="4876" w:type="dxa"/>
            <w:tcBorders>
              <w:top w:val="nil"/>
              <w:left w:val="nil"/>
              <w:bottom w:val="nil"/>
              <w:right w:val="nil"/>
            </w:tcBorders>
          </w:tcPr>
          <w:p>
            <w:pPr>
              <w:pStyle w:val="Normal6a"/>
            </w:pPr>
            <w:r>
              <w:t>19.</w:t>
            </w:r>
            <w:r>
              <w:tab/>
            </w:r>
            <w:r>
              <w:t xml:space="preserve">pozdravlja enotni sklad za reševanje kot </w:t>
            </w:r>
            <w:r>
              <w:rPr>
                <w:b/>
                <w:i/>
              </w:rPr>
              <w:t>varovalni mehanizem za podporo urejenemu upravljanju bančnih kriz</w:t>
            </w:r>
            <w:r>
              <w:t>; ponovno poziva k popolni ratifikaciji spremembe Pogodbe o EMS, da bi okrepili verodostojnost, rešljivost in odpornost euroobmočja</w:t>
            </w:r>
            <w:r>
              <w:rPr>
                <w:b/>
                <w:i/>
              </w:rPr>
              <w:t>, hkrati pa ohranili tržno disciplino in zaščito davkoplačevalcev</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pozdravlja enotni sklad za reševanje kot v celoti vzajemno varnostno mrežo, ki jo financira sektor; ponovno poziva k popolni ratifikaciji spremembe Pogodbe o EMS, da bi okrepili verodostojnost, rešljivost in odpornost euroobmočja;</w:t>
            </w:r>
          </w:p>
        </w:tc>
        <w:tc>
          <w:tcPr>
            <w:tcW w:w="4876" w:type="dxa"/>
            <w:tcBorders>
              <w:top w:val="nil"/>
              <w:left w:val="nil"/>
              <w:bottom w:val="nil"/>
              <w:right w:val="nil"/>
            </w:tcBorders>
          </w:tcPr>
          <w:p>
            <w:pPr>
              <w:pStyle w:val="Normal6a"/>
            </w:pPr>
            <w:r>
              <w:t>19.</w:t>
            </w:r>
            <w:r>
              <w:tab/>
            </w:r>
            <w:r>
              <w:t xml:space="preserve">pozdravlja enotni sklad za reševanje kot v celoti vzajemno varnostno mrežo, ki jo financira sektor; ponovno poziva k popolni ratifikaciji spremembe Pogodbe o EMS, da bi okrepili verodostojnost, rešljivost in odpornost euroobmočja; </w:t>
            </w:r>
            <w:r>
              <w:rPr>
                <w:b/>
                <w:i/>
              </w:rPr>
              <w:t>poudarja cilj zaščite davkoplačevalcev v primeru reševanja in opozarja, da se poleg dogovorjenega skupnega varovala za propadajoče banke ne bi smela uporabljati dodatna davkoplačevalska sredstva;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vse države članice, naj v celoti ratificirajo sporazum o spremembi pogodbe o ustanovitvi evropskega mehanizma za stabilnost, vključno z vzpostavitvijo skupnega varovala za enotni sklad za reševanje;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opozarja, da je politika ničelne uteži tveganja za javni dolg težava, ki jo je treba obravnavati;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obžaluje neuravnoteženo zastopanost spolov v vodstvu Enotnega odbora za reševanje;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poudarja, da je bil predlog Komisije o vzpostavitvi evropskega sistema jamstva za vloge objavljen že leta 2015 in da se je okolje od takrat bistveno spremenilo;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ponavlja, da je trdno zavezan vzpostavitvi popolnoma delujočega evropskega sistema jamstva za vloge kot tretjega, končnega in bistvenega stebra bančne unije;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ponavlja, da je trdno zavezan vzpostavitvi popolnoma delujočega evropskega sistema jamstva za vloge kot tretjega, končnega in bistvenega stebra bančne unije;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ponavlja, da je trdno zavezan vzpostavitvi popolnoma delujočega evropskega sistema</w:t>
            </w:r>
            <w:r>
              <w:t xml:space="preserve"> jamstva za vloge </w:t>
            </w:r>
            <w:r>
              <w:rPr>
                <w:b/>
                <w:i/>
              </w:rPr>
              <w:t>kot tretjega, končnega in bistvenega stebra bančne unije</w:t>
            </w:r>
            <w:r>
              <w:t>;</w:t>
            </w:r>
          </w:p>
        </w:tc>
        <w:tc>
          <w:tcPr>
            <w:tcW w:w="4876" w:type="dxa"/>
            <w:tcBorders>
              <w:top w:val="nil"/>
              <w:left w:val="nil"/>
              <w:bottom w:val="nil"/>
              <w:right w:val="nil"/>
            </w:tcBorders>
          </w:tcPr>
          <w:p>
            <w:pPr>
              <w:pStyle w:val="Normal6a"/>
            </w:pPr>
            <w:r>
              <w:t>20.</w:t>
            </w:r>
            <w:r>
              <w:tab/>
            </w:r>
            <w:r>
              <w:rPr>
                <w:b/>
                <w:i/>
              </w:rPr>
              <w:t>Zavrača evropski sistem</w:t>
            </w:r>
            <w:r>
              <w:t xml:space="preserve"> jamstva za vloge</w:t>
            </w:r>
            <w:r>
              <w:rPr>
                <w:b/>
                <w:i/>
              </w:rPr>
              <w:t>;</w:t>
            </w:r>
            <w:r>
              <w:t xml:space="preserve"> </w:t>
            </w:r>
            <w:r>
              <w:rPr>
                <w:b/>
                <w:i/>
              </w:rPr>
              <w:t>trdi, da vzajemno zavarovanje vlog že samo po sebi preusmerja tveganje v močnejša gospodarstva in slabi spodbude za vlagatelje, da bi spremljali bančno tveganje, kar povzroča moralno tveganje</w:t>
            </w:r>
            <w:r>
              <w:t xml:space="preserve">; </w:t>
            </w:r>
            <w:r>
              <w:rPr>
                <w:b/>
                <w:i/>
              </w:rPr>
              <w:t>namesto tega se zavzema za trdne nacionalne sisteme z usklajenimi minimalnimi standardi, ki ohranjajo tržne cenovne signale in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ponavlja</w:t>
            </w:r>
            <w:r>
              <w:t xml:space="preserve">, da je </w:t>
            </w:r>
            <w:r>
              <w:rPr>
                <w:b/>
                <w:i/>
              </w:rPr>
              <w:t>trdno zavezan vzpostavitvi popolnoma delujočega</w:t>
            </w:r>
            <w:r>
              <w:t xml:space="preserve"> evropskega sistema jamstva za vloge </w:t>
            </w:r>
            <w:r>
              <w:rPr>
                <w:b/>
                <w:i/>
              </w:rPr>
              <w:t>kot tretjega, končnega in bistvenega stebra bančne unije</w:t>
            </w:r>
            <w:r>
              <w:t>;</w:t>
            </w:r>
          </w:p>
        </w:tc>
        <w:tc>
          <w:tcPr>
            <w:tcW w:w="4876" w:type="dxa"/>
            <w:tcBorders>
              <w:top w:val="nil"/>
              <w:left w:val="nil"/>
              <w:bottom w:val="nil"/>
              <w:right w:val="nil"/>
            </w:tcBorders>
          </w:tcPr>
          <w:p>
            <w:pPr>
              <w:pStyle w:val="Normal6a"/>
            </w:pPr>
            <w:r>
              <w:t>20.</w:t>
            </w:r>
            <w:r>
              <w:tab/>
            </w:r>
            <w:r>
              <w:rPr>
                <w:b/>
                <w:i/>
              </w:rPr>
              <w:t>poudarja</w:t>
            </w:r>
            <w:r>
              <w:t xml:space="preserve">, da je </w:t>
            </w:r>
            <w:r>
              <w:rPr>
                <w:b/>
                <w:i/>
              </w:rPr>
              <w:t>treba institucionalne sheme za zaščito vlog izključiti iz</w:t>
            </w:r>
            <w:r>
              <w:t xml:space="preserve"> evropskega sistema jamstva za vloge</w:t>
            </w:r>
            <w:r>
              <w:rPr>
                <w:b/>
                <w:i/>
              </w:rPr>
              <w:t>, da bi zagotovili njihovo nadaljnje delovanje, hkrati pa ohranili avtonomijo in učinkovitost institucionalnih sistemov za zaščito vlog ter spoštovali posebna pravila za institucionalne sheme za zaščito vlog, dogovorjena v pregledu okvira za upravljanje bančnih kriz in jamstva za vloge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ponavlja, da je trdno zavezan vzpostavitvi popolnoma delujočega evropskega sistema</w:t>
            </w:r>
            <w:r>
              <w:t xml:space="preserve"> jamstva za vloge </w:t>
            </w:r>
            <w:r>
              <w:rPr>
                <w:b/>
                <w:i/>
              </w:rPr>
              <w:t>kot tretjega, končnega in bistvenega stebra</w:t>
            </w:r>
            <w:r>
              <w:t xml:space="preserve"> bančne unije;</w:t>
            </w:r>
          </w:p>
        </w:tc>
        <w:tc>
          <w:tcPr>
            <w:tcW w:w="4876" w:type="dxa"/>
            <w:tcBorders>
              <w:top w:val="nil"/>
              <w:left w:val="nil"/>
              <w:bottom w:val="nil"/>
              <w:right w:val="nil"/>
            </w:tcBorders>
          </w:tcPr>
          <w:p>
            <w:pPr>
              <w:pStyle w:val="Normal6a"/>
            </w:pPr>
            <w:r>
              <w:t>20.</w:t>
            </w:r>
            <w:r>
              <w:tab/>
            </w:r>
            <w:r>
              <w:rPr>
                <w:b/>
                <w:i/>
              </w:rPr>
              <w:t>je seznanjen z izjavo Euroskupine z dne 16. junija 2022 o prihodnosti bančne unije in priznava, da bi morala biti vsaka razprava o evropskem sistemu</w:t>
            </w:r>
            <w:r>
              <w:t xml:space="preserve"> jamstva za vloge </w:t>
            </w:r>
            <w:r>
              <w:rPr>
                <w:b/>
                <w:i/>
              </w:rPr>
              <w:t>del širše razprave o vseh preostalih elementih</w:t>
            </w:r>
            <w:r>
              <w:t xml:space="preserve"> bančne unije</w:t>
            </w:r>
            <w:r>
              <w:rPr>
                <w:b/>
                <w:i/>
              </w:rPr>
              <w:t>, da se zagotovi sorazmernost in upoštevajo nacionalne posebnosti</w:t>
            </w:r>
            <w:r>
              <w:t xml:space="preserve">; </w:t>
            </w:r>
            <w:r>
              <w:rPr>
                <w:b/>
                <w:i/>
              </w:rPr>
              <w:t>poudarja, da bi bilo treba doseči sporazumni dogovor o morebitnih nadaljnjih ključnih elementih bančne unije, preden se začnejo pripravljati konkretni zakonodajni predlogi;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ponavlja, da je trdno zavezan </w:t>
            </w:r>
            <w:r>
              <w:rPr>
                <w:b/>
                <w:i/>
              </w:rPr>
              <w:t>vzpostavitvi popolnoma delujočega evropskega sistema jamstva za vloge kot tretjega, končnega in bistvenega stebra</w:t>
            </w:r>
            <w:r>
              <w:t xml:space="preserve"> bančne unije;</w:t>
            </w:r>
          </w:p>
        </w:tc>
        <w:tc>
          <w:tcPr>
            <w:tcW w:w="4876" w:type="dxa"/>
            <w:tcBorders>
              <w:top w:val="nil"/>
              <w:left w:val="nil"/>
              <w:bottom w:val="nil"/>
              <w:right w:val="nil"/>
            </w:tcBorders>
          </w:tcPr>
          <w:p>
            <w:pPr>
              <w:pStyle w:val="Normal6a"/>
            </w:pPr>
            <w:r>
              <w:t>20.</w:t>
            </w:r>
            <w:r>
              <w:tab/>
            </w:r>
            <w:r>
              <w:t>ponavlja, da je trdno zavezan </w:t>
            </w:r>
            <w:r>
              <w:rPr>
                <w:b/>
                <w:i/>
              </w:rPr>
              <w:t>nadaljnjemu razvoju</w:t>
            </w:r>
            <w:r>
              <w:t xml:space="preserve"> bančne unije</w:t>
            </w:r>
            <w:r>
              <w:rPr>
                <w:b/>
                <w:i/>
              </w:rPr>
              <w:t>, pri čemer je treba ustrezno upoštevati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ponavlja, da je trdno zavezan </w:t>
            </w:r>
            <w:r>
              <w:rPr>
                <w:b/>
                <w:i/>
              </w:rPr>
              <w:t>vzpostavitvi popolnoma delujočega evropskega sistema</w:t>
            </w:r>
            <w:r>
              <w:t xml:space="preserve"> jamstva za vloge </w:t>
            </w:r>
            <w:r>
              <w:rPr>
                <w:b/>
                <w:i/>
              </w:rPr>
              <w:t>kot tretjega, končnega in bistvenega stebra bančne unije</w:t>
            </w:r>
            <w:r>
              <w:t>;</w:t>
            </w:r>
          </w:p>
        </w:tc>
        <w:tc>
          <w:tcPr>
            <w:tcW w:w="4876" w:type="dxa"/>
            <w:tcBorders>
              <w:top w:val="nil"/>
              <w:left w:val="nil"/>
              <w:bottom w:val="nil"/>
              <w:right w:val="nil"/>
            </w:tcBorders>
          </w:tcPr>
          <w:p>
            <w:pPr>
              <w:pStyle w:val="Normal6a"/>
            </w:pPr>
            <w:r>
              <w:t>20.</w:t>
            </w:r>
            <w:r>
              <w:tab/>
            </w:r>
            <w:r>
              <w:t xml:space="preserve">ponavlja, da je trdno zavezan </w:t>
            </w:r>
            <w:r>
              <w:rPr>
                <w:b/>
                <w:i/>
              </w:rPr>
              <w:t>trdni in popolni bančni uniji;</w:t>
            </w:r>
            <w:r>
              <w:t xml:space="preserve"> </w:t>
            </w:r>
            <w:r>
              <w:rPr>
                <w:b/>
                <w:i/>
              </w:rPr>
              <w:t>opozarja, da sozakonodajalca nista dosegla napredka pri evropskem sistemu</w:t>
            </w:r>
            <w:r>
              <w:t xml:space="preserve"> jamstva za vloge;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ponavlja, da je trdno zavezan vzpostavitvi </w:t>
            </w:r>
            <w:r>
              <w:rPr>
                <w:b/>
                <w:i/>
              </w:rPr>
              <w:t>popolnoma delujočega</w:t>
            </w:r>
            <w:r>
              <w:t xml:space="preserve"> evropskega sistema jamstva za vloge kot tretjega, končnega in bistvenega stebra bančne unije;</w:t>
            </w:r>
          </w:p>
        </w:tc>
        <w:tc>
          <w:tcPr>
            <w:tcW w:w="4876" w:type="dxa"/>
            <w:tcBorders>
              <w:top w:val="nil"/>
              <w:left w:val="nil"/>
              <w:bottom w:val="nil"/>
              <w:right w:val="nil"/>
            </w:tcBorders>
          </w:tcPr>
          <w:p>
            <w:pPr>
              <w:pStyle w:val="Normal6a"/>
            </w:pPr>
            <w:r>
              <w:t>20.</w:t>
            </w:r>
            <w:r>
              <w:tab/>
            </w:r>
            <w:r>
              <w:t>ponavlja, da je trdno zavezan vzpostavitvi evropskega sistema jamstva za vloge</w:t>
            </w:r>
            <w:r>
              <w:rPr>
                <w:b/>
                <w:i/>
              </w:rPr>
              <w:t>, ki v celoti upošteva nacionalne posebnosti,</w:t>
            </w:r>
            <w:r>
              <w:t xml:space="preserve"> kot tretjega, končnega in bistvenega stebra bančne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ponavlja, da je trdno zavezan vzpostavitvi popolnoma delujočega evropskega sistema jamstva za vloge kot tretjega, končnega in bistvenega stebra bančne unije;</w:t>
            </w:r>
          </w:p>
        </w:tc>
        <w:tc>
          <w:tcPr>
            <w:tcW w:w="4876" w:type="dxa"/>
            <w:tcBorders>
              <w:top w:val="nil"/>
              <w:left w:val="nil"/>
              <w:bottom w:val="nil"/>
              <w:right w:val="nil"/>
            </w:tcBorders>
          </w:tcPr>
          <w:p>
            <w:pPr>
              <w:pStyle w:val="Normal6a"/>
            </w:pPr>
            <w:r>
              <w:t>20.</w:t>
            </w:r>
            <w:r>
              <w:tab/>
            </w:r>
            <w:r>
              <w:t xml:space="preserve">ponavlja, da je trdno zavezan vzpostavitvi popolnoma delujočega </w:t>
            </w:r>
            <w:r>
              <w:rPr>
                <w:b/>
                <w:i/>
              </w:rPr>
              <w:t>vzajemnega</w:t>
            </w:r>
            <w:r>
              <w:t xml:space="preserve"> evropskega sistema jamstva za vloge kot tretjega, končnega in bistvenega stebra bančne unije; </w:t>
            </w:r>
            <w:r>
              <w:rPr>
                <w:b/>
                <w:i/>
              </w:rPr>
              <w:t>poudarja, da je skupni sistem zaščite vlog nujen za zagotovitev enake zaščite vlagateljev po vsej Uniji, nadaljnjo krepitev finančne stabilnosti in odločno zmanjšanje preostalih povezav med bankami in državami;</w:t>
            </w:r>
            <w:r>
              <w:t xml:space="preserve"> </w:t>
            </w:r>
            <w:r>
              <w:rPr>
                <w:b/>
                <w:i/>
              </w:rPr>
              <w:t>poudarja, da bi si bilo treba za dokončanje evropskega sistema jamstva za vloge prizadevati na način, ki temelji na tveganju, je fiskalno odgovoren in ga spremljajo stalna prizadevanja za zmanjšanje tveganja, s čimer bi okrepili zaupanje v trg in celovitost enotnega bančnega trga;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ponavlja, da je trdno zavezan vzpostavitvi popolnoma delujočega evropskega sistema jamstva za vloge kot tretjega, končnega in bistvenega stebra bančne unije;</w:t>
            </w:r>
          </w:p>
        </w:tc>
        <w:tc>
          <w:tcPr>
            <w:tcW w:w="4876" w:type="dxa"/>
            <w:tcBorders>
              <w:top w:val="nil"/>
              <w:left w:val="nil"/>
              <w:bottom w:val="nil"/>
              <w:right w:val="nil"/>
            </w:tcBorders>
          </w:tcPr>
          <w:p>
            <w:pPr>
              <w:pStyle w:val="Normal6a"/>
            </w:pPr>
            <w:r>
              <w:t>20.</w:t>
            </w:r>
            <w:r>
              <w:tab/>
            </w:r>
            <w:r>
              <w:t>ponavlja, da je trdno zavezan vzpostavitvi popolnoma delujočega evropskega sistema jamstva za vloge</w:t>
            </w:r>
            <w:r>
              <w:rPr>
                <w:b/>
                <w:i/>
              </w:rPr>
              <w:t>, ki zagotavlja kritje izgub,</w:t>
            </w:r>
            <w:r>
              <w:t xml:space="preserve"> kot tretjega, končnega in bistvenega stebra bančne unije; </w:t>
            </w:r>
            <w:r>
              <w:rPr>
                <w:b/>
                <w:i/>
              </w:rPr>
              <w:t>opozarja, da bi evropski sistem jamstva za vloge znatno zmanjšal vrzel med bankami in njihovimi državami;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ponavlja, da je trdno zavezan vzpostavitvi popolnoma delujočega evropskega sistema jamstva za vloge kot tretjega, končnega in bistvenega stebra bančne unije;</w:t>
            </w:r>
          </w:p>
        </w:tc>
        <w:tc>
          <w:tcPr>
            <w:tcW w:w="4876" w:type="dxa"/>
            <w:tcBorders>
              <w:top w:val="nil"/>
              <w:left w:val="nil"/>
              <w:bottom w:val="nil"/>
              <w:right w:val="nil"/>
            </w:tcBorders>
          </w:tcPr>
          <w:p>
            <w:pPr>
              <w:pStyle w:val="Normal6a"/>
            </w:pPr>
            <w:r>
              <w:t>20.</w:t>
            </w:r>
            <w:r>
              <w:tab/>
            </w:r>
            <w:r>
              <w:t>ponavlja, da je trdno zavezan vzpostavitvi popolnoma delujočega evropskega sistema jamstva za vloge kot tretjega, končnega in bistvenega stebra bančne unije</w:t>
            </w:r>
            <w:r>
              <w:rPr>
                <w:b/>
                <w:i/>
              </w:rPr>
              <w:t>, ki temelji na ustreznem zmanjšanju tveganja, pravih spodbudah in zasnovi, ki krepi zaupanje vlagateljev, tržno disciplino in finančno stabilnost po vsej Uniji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ponavlja, da je trdno zavezan vzpostavitvi </w:t>
            </w:r>
            <w:r>
              <w:rPr>
                <w:b/>
                <w:i/>
              </w:rPr>
              <w:t>popolnoma delujočega</w:t>
            </w:r>
            <w:r>
              <w:t xml:space="preserve"> evropskega sistema jamstva za vloge kot tretjega, končnega in bistvenega stebra bančne unije;</w:t>
            </w:r>
          </w:p>
        </w:tc>
        <w:tc>
          <w:tcPr>
            <w:tcW w:w="4876" w:type="dxa"/>
            <w:tcBorders>
              <w:top w:val="nil"/>
              <w:left w:val="nil"/>
              <w:bottom w:val="nil"/>
              <w:right w:val="nil"/>
            </w:tcBorders>
          </w:tcPr>
          <w:p>
            <w:pPr>
              <w:pStyle w:val="Normal6a"/>
            </w:pPr>
            <w:r>
              <w:t>20.</w:t>
            </w:r>
            <w:r>
              <w:tab/>
            </w:r>
            <w:r>
              <w:t xml:space="preserve">ponavlja, da je trdno zavezan vzpostavitvi evropskega sistema jamstva za vloge kot tretjega, končnega in bistvenega stebra bančne unije; </w:t>
            </w:r>
            <w:r>
              <w:rPr>
                <w:b/>
                <w:i/>
              </w:rPr>
              <w:t>meni, da bi se moralo s postopno uvedbo evropskega sistema jamstva za vloge zmanjšati tveganje za vse banke v bančni uniji;</w:t>
            </w:r>
            <w:r>
              <w:t xml:space="preserve"> </w:t>
            </w:r>
            <w:r>
              <w:rPr>
                <w:b/>
                <w:i/>
              </w:rPr>
              <w:t>poudarja, da je treba pri prispevkih v evropski sistem jamstva za vloge upoštevati profil tveganja za vsak sodelujoči sektor;</w:t>
            </w:r>
            <w:r>
              <w:t xml:space="preserve"> </w:t>
            </w:r>
            <w:r>
              <w:rPr>
                <w:b/>
                <w:i/>
              </w:rPr>
              <w:t>poudarja tudi pomen popolne uporabe veljavnih pravil, vključno z mehanizmi, kot so opustitve v zvezi z likvidnostjo, kot enega od načinov za zagotovitev prostih kapitalskih in likvidnostnih tokov znotraj skupine, s čimer bi evropskim bankam omogočili učinkovito financiranje podjetij po vsej EU in povečali konkurenčnost;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ponavlja, da je trdno zavezan vzpostavitvi popolnoma delujočega evropskega sistema jamstva za vloge kot tretjega, končnega in bistvenega stebra bančne unije;</w:t>
            </w:r>
          </w:p>
        </w:tc>
        <w:tc>
          <w:tcPr>
            <w:tcW w:w="4876" w:type="dxa"/>
            <w:tcBorders>
              <w:top w:val="nil"/>
              <w:left w:val="nil"/>
              <w:bottom w:val="nil"/>
              <w:right w:val="nil"/>
            </w:tcBorders>
          </w:tcPr>
          <w:p>
            <w:pPr>
              <w:pStyle w:val="Normal6a"/>
            </w:pPr>
            <w:r>
              <w:t>20.</w:t>
            </w:r>
            <w:r>
              <w:tab/>
            </w:r>
            <w:r>
              <w:t xml:space="preserve">ponavlja, da je trdno zavezan vzpostavitvi popolnoma delujočega evropskega sistema jamstva za vloge kot tretjega, končnega in bistvenega stebra bančne unije; </w:t>
            </w:r>
            <w:r>
              <w:rPr>
                <w:b/>
                <w:i/>
              </w:rPr>
              <w:t>obžaluje, da je bančna unija še vedno nepopolna, ker evropski sistem jamstva za vloge še ni dokončan;</w:t>
            </w:r>
            <w:r>
              <w:t xml:space="preserve"> </w:t>
            </w:r>
            <w:r>
              <w:rPr>
                <w:b/>
                <w:i/>
              </w:rPr>
              <w:t>priznava, da bi se z evropskim sistemom jamstva za vloge izboljšala zaščita vlagateljev v EU;</w:t>
            </w:r>
            <w:r>
              <w:t xml:space="preserve"> </w:t>
            </w:r>
            <w:r>
              <w:rPr>
                <w:b/>
                <w:i/>
              </w:rPr>
              <w:t>opozarja, da bi bil evropski sistem jamstva za vloge oprijemljiv element bančne unije za državljane EU, skupaj z večjo konkurenco in izbiro za potrošnike;</w:t>
            </w:r>
            <w:r>
              <w:t xml:space="preserve"> </w:t>
            </w:r>
            <w:r>
              <w:rPr>
                <w:b/>
                <w:i/>
              </w:rPr>
              <w:t>meni, da bi evropski sistem jamstva za vloge zagotavljal;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priznava, da bi evropski sistem jamstva za vloge (EDIS) lahko izboljšal zaščito vlagateljev v EU;</w:t>
            </w:r>
            <w:r>
              <w:t xml:space="preserve"> </w:t>
            </w:r>
            <w:r>
              <w:rPr>
                <w:b/>
                <w:i/>
              </w:rPr>
              <w:t>vendar meni, da je glavna ovira za uvedbo sistema EDIS zaskrbljenost glede tveganj v nekaterih bančnih sistemih;</w:t>
            </w:r>
            <w:r>
              <w:t xml:space="preserve"> </w:t>
            </w:r>
            <w:r>
              <w:rPr>
                <w:b/>
                <w:i/>
              </w:rPr>
              <w:t>poudarja, da je zmanjšanje teh tveganj ključno za dosego dogovora o katerem koli evropskem sistemu jamstva za vloge;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poudarja, da prvotno predlagana oblika evropskega sistema jamstva za vloge ni več veljavna in da ni možnosti za pridobitev podpore, ki bi omogočila njegovo izvajanje;</w:t>
            </w:r>
            <w:r>
              <w:t xml:space="preserve"> </w:t>
            </w:r>
            <w:r>
              <w:rPr>
                <w:b/>
                <w:i/>
              </w:rPr>
              <w:t>meni, da morebitni evropski sistem jamstva za vloge ne bi smel biti v obliki popolnoma integriranega sistema, temveč v obliki pozavarovanja;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w:t>
            </w:r>
            <w:r>
              <w:t xml:space="preserve"> </w:t>
            </w:r>
            <w:r>
              <w:rPr>
                <w:b/>
                <w:i/>
              </w:rPr>
              <w:t>opozarja na stališče tega odbora iz leta 2024 o evropskem sistemu jamstva za vloge;</w:t>
            </w:r>
            <w:r>
              <w:t xml:space="preserve"> </w:t>
            </w:r>
            <w:r>
              <w:rPr>
                <w:b/>
                <w:i/>
              </w:rPr>
              <w:t>odločno poziva Svet, naj pospeši pogajanja;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pozdravlja sprejetje svežnja o okviru za krizno upravljanje in</w:t>
            </w:r>
            <w:r>
              <w:t xml:space="preserve"> jamstva za vloge </w:t>
            </w:r>
            <w:r>
              <w:rPr>
                <w:b/>
                <w:i/>
              </w:rPr>
              <w:t>kot pozitiven korak, ki krepi nacionalne sisteme jamstva za vloge, krepi zaupanje v bančni sektor ter izboljšuje operativne in pravne pogoje za prehod na skupno zaščito vlagateljev in davkoplačevalcev na ravni EU;</w:t>
            </w:r>
            <w:r>
              <w:t xml:space="preserve"> </w:t>
            </w:r>
            <w:r>
              <w:rPr>
                <w:b/>
                <w:i/>
              </w:rPr>
              <w:t>opozarja na stališče tega odbora iz leta 2024</w:t>
            </w:r>
            <w:r>
              <w:t xml:space="preserve"> o evropskem sistemu jamstva za vloge; </w:t>
            </w:r>
            <w:r>
              <w:rPr>
                <w:b/>
                <w:i/>
              </w:rPr>
              <w:t>odločno poziva Svet, naj pospeši pogajanja</w:t>
            </w:r>
            <w:r>
              <w:t>;</w:t>
            </w:r>
          </w:p>
        </w:tc>
        <w:tc>
          <w:tcPr>
            <w:tcW w:w="4876" w:type="dxa"/>
            <w:tcBorders>
              <w:top w:val="nil"/>
              <w:left w:val="nil"/>
              <w:bottom w:val="nil"/>
              <w:right w:val="nil"/>
            </w:tcBorders>
          </w:tcPr>
          <w:p>
            <w:pPr>
              <w:pStyle w:val="Normal6a"/>
            </w:pPr>
            <w:r>
              <w:t>21.</w:t>
            </w:r>
            <w:r>
              <w:tab/>
            </w:r>
            <w:r>
              <w:rPr>
                <w:b/>
                <w:i/>
              </w:rPr>
              <w:t>poziva Komisijo, naj prizna, da sedanji zakonodajni predlog o evropskem sistemu</w:t>
            </w:r>
            <w:r>
              <w:t xml:space="preserve"> jamstva za vloge </w:t>
            </w:r>
            <w:r>
              <w:rPr>
                <w:b/>
                <w:i/>
              </w:rPr>
              <w:t>že več let ni prinesel oprijemljivega napredka, obžaluje, da je ta dolgotrajni zastoj spodkopal verodostojnost zaveze za dokončanje bančne unije, in jo poziva, naj umakne sedanji predlog ter nemudoma predstavi prenovljeno in ambicioznejšo pobudo, s katero bo mogoče doseči pristen politični dogovor</w:t>
            </w:r>
            <w:r>
              <w:t xml:space="preserve"> o evropskem sistemu jamstva za vloge; </w:t>
            </w:r>
            <w:r>
              <w:rPr>
                <w:b/>
                <w:i/>
              </w:rPr>
              <w:t>poudarja, da bi moral tak nov predlog zagotoviti verodostojen, učinkovit in na tveganju temelječ okvir, ki bo dal resnično spodbudo za dokončanje evropskega sistema jamstva za vloge, okrepil zaupanje vlagateljev in zagotovil enake konkurenčne pogoje na enotnem bančnem trgu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pozdravlja sprejetje svežnja o okviru</w:t>
            </w:r>
            <w:r>
              <w:t xml:space="preserve"> za krizno upravljanje in jamstva za vloge </w:t>
            </w:r>
            <w:r>
              <w:rPr>
                <w:b/>
                <w:i/>
              </w:rPr>
              <w:t>kot pozitiven korak, ki krepi nacionalne</w:t>
            </w:r>
            <w:r>
              <w:t xml:space="preserve"> sisteme </w:t>
            </w:r>
            <w:r>
              <w:rPr>
                <w:b/>
                <w:i/>
              </w:rPr>
              <w:t>jamstva za vloge, krepi zaupanje v bančni sektor ter izboljšuje operativne in pravne pogoje za prehod na skupno zaščito vlagateljev in davkoplačevalcev na ravni EU</w:t>
            </w:r>
            <w:r>
              <w:t xml:space="preserve">; </w:t>
            </w:r>
            <w:r>
              <w:rPr>
                <w:b/>
                <w:i/>
              </w:rPr>
              <w:t>opozarja na stališče tega odbora iz leta 2024 o evropskem sistemu jamstva za vloge;</w:t>
            </w:r>
            <w:r>
              <w:t xml:space="preserve"> </w:t>
            </w:r>
            <w:r>
              <w:rPr>
                <w:b/>
                <w:i/>
              </w:rPr>
              <w:t>odločno poziva Svet, naj pospeši pogajanja;</w:t>
            </w:r>
          </w:p>
        </w:tc>
        <w:tc>
          <w:tcPr>
            <w:tcW w:w="4876" w:type="dxa"/>
            <w:tcBorders>
              <w:top w:val="nil"/>
              <w:left w:val="nil"/>
              <w:bottom w:val="nil"/>
              <w:right w:val="nil"/>
            </w:tcBorders>
          </w:tcPr>
          <w:p>
            <w:pPr>
              <w:pStyle w:val="Normal6a"/>
            </w:pPr>
            <w:r>
              <w:t>21.</w:t>
            </w:r>
            <w:r>
              <w:tab/>
            </w:r>
            <w:r>
              <w:rPr>
                <w:b/>
                <w:i/>
              </w:rPr>
              <w:t>priznava napredek, dosežen na področju okvira</w:t>
            </w:r>
            <w:r>
              <w:t xml:space="preserve"> za krizno upravljanje in jamstva za vloge</w:t>
            </w:r>
            <w:r>
              <w:rPr>
                <w:b/>
                <w:i/>
              </w:rPr>
              <w:t>, vendar svari pred prevelikim zanašanjem na centralizirane</w:t>
            </w:r>
            <w:r>
              <w:t xml:space="preserve"> sisteme</w:t>
            </w:r>
            <w:r>
              <w:rPr>
                <w:b/>
                <w:i/>
              </w:rPr>
              <w:t>, ki bi lahko zmanjšali odgovornost in fiskalno odgovorne države članice izpostavili sistemskim obveznostim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w:t>
            </w:r>
            <w:r>
              <w:rPr>
                <w:b/>
                <w:i/>
              </w:rPr>
              <w:t>, krepi</w:t>
            </w:r>
            <w:r>
              <w:t xml:space="preserve"> zaupanje v bančni sektor </w:t>
            </w:r>
            <w:r>
              <w:rPr>
                <w:b/>
                <w:i/>
              </w:rPr>
              <w:t>ter izboljšuje operativne in pravne pogoje za prehod na skupno zaščito vlagateljev in davkoplačevalcev na ravni EU</w:t>
            </w:r>
            <w:r>
              <w:t xml:space="preserve">; </w:t>
            </w:r>
            <w:r>
              <w:rPr>
                <w:b/>
                <w:i/>
              </w:rPr>
              <w:t>opozarja na stališče tega odbora iz leta 2024 o evropskem sistemu jamstva za vloge;</w:t>
            </w:r>
            <w:r>
              <w:t xml:space="preserve"> </w:t>
            </w:r>
            <w:r>
              <w:rPr>
                <w:b/>
                <w:i/>
              </w:rPr>
              <w:t>odločno poziva Svet, naj pospeši pogajanja;</w:t>
            </w:r>
          </w:p>
        </w:tc>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w:t>
            </w:r>
            <w:r>
              <w:rPr>
                <w:b/>
                <w:i/>
              </w:rPr>
              <w:t> in</w:t>
            </w:r>
            <w:r>
              <w:t xml:space="preserve"> zaupanje v bančni 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w:t>
            </w:r>
            <w:r>
              <w:rPr>
                <w:b/>
                <w:i/>
              </w:rPr>
              <w:t>opozarja na stališče tega odbora iz leta 2024 o evropskem sistemu jamstva za vloge;</w:t>
            </w:r>
            <w:r>
              <w:t xml:space="preserve"> </w:t>
            </w:r>
            <w:r>
              <w:rPr>
                <w:b/>
                <w:i/>
              </w:rPr>
              <w:t>odločno poziva Svet, naj pospeši pogajanja;</w:t>
            </w:r>
          </w:p>
        </w:tc>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v imenu skupine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w:t>
            </w:r>
            <w:r>
              <w:rPr>
                <w:b/>
                <w:i/>
              </w:rPr>
              <w:t>opozarja na stališče tega odbora iz leta 2024 o evropskem sistemu jamstva za vloge;</w:t>
            </w:r>
            <w:r>
              <w:t xml:space="preserve"> </w:t>
            </w:r>
            <w:r>
              <w:rPr>
                <w:b/>
                <w:i/>
              </w:rPr>
              <w:t>odločno poziva Svet, naj pospeši pogajanja;</w:t>
            </w:r>
          </w:p>
        </w:tc>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w:t>
            </w:r>
            <w:r>
              <w:rPr>
                <w:b/>
                <w:i/>
              </w:rPr>
              <w:t>opozarja na stališče tega odbora iz leta 2024 o evropskem sistemu jamstva za vloge;</w:t>
            </w:r>
            <w:r>
              <w:t xml:space="preserve"> odločno poziva Svet, naj pospeši pogajanja;</w:t>
            </w:r>
          </w:p>
        </w:tc>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odločno poziva Svet, naj pospeši pogajanja;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w:t>
            </w:r>
            <w:r>
              <w:rPr>
                <w:b/>
                <w:i/>
              </w:rPr>
              <w:t>opozarja na stališče tega odbora iz leta 2024 o evropskem sistemu jamstva za vloge;</w:t>
            </w:r>
            <w:r>
              <w:t xml:space="preserve"> odločno poziva Svet, naj pospeši pogajanja;</w:t>
            </w:r>
          </w:p>
        </w:tc>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odločno poziva Svet, naj pospeši pogajanja;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w:t>
            </w:r>
            <w:r>
              <w:rPr>
                <w:b/>
                <w:i/>
              </w:rPr>
              <w:t>krepi nacionalne sisteme jamstva za vloge,</w:t>
            </w:r>
            <w:r>
              <w:t xml:space="preserve"> krepi zaupanje v bančni sektor ter izboljšuje operativne in pravne pogoje za prehod na skupno zaščito vlagateljev in davkoplačevalcev na ravni EU; opozarja na stališče tega odbora iz leta 2024 o evropskem sistemu jamstva za vloge; odločno poziva Svet, naj pospeši pogajanja;</w:t>
            </w:r>
          </w:p>
        </w:tc>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krepi zaupanje v bančni sektor ter izboljšuje operativne in pravne pogoje za prehod na skupno zaščito vlagateljev in davkoplačevalcev na ravni EU; opozarja na stališče tega odbora iz leta 2024 o evropskem sistemu jamstva za vloge; odločno poziva Svet, naj pospeši pogajanja; </w:t>
            </w:r>
            <w:r>
              <w:rPr>
                <w:b/>
                <w:i/>
              </w:rPr>
              <w:t>poziva novega predsednika Euroskupine, naj čim prej nadaljuje razprave o tej temi;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pozdravlja sprejetje svežnja o okviru za krizno upravljanje in jamstva za vloge kot pozitiven korak, ki krepi nacionalne sisteme jamstva za vloge, krepi zaupanje v bančni sektor ter izboljšuje operativne in pravne pogoje za prehod na skupno zaščito vlagateljev in davkoplačevalcev na ravni EU; opozarja na stališče tega odbora iz leta 2024 o evropskem sistemu jamstva za vloge; odločno poziva Svet, naj pospeši pogajanja;</w:t>
            </w:r>
          </w:p>
        </w:tc>
        <w:tc>
          <w:tcPr>
            <w:tcW w:w="4876" w:type="dxa"/>
            <w:tcBorders>
              <w:top w:val="nil"/>
              <w:left w:val="nil"/>
              <w:bottom w:val="nil"/>
              <w:right w:val="nil"/>
            </w:tcBorders>
          </w:tcPr>
          <w:p>
            <w:pPr>
              <w:pStyle w:val="Normal6a"/>
            </w:pPr>
            <w:r>
              <w:t>21.</w:t>
            </w:r>
            <w:r>
              <w:tab/>
            </w:r>
            <w:r>
              <w:t xml:space="preserve">pozdravlja sprejetje svežnja o okviru za krizno upravljanje in jamstva za vloge kot pozitiven korak, ki krepi nacionalne sisteme jamstva za vloge, krepi zaupanje v bančni sektor ter izboljšuje operativne in pravne pogoje za </w:t>
            </w:r>
            <w:r>
              <w:rPr>
                <w:b/>
                <w:i/>
              </w:rPr>
              <w:t>postopen in verodostojen</w:t>
            </w:r>
            <w:r>
              <w:t xml:space="preserve"> prehod na skupno zaščito vlagateljev in davkoplačevalcev na ravni EU; opozarja na stališče tega odbora iz leta 2024 o evropskem sistemu jamstva za vloge; odločno poziva Svet, naj pospeši pogajanja;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136</w:t>
    </w:r>
    <w:r>
      <w:fldChar w:fldCharType="end"/>
    </w:r>
    <w:r>
      <w:t>/</w:t>
    </w:r>
    <w:r>
      <w:fldChar w:fldCharType="begin"/>
    </w:r>
    <w:r>
      <w:instrText xml:space="preserve"> NUMPAGES </w:instrText>
    </w:r>
    <w:r>
      <w:fldChar w:fldCharType="separate"/>
    </w:r>
    <w:r>
      <w:t>137</w:t>
    </w:r>
    <w:r>
      <w:fldChar w:fldCharType="end"/>
    </w:r>
    <w:r>
      <w:tab/>
    </w:r>
    <w:r>
      <w:rPr>
        <w:rStyle w:val="HideTWBExt"/>
      </w:rPr>
      <w:t>&lt;PathFdR&gt;</w:t>
    </w:r>
    <w:r>
      <w:t>AM\1335561SL.docx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AM\1335561SL.docx</w:t>
    </w:r>
    <w:r>
      <w:rPr>
        <w:rStyle w:val="HideTWBExt"/>
      </w:rPr>
      <w:t>&lt;/PathFdR&gt;</w:t>
    </w:r>
    <w:r>
      <w:tab/>
    </w:r>
    <w:r>
      <w:fldChar w:fldCharType="begin"/>
    </w:r>
    <w:r>
      <w:instrText xml:space="preserve"> PAGE </w:instrText>
    </w:r>
    <w:r>
      <w:fldChar w:fldCharType="separate"/>
    </w:r>
    <w:r>
      <w:t>137</w:t>
    </w:r>
    <w:r>
      <w:fldChar w:fldCharType="end"/>
    </w:r>
    <w:r>
      <w:t>/</w:t>
    </w:r>
    <w:r>
      <w:fldChar w:fldCharType="begin"/>
    </w:r>
    <w:r>
      <w:instrText xml:space="preserve"> NUMPAGES </w:instrText>
    </w:r>
    <w:r>
      <w:fldChar w:fldCharType="separate"/>
    </w:r>
    <w:r>
      <w:t>137</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AM\1335561SL.docx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137</Pages>
  <Words>27337</Words>
  <Characters>168701</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360899</vt:lpwstr>
  </property>
  <property fmtid="{D5CDD505-2E9C-101B-9397-08002B2CF9AE}" pid="7" name="dmxml.render.traceId">
    <vt:lpwstr>6981c5fc068a8dacd82a496f6cdd0950</vt:lpwstr>
  </property>
  <property fmtid="{D5CDD505-2E9C-101B-9397-08002B2CF9AE}" pid="8" name="FooterPath">
    <vt:lpwstr>AM\1335561SL.docx</vt:lpwstr>
  </property>
  <property fmtid="{D5CDD505-2E9C-101B-9397-08002B2CF9AE}" pid="9" name="PE Number">
    <vt:lpwstr>782.353</vt:lpwstr>
  </property>
  <property fmtid="{D5CDD505-2E9C-101B-9397-08002B2CF9AE}" pid="10" name="UID">
    <vt:lpwstr>eu.europa.europarl-DIN1-2026-0000006414_01.00-sl-01.00_text-xml</vt:lpwstr>
  </property>
</Properties>
</file>