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53C00" w:rsidRPr="006803F0" w14:paraId="1874649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9AEE31" w14:textId="77777777" w:rsidR="005E5FA1" w:rsidRPr="006803F0" w:rsidRDefault="006803F0" w:rsidP="00C85D0F">
            <w:pPr>
              <w:pStyle w:val="EPName"/>
            </w:pPr>
            <w:r w:rsidRPr="006803F0">
              <w:t>Evropský parlament</w:t>
            </w:r>
          </w:p>
          <w:p w14:paraId="53B0C72F" w14:textId="77777777" w:rsidR="005E5FA1" w:rsidRPr="006803F0" w:rsidRDefault="006803F0" w:rsidP="00C85D0F">
            <w:pPr>
              <w:pStyle w:val="EPTerm"/>
            </w:pPr>
            <w:r w:rsidRPr="006803F0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D639CE" w14:textId="77777777" w:rsidR="005E5FA1" w:rsidRPr="006803F0" w:rsidRDefault="006803F0" w:rsidP="00C85D0F">
            <w:pPr>
              <w:pStyle w:val="EPLogo"/>
            </w:pPr>
            <w:r w:rsidRPr="006803F0">
              <w:rPr>
                <w:noProof/>
              </w:rPr>
              <w:drawing>
                <wp:inline distT="0" distB="0" distL="0" distR="0" wp14:anchorId="4A0340B0" wp14:editId="79D588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44872B" w14:textId="77777777" w:rsidR="00CF4E9D" w:rsidRPr="006803F0" w:rsidRDefault="00CF4E9D" w:rsidP="00CF4E9D">
      <w:pPr>
        <w:pStyle w:val="LineTop"/>
      </w:pPr>
    </w:p>
    <w:p w14:paraId="140255F0" w14:textId="48554651" w:rsidR="00CF4E9D" w:rsidRPr="006803F0" w:rsidRDefault="006803F0" w:rsidP="00CF4E9D">
      <w:pPr>
        <w:pStyle w:val="EPBody"/>
      </w:pPr>
      <w:r w:rsidRPr="006803F0">
        <w:rPr>
          <w:rStyle w:val="HideTWBExt"/>
          <w:noProof w:val="0"/>
        </w:rPr>
        <w:t>&lt;</w:t>
      </w:r>
      <w:r w:rsidRPr="006803F0">
        <w:rPr>
          <w:rStyle w:val="HideTWBExt"/>
          <w:i w:val="0"/>
          <w:noProof w:val="0"/>
        </w:rPr>
        <w:t>Commission</w:t>
      </w:r>
      <w:r w:rsidRPr="006803F0">
        <w:rPr>
          <w:rStyle w:val="HideTWBExt"/>
          <w:noProof w:val="0"/>
        </w:rPr>
        <w:t>&gt;</w:t>
      </w:r>
      <w:r w:rsidRPr="006803F0">
        <w:rPr>
          <w:rStyle w:val="HideTWBInt"/>
          <w:color w:val="auto"/>
        </w:rPr>
        <w:t>{ECON}</w:t>
      </w:r>
      <w:r w:rsidRPr="006803F0">
        <w:t>Hospodářský a</w:t>
      </w:r>
      <w:r>
        <w:t> </w:t>
      </w:r>
      <w:r w:rsidRPr="006803F0">
        <w:t>měnový výbor</w:t>
      </w:r>
      <w:r w:rsidRPr="006803F0">
        <w:rPr>
          <w:rStyle w:val="HideTWBExt"/>
          <w:noProof w:val="0"/>
        </w:rPr>
        <w:t>&lt;/</w:t>
      </w:r>
      <w:r w:rsidRPr="006803F0">
        <w:rPr>
          <w:rStyle w:val="HideTWBExt"/>
          <w:i w:val="0"/>
          <w:noProof w:val="0"/>
        </w:rPr>
        <w:t>Commission</w:t>
      </w:r>
      <w:r w:rsidRPr="006803F0">
        <w:rPr>
          <w:rStyle w:val="HideTWBExt"/>
          <w:noProof w:val="0"/>
        </w:rPr>
        <w:t>&gt;</w:t>
      </w:r>
    </w:p>
    <w:p w14:paraId="38A79F72" w14:textId="77777777" w:rsidR="00CF4E9D" w:rsidRPr="006803F0" w:rsidRDefault="00CF4E9D" w:rsidP="00CF4E9D">
      <w:pPr>
        <w:pStyle w:val="LineBottom"/>
      </w:pPr>
    </w:p>
    <w:p w14:paraId="119CA84A" w14:textId="77777777" w:rsidR="00794E41" w:rsidRPr="006803F0" w:rsidRDefault="006803F0" w:rsidP="00794E41">
      <w:pPr>
        <w:pStyle w:val="CoverReference"/>
      </w:pPr>
      <w:r w:rsidRPr="006803F0">
        <w:rPr>
          <w:rStyle w:val="HideTWBExt"/>
          <w:b w:val="0"/>
          <w:noProof w:val="0"/>
        </w:rPr>
        <w:t>&lt;RefProc&gt;</w:t>
      </w:r>
      <w:r w:rsidRPr="006803F0">
        <w:t>2025/2249</w:t>
      </w:r>
      <w:r w:rsidRPr="006803F0">
        <w:rPr>
          <w:rStyle w:val="HideTWBExt"/>
          <w:b w:val="0"/>
          <w:noProof w:val="0"/>
        </w:rPr>
        <w:t>&lt;/RefProc&gt;&lt;RefTypeProc&gt;</w:t>
      </w:r>
      <w:r w:rsidRPr="006803F0">
        <w:t>(INI)</w:t>
      </w:r>
      <w:r w:rsidRPr="006803F0">
        <w:rPr>
          <w:rStyle w:val="HideTWBExt"/>
          <w:b w:val="0"/>
          <w:noProof w:val="0"/>
        </w:rPr>
        <w:t>&lt;/RefTypeProc&gt;</w:t>
      </w:r>
    </w:p>
    <w:p w14:paraId="41F0EA7C" w14:textId="77777777" w:rsidR="00794E41" w:rsidRPr="006803F0" w:rsidRDefault="006803F0" w:rsidP="00794E41">
      <w:pPr>
        <w:pStyle w:val="CoverDate"/>
      </w:pPr>
      <w:r w:rsidRPr="006803F0">
        <w:rPr>
          <w:rStyle w:val="HideTWBExt"/>
          <w:noProof w:val="0"/>
        </w:rPr>
        <w:t>&lt;Date&gt;</w:t>
      </w:r>
      <w:r w:rsidRPr="006803F0">
        <w:rPr>
          <w:rStyle w:val="HideTWBInt"/>
          <w:color w:val="auto"/>
        </w:rPr>
        <w:t>{22/05/2026}</w:t>
      </w:r>
      <w:r w:rsidRPr="006803F0">
        <w:t>22.5.2026</w:t>
      </w:r>
      <w:r w:rsidRPr="006803F0">
        <w:rPr>
          <w:rStyle w:val="HideTWBExt"/>
          <w:noProof w:val="0"/>
        </w:rPr>
        <w:t>&lt;/Date&gt;</w:t>
      </w:r>
    </w:p>
    <w:p w14:paraId="52607B73" w14:textId="77777777" w:rsidR="00794E41" w:rsidRPr="006803F0" w:rsidRDefault="006803F0" w:rsidP="00794E41">
      <w:pPr>
        <w:pStyle w:val="CoverDocType"/>
      </w:pPr>
      <w:r w:rsidRPr="006803F0">
        <w:rPr>
          <w:rStyle w:val="HideTWBExt"/>
          <w:b w:val="0"/>
          <w:noProof w:val="0"/>
        </w:rPr>
        <w:t>&lt;TypeAM&gt;</w:t>
      </w:r>
      <w:r w:rsidRPr="006803F0">
        <w:t>POZMĚŇOVACÍ NÁVRHY</w:t>
      </w:r>
      <w:r w:rsidRPr="006803F0">
        <w:rPr>
          <w:rStyle w:val="HideTWBExt"/>
          <w:b w:val="0"/>
          <w:noProof w:val="0"/>
        </w:rPr>
        <w:t>&lt;/TypeAM&gt;</w:t>
      </w:r>
    </w:p>
    <w:p w14:paraId="5A6CD3E7" w14:textId="77777777" w:rsidR="00794E41" w:rsidRPr="006803F0" w:rsidRDefault="006803F0" w:rsidP="00794E41">
      <w:pPr>
        <w:pStyle w:val="CoverDocType24a"/>
      </w:pPr>
      <w:r w:rsidRPr="006803F0">
        <w:rPr>
          <w:rStyle w:val="HideTWBExt"/>
          <w:b w:val="0"/>
          <w:noProof w:val="0"/>
        </w:rPr>
        <w:t>&lt;RangeAM&gt;</w:t>
      </w:r>
      <w:r w:rsidRPr="006803F0">
        <w:t>197 - 212</w:t>
      </w:r>
      <w:r w:rsidRPr="006803F0">
        <w:rPr>
          <w:rStyle w:val="HideTWBExt"/>
          <w:b w:val="0"/>
          <w:noProof w:val="0"/>
        </w:rPr>
        <w:t>&lt;/RangeAM&gt;</w:t>
      </w:r>
    </w:p>
    <w:p w14:paraId="1C0A18B1" w14:textId="77777777" w:rsidR="00794E41" w:rsidRPr="006803F0" w:rsidRDefault="006803F0" w:rsidP="007B1846">
      <w:pPr>
        <w:pStyle w:val="CoverBold"/>
      </w:pPr>
      <w:r w:rsidRPr="006803F0">
        <w:rPr>
          <w:rStyle w:val="HideTWBExt"/>
          <w:b w:val="0"/>
          <w:noProof w:val="0"/>
        </w:rPr>
        <w:t>&lt;TitreType&gt;</w:t>
      </w:r>
      <w:r w:rsidRPr="006803F0">
        <w:t>Návrh zprávy</w:t>
      </w:r>
      <w:r w:rsidRPr="006803F0">
        <w:rPr>
          <w:rStyle w:val="HideTWBExt"/>
          <w:b w:val="0"/>
          <w:noProof w:val="0"/>
        </w:rPr>
        <w:t>&lt;/TitreType&gt;</w:t>
      </w:r>
    </w:p>
    <w:p w14:paraId="4A61F4A0" w14:textId="77777777" w:rsidR="00794E41" w:rsidRPr="006803F0" w:rsidRDefault="006803F0" w:rsidP="007B1846">
      <w:pPr>
        <w:pStyle w:val="CoverBold"/>
      </w:pPr>
      <w:r w:rsidRPr="006803F0">
        <w:rPr>
          <w:rStyle w:val="HideTWBExt"/>
          <w:b w:val="0"/>
          <w:noProof w:val="0"/>
        </w:rPr>
        <w:t>&lt;Rapporteur&gt;</w:t>
      </w:r>
      <w:r w:rsidRPr="006803F0">
        <w:t>Rasmus Andresen</w:t>
      </w:r>
      <w:r w:rsidRPr="006803F0">
        <w:rPr>
          <w:rStyle w:val="HideTWBExt"/>
          <w:b w:val="0"/>
          <w:noProof w:val="0"/>
        </w:rPr>
        <w:t>&lt;/Rapporteur&gt;</w:t>
      </w:r>
    </w:p>
    <w:p w14:paraId="2AF26C0D" w14:textId="77777777" w:rsidR="00794E41" w:rsidRPr="006803F0" w:rsidRDefault="006803F0" w:rsidP="00794E41">
      <w:pPr>
        <w:pStyle w:val="CoverNormal24a"/>
      </w:pPr>
      <w:r w:rsidRPr="006803F0">
        <w:rPr>
          <w:rStyle w:val="HideTWBExt"/>
          <w:noProof w:val="0"/>
        </w:rPr>
        <w:t>&lt;DocRefPE&gt;</w:t>
      </w:r>
      <w:r w:rsidRPr="006803F0">
        <w:t>(PE787.030v01-00)</w:t>
      </w:r>
      <w:r w:rsidRPr="006803F0">
        <w:rPr>
          <w:rStyle w:val="HideTWBExt"/>
          <w:noProof w:val="0"/>
        </w:rPr>
        <w:t>&lt;/DocRefPE&gt;</w:t>
      </w:r>
    </w:p>
    <w:p w14:paraId="312804F7" w14:textId="77777777" w:rsidR="00794E41" w:rsidRPr="006803F0" w:rsidRDefault="006803F0" w:rsidP="00794E41">
      <w:pPr>
        <w:pStyle w:val="CoverNormal"/>
      </w:pPr>
      <w:r w:rsidRPr="006803F0">
        <w:rPr>
          <w:rStyle w:val="HideTWBExt"/>
          <w:noProof w:val="0"/>
        </w:rPr>
        <w:t>&lt;Titre&gt;</w:t>
      </w:r>
      <w:r w:rsidRPr="006803F0">
        <w:t>Globální úloha eura</w:t>
      </w:r>
      <w:r w:rsidRPr="006803F0">
        <w:rPr>
          <w:rStyle w:val="HideTWBExt"/>
          <w:noProof w:val="0"/>
        </w:rPr>
        <w:t>&lt;/Titre&gt;</w:t>
      </w:r>
    </w:p>
    <w:p w14:paraId="67535431" w14:textId="77777777" w:rsidR="00794E41" w:rsidRPr="006803F0" w:rsidRDefault="006803F0" w:rsidP="00794E41">
      <w:pPr>
        <w:pStyle w:val="CoverNormal24a"/>
      </w:pPr>
      <w:r w:rsidRPr="006803F0">
        <w:rPr>
          <w:rStyle w:val="HideTWBExt"/>
          <w:noProof w:val="0"/>
        </w:rPr>
        <w:t>&lt;DocRef&gt;</w:t>
      </w:r>
      <w:r w:rsidRPr="006803F0">
        <w:t>(2025/2249(INI))</w:t>
      </w:r>
      <w:r w:rsidRPr="006803F0">
        <w:rPr>
          <w:rStyle w:val="HideTWBExt"/>
          <w:noProof w:val="0"/>
        </w:rPr>
        <w:t>&lt;/DocRef&gt;</w:t>
      </w:r>
    </w:p>
    <w:p w14:paraId="02D1BB30" w14:textId="77777777" w:rsidR="00794E41" w:rsidRPr="006803F0" w:rsidRDefault="006803F0" w:rsidP="008B040A">
      <w:pPr>
        <w:widowControl/>
        <w:tabs>
          <w:tab w:val="center" w:pos="4677"/>
        </w:tabs>
      </w:pPr>
      <w:r w:rsidRPr="006803F0">
        <w:br w:type="page"/>
      </w:r>
      <w:r w:rsidRPr="006803F0">
        <w:lastRenderedPageBreak/>
        <w:t>AM_Com_NonLegReport</w:t>
      </w:r>
    </w:p>
    <w:p w14:paraId="4306DCAE" w14:textId="77777777" w:rsidR="00BC53C6" w:rsidRPr="006803F0" w:rsidRDefault="006803F0" w:rsidP="00BC53C6">
      <w:pPr>
        <w:pStyle w:val="AmNumberTabs"/>
        <w:keepNext/>
      </w:pPr>
      <w:r w:rsidRPr="006803F0">
        <w:br w:type="page"/>
      </w:r>
    </w:p>
    <w:p w14:paraId="794CDA8C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&lt;RepeatBlock-Amend&gt;&lt;Amend&gt;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197</w:t>
      </w:r>
      <w:r w:rsidRPr="006803F0">
        <w:rPr>
          <w:rStyle w:val="HideTWBExt"/>
          <w:b w:val="0"/>
          <w:noProof w:val="0"/>
        </w:rPr>
        <w:t>&lt;/NumAm&gt;</w:t>
      </w:r>
    </w:p>
    <w:p w14:paraId="14692DD0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Ľudovít Ódor, Stéphanie Yon-Courtin, Gilles Boyer</w:t>
      </w:r>
      <w:r w:rsidRPr="006803F0">
        <w:rPr>
          <w:rStyle w:val="HideTWBExt"/>
          <w:b w:val="0"/>
          <w:noProof w:val="0"/>
        </w:rPr>
        <w:t>&lt;/Members&gt;</w:t>
      </w:r>
    </w:p>
    <w:p w14:paraId="220F4F45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4060C137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5AE128D4" w14:textId="6D0D9B54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A</w:t>
      </w:r>
      <w:r>
        <w:t> </w:t>
      </w:r>
      <w:r w:rsidRPr="006803F0">
        <w:t>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0B51E141" w14:textId="77777777" w:rsidTr="00A615F7">
        <w:trPr>
          <w:jc w:val="center"/>
        </w:trPr>
        <w:tc>
          <w:tcPr>
            <w:tcW w:w="9752" w:type="dxa"/>
            <w:gridSpan w:val="2"/>
          </w:tcPr>
          <w:p w14:paraId="0AE842A8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5B764263" w14:textId="77777777" w:rsidTr="00A615F7">
        <w:trPr>
          <w:jc w:val="center"/>
        </w:trPr>
        <w:tc>
          <w:tcPr>
            <w:tcW w:w="4876" w:type="dxa"/>
            <w:hideMark/>
          </w:tcPr>
          <w:p w14:paraId="5F3B3342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7D2A511A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07BD60A1" w14:textId="77777777" w:rsidTr="00A615F7">
        <w:trPr>
          <w:jc w:val="center"/>
        </w:trPr>
        <w:tc>
          <w:tcPr>
            <w:tcW w:w="4876" w:type="dxa"/>
          </w:tcPr>
          <w:p w14:paraId="62DDB830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6EEFFCAD" w14:textId="2147C73B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globální úlohu eura obecně ovlivňuje stabilita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důvěryhodnost evropského hospodářského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institucionálního rámce, který je založen na fundovanosti evropských hospodářských politik, jejich konkurenceschopnosti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institucionální předvídatelnosti;</w:t>
            </w:r>
          </w:p>
        </w:tc>
      </w:tr>
    </w:tbl>
    <w:p w14:paraId="0730A3A2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70023898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204208A5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198</w:t>
      </w:r>
      <w:r w:rsidRPr="006803F0">
        <w:rPr>
          <w:rStyle w:val="HideTWBExt"/>
          <w:b w:val="0"/>
          <w:noProof w:val="0"/>
        </w:rPr>
        <w:t>&lt;/NumAm&gt;</w:t>
      </w:r>
    </w:p>
    <w:p w14:paraId="20526B4C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Fernando Navarrete Rojas, Isabel Benjumea Benjumea</w:t>
      </w:r>
      <w:r w:rsidRPr="006803F0">
        <w:rPr>
          <w:rStyle w:val="HideTWBExt"/>
          <w:b w:val="0"/>
          <w:noProof w:val="0"/>
        </w:rPr>
        <w:t>&lt;/Members&gt;</w:t>
      </w:r>
    </w:p>
    <w:p w14:paraId="14EB15C8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19AF64F6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78C0F9E5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B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0EADEDD2" w14:textId="77777777" w:rsidTr="00A615F7">
        <w:trPr>
          <w:jc w:val="center"/>
        </w:trPr>
        <w:tc>
          <w:tcPr>
            <w:tcW w:w="9752" w:type="dxa"/>
            <w:gridSpan w:val="2"/>
          </w:tcPr>
          <w:p w14:paraId="1E3FBFCD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2E5A31E3" w14:textId="77777777" w:rsidTr="00A615F7">
        <w:trPr>
          <w:jc w:val="center"/>
        </w:trPr>
        <w:tc>
          <w:tcPr>
            <w:tcW w:w="4876" w:type="dxa"/>
            <w:hideMark/>
          </w:tcPr>
          <w:p w14:paraId="41895CAB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4DB4DB9F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1095ED9E" w14:textId="77777777" w:rsidTr="00A615F7">
        <w:trPr>
          <w:jc w:val="center"/>
        </w:trPr>
        <w:tc>
          <w:tcPr>
            <w:tcW w:w="4876" w:type="dxa"/>
          </w:tcPr>
          <w:p w14:paraId="5538A41C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78FCAD6B" w14:textId="50F89423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euro je pevně zakotveno jako druhá nejpoužívanější měna na světě; 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představuje přibližně 20 % světových devizových rezerv,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40 % světového obchodu je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současné době fakturováno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eurech</w:t>
            </w:r>
            <w:r w:rsidRPr="006803F0">
              <w:rPr>
                <w:b/>
                <w:i/>
                <w:vertAlign w:val="superscript"/>
              </w:rPr>
              <w:t>1a</w:t>
            </w:r>
            <w:r w:rsidRPr="006803F0">
              <w:rPr>
                <w:b/>
                <w:i/>
              </w:rPr>
              <w:t>;</w:t>
            </w:r>
          </w:p>
        </w:tc>
      </w:tr>
      <w:tr w:rsidR="00653C00" w:rsidRPr="006803F0" w14:paraId="65912716" w14:textId="77777777" w:rsidTr="00A615F7">
        <w:trPr>
          <w:jc w:val="center"/>
        </w:trPr>
        <w:tc>
          <w:tcPr>
            <w:tcW w:w="4876" w:type="dxa"/>
          </w:tcPr>
          <w:p w14:paraId="62C970BB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64F6A7D3" w14:textId="7777777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__________________</w:t>
            </w:r>
          </w:p>
        </w:tc>
      </w:tr>
      <w:tr w:rsidR="00653C00" w:rsidRPr="006803F0" w14:paraId="7CE666CA" w14:textId="77777777" w:rsidTr="00A615F7">
        <w:trPr>
          <w:jc w:val="center"/>
        </w:trPr>
        <w:tc>
          <w:tcPr>
            <w:tcW w:w="4876" w:type="dxa"/>
          </w:tcPr>
          <w:p w14:paraId="0C95643E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5A334B8E" w14:textId="7777777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  <w:vertAlign w:val="superscript"/>
              </w:rPr>
              <w:t>1a</w:t>
            </w:r>
            <w:r w:rsidRPr="006803F0">
              <w:t xml:space="preserve"> </w:t>
            </w:r>
            <w:r w:rsidRPr="006803F0">
              <w:rPr>
                <w:b/>
                <w:i/>
              </w:rPr>
              <w:t>Mezinárodní úloha eura, červen 2025 – ECB.</w:t>
            </w:r>
          </w:p>
        </w:tc>
      </w:tr>
    </w:tbl>
    <w:p w14:paraId="2E025C47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2B9AE43D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7032C6D5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199</w:t>
      </w:r>
      <w:r w:rsidRPr="006803F0">
        <w:rPr>
          <w:rStyle w:val="HideTWBExt"/>
          <w:b w:val="0"/>
          <w:noProof w:val="0"/>
        </w:rPr>
        <w:t>&lt;/NumAm&gt;</w:t>
      </w:r>
    </w:p>
    <w:p w14:paraId="6702CEF0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Michalis Hadjipantela</w:t>
      </w:r>
      <w:r w:rsidRPr="006803F0">
        <w:rPr>
          <w:rStyle w:val="HideTWBExt"/>
          <w:b w:val="0"/>
          <w:noProof w:val="0"/>
        </w:rPr>
        <w:t>&lt;/Members&gt;</w:t>
      </w:r>
    </w:p>
    <w:p w14:paraId="71C9CD3D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65D38742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7EF8D09B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C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68F68AC0" w14:textId="77777777" w:rsidTr="00A615F7">
        <w:trPr>
          <w:jc w:val="center"/>
        </w:trPr>
        <w:tc>
          <w:tcPr>
            <w:tcW w:w="9752" w:type="dxa"/>
            <w:gridSpan w:val="2"/>
          </w:tcPr>
          <w:p w14:paraId="2A67BE26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1C59292C" w14:textId="77777777" w:rsidTr="00A615F7">
        <w:trPr>
          <w:jc w:val="center"/>
        </w:trPr>
        <w:tc>
          <w:tcPr>
            <w:tcW w:w="4876" w:type="dxa"/>
            <w:hideMark/>
          </w:tcPr>
          <w:p w14:paraId="5535C483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0AC0AA7D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2D814326" w14:textId="77777777" w:rsidTr="00A615F7">
        <w:trPr>
          <w:jc w:val="center"/>
        </w:trPr>
        <w:tc>
          <w:tcPr>
            <w:tcW w:w="4876" w:type="dxa"/>
          </w:tcPr>
          <w:p w14:paraId="238D3376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7AFBEB5D" w14:textId="5147E2C9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 tomu, že za 26 let své existence se euro stalo symbolem ekonomické síly Evropy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jejího postavení ve světě;</w:t>
            </w:r>
          </w:p>
        </w:tc>
      </w:tr>
    </w:tbl>
    <w:p w14:paraId="52F9E617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57FCDFAA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1B1D5866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200</w:t>
      </w:r>
      <w:r w:rsidRPr="006803F0">
        <w:rPr>
          <w:rStyle w:val="HideTWBExt"/>
          <w:b w:val="0"/>
          <w:noProof w:val="0"/>
        </w:rPr>
        <w:t>&lt;/NumAm&gt;</w:t>
      </w:r>
    </w:p>
    <w:p w14:paraId="4FD4FA26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Rasmus Andresen</w:t>
      </w:r>
      <w:r w:rsidRPr="006803F0">
        <w:rPr>
          <w:rStyle w:val="HideTWBExt"/>
          <w:b w:val="0"/>
          <w:noProof w:val="0"/>
        </w:rPr>
        <w:t>&lt;/Members&gt;</w:t>
      </w:r>
    </w:p>
    <w:p w14:paraId="388D6D61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24A9F975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27D3C177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D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1B7BD0E6" w14:textId="77777777" w:rsidTr="00A615F7">
        <w:trPr>
          <w:jc w:val="center"/>
        </w:trPr>
        <w:tc>
          <w:tcPr>
            <w:tcW w:w="9752" w:type="dxa"/>
            <w:gridSpan w:val="2"/>
          </w:tcPr>
          <w:p w14:paraId="01B1C268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733D193D" w14:textId="77777777" w:rsidTr="00A615F7">
        <w:trPr>
          <w:jc w:val="center"/>
        </w:trPr>
        <w:tc>
          <w:tcPr>
            <w:tcW w:w="4876" w:type="dxa"/>
            <w:hideMark/>
          </w:tcPr>
          <w:p w14:paraId="7809B51C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2775F4CD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6D19FC3A" w14:textId="77777777" w:rsidTr="00A615F7">
        <w:trPr>
          <w:jc w:val="center"/>
        </w:trPr>
        <w:tc>
          <w:tcPr>
            <w:tcW w:w="4876" w:type="dxa"/>
          </w:tcPr>
          <w:p w14:paraId="09FE1EEB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74F4C442" w14:textId="32D4FA8E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centrem mezinárodního měnového systému je i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nadále americký dolar, který na konci roku 2024 představoval 57,8 % světových oficiálních devizových rezerv, zatímco euro zůstalo druhou nejdůležitější rezervní měnou s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20,1 %; 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zlato dosáhlo 20 % celkových oficiálních rezerv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tržních cenách,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tím předstihlo euro, jehož podíl činil 16 %</w:t>
            </w:r>
            <w:r w:rsidRPr="006803F0">
              <w:rPr>
                <w:b/>
                <w:i/>
                <w:vertAlign w:val="superscript"/>
              </w:rPr>
              <w:t xml:space="preserve"> 1a</w:t>
            </w:r>
            <w:r w:rsidRPr="006803F0">
              <w:rPr>
                <w:b/>
                <w:i/>
              </w:rPr>
              <w:t>;</w:t>
            </w:r>
          </w:p>
        </w:tc>
      </w:tr>
      <w:tr w:rsidR="00653C00" w:rsidRPr="006803F0" w14:paraId="7EDC7C84" w14:textId="77777777" w:rsidTr="00A615F7">
        <w:trPr>
          <w:jc w:val="center"/>
        </w:trPr>
        <w:tc>
          <w:tcPr>
            <w:tcW w:w="4876" w:type="dxa"/>
          </w:tcPr>
          <w:p w14:paraId="18EE3EC6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06EAF598" w14:textId="7777777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__________________</w:t>
            </w:r>
          </w:p>
        </w:tc>
      </w:tr>
      <w:tr w:rsidR="00653C00" w:rsidRPr="006803F0" w14:paraId="011F0842" w14:textId="77777777" w:rsidTr="00A615F7">
        <w:trPr>
          <w:jc w:val="center"/>
        </w:trPr>
        <w:tc>
          <w:tcPr>
            <w:tcW w:w="4876" w:type="dxa"/>
          </w:tcPr>
          <w:p w14:paraId="6BA1CBE9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3918A281" w14:textId="7777777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  <w:vertAlign w:val="superscript"/>
              </w:rPr>
              <w:t>1a</w:t>
            </w:r>
            <w:r w:rsidRPr="006803F0">
              <w:rPr>
                <w:b/>
                <w:i/>
              </w:rPr>
              <w:t xml:space="preserve"> IMF COFER, World Aggregates, 4. čtvrtletí 2024; ECB, Mezinárodní úloha eura, červen 2025.</w:t>
            </w:r>
          </w:p>
        </w:tc>
      </w:tr>
    </w:tbl>
    <w:p w14:paraId="1E8C73D7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0D44CADD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23273167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201</w:t>
      </w:r>
      <w:r w:rsidRPr="006803F0">
        <w:rPr>
          <w:rStyle w:val="HideTWBExt"/>
          <w:b w:val="0"/>
          <w:noProof w:val="0"/>
        </w:rPr>
        <w:t>&lt;/NumAm&gt;</w:t>
      </w:r>
    </w:p>
    <w:p w14:paraId="319F0596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Ľudovít Ódor, Stéphanie Yon-Courtin, Gilles Boyer</w:t>
      </w:r>
      <w:r w:rsidRPr="006803F0">
        <w:rPr>
          <w:rStyle w:val="HideTWBExt"/>
          <w:b w:val="0"/>
          <w:noProof w:val="0"/>
        </w:rPr>
        <w:t>&lt;/Members&gt;</w:t>
      </w:r>
    </w:p>
    <w:p w14:paraId="3CA6206D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4C36B805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6A3E85CF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E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4F1A165E" w14:textId="77777777" w:rsidTr="00A615F7">
        <w:trPr>
          <w:jc w:val="center"/>
        </w:trPr>
        <w:tc>
          <w:tcPr>
            <w:tcW w:w="9752" w:type="dxa"/>
            <w:gridSpan w:val="2"/>
          </w:tcPr>
          <w:p w14:paraId="7BA048E9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6CD3AF26" w14:textId="77777777" w:rsidTr="00A615F7">
        <w:trPr>
          <w:jc w:val="center"/>
        </w:trPr>
        <w:tc>
          <w:tcPr>
            <w:tcW w:w="4876" w:type="dxa"/>
            <w:hideMark/>
          </w:tcPr>
          <w:p w14:paraId="36D8FA94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3D11BEDB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7507FC82" w14:textId="77777777" w:rsidTr="00A615F7">
        <w:trPr>
          <w:jc w:val="center"/>
        </w:trPr>
        <w:tc>
          <w:tcPr>
            <w:tcW w:w="4876" w:type="dxa"/>
          </w:tcPr>
          <w:p w14:paraId="0FF32B9C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7EDCBB3D" w14:textId="75E831A8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zásadní úlohu při posilování globální úlohy eura by měly hrát hluboké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likvidní finanční trhy denominované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eurech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pokrok směrem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účinné unii úspor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investic, dokončení bankovní unie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splnění plánu „Jedna Evropa, jeden trh“;</w:t>
            </w:r>
          </w:p>
        </w:tc>
      </w:tr>
    </w:tbl>
    <w:p w14:paraId="4E6EF00D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10FC0110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2EC16A3A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202</w:t>
      </w:r>
      <w:r w:rsidRPr="006803F0">
        <w:rPr>
          <w:rStyle w:val="HideTWBExt"/>
          <w:b w:val="0"/>
          <w:noProof w:val="0"/>
        </w:rPr>
        <w:t>&lt;/NumAm&gt;</w:t>
      </w:r>
    </w:p>
    <w:p w14:paraId="4D14FB60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Fernando Navarrete Rojas, Isabel Benjumea Benjumea</w:t>
      </w:r>
      <w:r w:rsidRPr="006803F0">
        <w:rPr>
          <w:rStyle w:val="HideTWBExt"/>
          <w:b w:val="0"/>
          <w:noProof w:val="0"/>
        </w:rPr>
        <w:t>&lt;/Members&gt;</w:t>
      </w:r>
    </w:p>
    <w:p w14:paraId="38FC7694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485DEA66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55F634B4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F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7138DC9A" w14:textId="77777777" w:rsidTr="00A615F7">
        <w:trPr>
          <w:jc w:val="center"/>
        </w:trPr>
        <w:tc>
          <w:tcPr>
            <w:tcW w:w="9752" w:type="dxa"/>
            <w:gridSpan w:val="2"/>
          </w:tcPr>
          <w:p w14:paraId="6150BB93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1A464E24" w14:textId="77777777" w:rsidTr="00A615F7">
        <w:trPr>
          <w:jc w:val="center"/>
        </w:trPr>
        <w:tc>
          <w:tcPr>
            <w:tcW w:w="4876" w:type="dxa"/>
            <w:hideMark/>
          </w:tcPr>
          <w:p w14:paraId="2D73F6DC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54D21396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56C86F27" w14:textId="77777777" w:rsidTr="00A615F7">
        <w:trPr>
          <w:jc w:val="center"/>
        </w:trPr>
        <w:tc>
          <w:tcPr>
            <w:tcW w:w="4876" w:type="dxa"/>
          </w:tcPr>
          <w:p w14:paraId="16307D18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5D3BB62B" w14:textId="266E85C3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podíl amerického dolaru na světových devizových rezervách se od roku 2014 snížil o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10 procentních bodů, zatímco podíl eura zůstal stabilní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„ostatní měny“ získaly ve stejném období více než 10 procentních bodů</w:t>
            </w:r>
            <w:r w:rsidRPr="006803F0">
              <w:rPr>
                <w:b/>
                <w:i/>
                <w:vertAlign w:val="superscript"/>
              </w:rPr>
              <w:t xml:space="preserve"> 2a</w:t>
            </w:r>
            <w:r w:rsidRPr="006803F0">
              <w:rPr>
                <w:b/>
                <w:i/>
              </w:rPr>
              <w:t>;</w:t>
            </w:r>
          </w:p>
        </w:tc>
      </w:tr>
      <w:tr w:rsidR="00653C00" w:rsidRPr="006803F0" w14:paraId="09654A52" w14:textId="77777777" w:rsidTr="00A615F7">
        <w:trPr>
          <w:jc w:val="center"/>
        </w:trPr>
        <w:tc>
          <w:tcPr>
            <w:tcW w:w="4876" w:type="dxa"/>
          </w:tcPr>
          <w:p w14:paraId="625D1BB5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28FCE837" w14:textId="7777777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__________________</w:t>
            </w:r>
          </w:p>
        </w:tc>
      </w:tr>
      <w:tr w:rsidR="00653C00" w:rsidRPr="006803F0" w14:paraId="578C4082" w14:textId="77777777" w:rsidTr="00A615F7">
        <w:trPr>
          <w:jc w:val="center"/>
        </w:trPr>
        <w:tc>
          <w:tcPr>
            <w:tcW w:w="4876" w:type="dxa"/>
          </w:tcPr>
          <w:p w14:paraId="0DE0D215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04E81C24" w14:textId="7777777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  <w:vertAlign w:val="superscript"/>
              </w:rPr>
              <w:t>2a</w:t>
            </w:r>
            <w:r w:rsidRPr="006803F0">
              <w:t xml:space="preserve"> </w:t>
            </w:r>
            <w:r w:rsidRPr="006803F0">
              <w:rPr>
                <w:b/>
                <w:i/>
              </w:rPr>
              <w:t>Mezinárodní úloha eura, červen 2025 – ECB.</w:t>
            </w:r>
          </w:p>
        </w:tc>
      </w:tr>
    </w:tbl>
    <w:p w14:paraId="3A93943E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4AAAE045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186A976D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203</w:t>
      </w:r>
      <w:r w:rsidRPr="006803F0">
        <w:rPr>
          <w:rStyle w:val="HideTWBExt"/>
          <w:b w:val="0"/>
          <w:noProof w:val="0"/>
        </w:rPr>
        <w:t>&lt;/NumAm&gt;</w:t>
      </w:r>
    </w:p>
    <w:p w14:paraId="4C3FFAB4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Michalis Hadjipantela</w:t>
      </w:r>
      <w:r w:rsidRPr="006803F0">
        <w:rPr>
          <w:rStyle w:val="HideTWBExt"/>
          <w:b w:val="0"/>
          <w:noProof w:val="0"/>
        </w:rPr>
        <w:t>&lt;/Members&gt;</w:t>
      </w:r>
    </w:p>
    <w:p w14:paraId="4D819784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7F9E91C5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014B2536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G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2092BC16" w14:textId="77777777" w:rsidTr="00A615F7">
        <w:trPr>
          <w:jc w:val="center"/>
        </w:trPr>
        <w:tc>
          <w:tcPr>
            <w:tcW w:w="9752" w:type="dxa"/>
            <w:gridSpan w:val="2"/>
          </w:tcPr>
          <w:p w14:paraId="3ADF38CC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15324B55" w14:textId="77777777" w:rsidTr="00A615F7">
        <w:trPr>
          <w:jc w:val="center"/>
        </w:trPr>
        <w:tc>
          <w:tcPr>
            <w:tcW w:w="4876" w:type="dxa"/>
            <w:hideMark/>
          </w:tcPr>
          <w:p w14:paraId="38464BFE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7BDE2B5B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5437C771" w14:textId="77777777" w:rsidTr="00A615F7">
        <w:trPr>
          <w:jc w:val="center"/>
        </w:trPr>
        <w:tc>
          <w:tcPr>
            <w:tcW w:w="4876" w:type="dxa"/>
          </w:tcPr>
          <w:p w14:paraId="4580A65D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737B173F" w14:textId="1CC9B74C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navzdory ekonomické velikosti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vlivu eurozóny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globálním obchodu zaostává využívání eura výrazně za americkým dolarem, byť si euro stále udržuje odstup od všech ostatních konkurenčních měn;</w:t>
            </w:r>
          </w:p>
        </w:tc>
      </w:tr>
    </w:tbl>
    <w:p w14:paraId="7AEB281E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2A6F0095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7F762D5D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204</w:t>
      </w:r>
      <w:r w:rsidRPr="006803F0">
        <w:rPr>
          <w:rStyle w:val="HideTWBExt"/>
          <w:b w:val="0"/>
          <w:noProof w:val="0"/>
        </w:rPr>
        <w:t>&lt;/NumAm&gt;</w:t>
      </w:r>
    </w:p>
    <w:p w14:paraId="73B755CC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Michalis Hadjipantela</w:t>
      </w:r>
      <w:r w:rsidRPr="006803F0">
        <w:rPr>
          <w:rStyle w:val="HideTWBExt"/>
          <w:b w:val="0"/>
          <w:noProof w:val="0"/>
        </w:rPr>
        <w:t>&lt;/Members&gt;</w:t>
      </w:r>
    </w:p>
    <w:p w14:paraId="5B636D9E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10711FA4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5ED796DD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H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5D77032B" w14:textId="77777777" w:rsidTr="00A615F7">
        <w:trPr>
          <w:jc w:val="center"/>
        </w:trPr>
        <w:tc>
          <w:tcPr>
            <w:tcW w:w="9752" w:type="dxa"/>
            <w:gridSpan w:val="2"/>
          </w:tcPr>
          <w:p w14:paraId="0FC396A5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341BBCF8" w14:textId="77777777" w:rsidTr="00A615F7">
        <w:trPr>
          <w:jc w:val="center"/>
        </w:trPr>
        <w:tc>
          <w:tcPr>
            <w:tcW w:w="4876" w:type="dxa"/>
            <w:hideMark/>
          </w:tcPr>
          <w:p w14:paraId="39C1708C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4D07823A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66FFE6A8" w14:textId="77777777" w:rsidTr="00A615F7">
        <w:trPr>
          <w:jc w:val="center"/>
        </w:trPr>
        <w:tc>
          <w:tcPr>
            <w:tcW w:w="4876" w:type="dxa"/>
          </w:tcPr>
          <w:p w14:paraId="272D3E07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0DB15469" w14:textId="7A557A7C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 tomu, že současné geopolitická napětí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výzvy na poli mezinárodního obchodu – včetně narušení hodnotových řetězců, technologického vývoje, digitální transformace, vzestupu hospodářské síly Číny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výzev, které Spojené státy představují pro mnohostrannou spolupráci – vedou k multipolárnímu světovému hospodářství,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tím připravují podmínky pro potenciální posun směrem k víceměnovému systému rezerv, v němž bude euro nabízet účastníkům trhu po celém světě další možnosti volby měny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umožňovat zmírnění globálních finančních rizik;</w:t>
            </w:r>
          </w:p>
        </w:tc>
      </w:tr>
    </w:tbl>
    <w:p w14:paraId="0240A2D0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04B2A8A2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54FC02A1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205</w:t>
      </w:r>
      <w:r w:rsidRPr="006803F0">
        <w:rPr>
          <w:rStyle w:val="HideTWBExt"/>
          <w:b w:val="0"/>
          <w:noProof w:val="0"/>
        </w:rPr>
        <w:t>&lt;/NumAm&gt;</w:t>
      </w:r>
    </w:p>
    <w:p w14:paraId="62FDB8A9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Rasmus Andresen</w:t>
      </w:r>
      <w:r w:rsidRPr="006803F0">
        <w:rPr>
          <w:rStyle w:val="HideTWBExt"/>
          <w:b w:val="0"/>
          <w:noProof w:val="0"/>
        </w:rPr>
        <w:t>&lt;/Members&gt;</w:t>
      </w:r>
    </w:p>
    <w:p w14:paraId="3AA228AD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79FF434B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50C59B44" w14:textId="6CDC2FB1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I</w:t>
      </w:r>
      <w:r>
        <w:t> </w:t>
      </w:r>
      <w:r w:rsidRPr="006803F0">
        <w:t>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536965F5" w14:textId="77777777" w:rsidTr="00A615F7">
        <w:trPr>
          <w:jc w:val="center"/>
        </w:trPr>
        <w:tc>
          <w:tcPr>
            <w:tcW w:w="9752" w:type="dxa"/>
            <w:gridSpan w:val="2"/>
          </w:tcPr>
          <w:p w14:paraId="47E265D5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20104EB2" w14:textId="77777777" w:rsidTr="00A615F7">
        <w:trPr>
          <w:jc w:val="center"/>
        </w:trPr>
        <w:tc>
          <w:tcPr>
            <w:tcW w:w="4876" w:type="dxa"/>
            <w:hideMark/>
          </w:tcPr>
          <w:p w14:paraId="0D795015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0201F493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3B20AA7F" w14:textId="77777777" w:rsidTr="00A615F7">
        <w:trPr>
          <w:jc w:val="center"/>
        </w:trPr>
        <w:tc>
          <w:tcPr>
            <w:tcW w:w="4876" w:type="dxa"/>
          </w:tcPr>
          <w:p w14:paraId="2CA7CB59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3C30E727" w14:textId="249A21D6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několik nedávných případů geopolitického napětí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napětí souvisejícího s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obchodem ukázalo, že navzdory přetrvávající strukturální poptávce po státních dluhopisech USA mohou výnosy státních dluhopisů spíše růst než klesat, což zpochybňuje jejich automatickou funkci bezpečného přístavu; 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toto měnící se prostředí vytváří pro euro příležitost;</w:t>
            </w:r>
          </w:p>
        </w:tc>
      </w:tr>
    </w:tbl>
    <w:p w14:paraId="6F39901E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0E5AC1C4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4AC84136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206</w:t>
      </w:r>
      <w:r w:rsidRPr="006803F0">
        <w:rPr>
          <w:rStyle w:val="HideTWBExt"/>
          <w:b w:val="0"/>
          <w:noProof w:val="0"/>
        </w:rPr>
        <w:t>&lt;/NumAm&gt;</w:t>
      </w:r>
    </w:p>
    <w:p w14:paraId="7F7A999E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Michalis Hadjipantela</w:t>
      </w:r>
      <w:r w:rsidRPr="006803F0">
        <w:rPr>
          <w:rStyle w:val="HideTWBExt"/>
          <w:b w:val="0"/>
          <w:noProof w:val="0"/>
        </w:rPr>
        <w:t>&lt;/Members&gt;</w:t>
      </w:r>
    </w:p>
    <w:p w14:paraId="1D643CE9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29816986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64B9F9F7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J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11C70496" w14:textId="77777777" w:rsidTr="00A615F7">
        <w:trPr>
          <w:jc w:val="center"/>
        </w:trPr>
        <w:tc>
          <w:tcPr>
            <w:tcW w:w="9752" w:type="dxa"/>
            <w:gridSpan w:val="2"/>
          </w:tcPr>
          <w:p w14:paraId="4DB77316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5D249409" w14:textId="77777777" w:rsidTr="00A615F7">
        <w:trPr>
          <w:jc w:val="center"/>
        </w:trPr>
        <w:tc>
          <w:tcPr>
            <w:tcW w:w="4876" w:type="dxa"/>
            <w:hideMark/>
          </w:tcPr>
          <w:p w14:paraId="1B07B00F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10F9E075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38082A03" w14:textId="77777777" w:rsidTr="00A615F7">
        <w:trPr>
          <w:jc w:val="center"/>
        </w:trPr>
        <w:tc>
          <w:tcPr>
            <w:tcW w:w="4876" w:type="dxa"/>
          </w:tcPr>
          <w:p w14:paraId="5F500B90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1CD87B8A" w14:textId="5CA30F66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EU by měla chránit integritu své finanční infrastruktury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nezávislost svých tržních subjektů vůči unilateralismu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zahraniční politice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vůči možným extrateritoriálním sankcím uplatňovaným jurisdikcemi třetích zemí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současně zajišťovat účinné vynucování své sankční politiky;</w:t>
            </w:r>
          </w:p>
        </w:tc>
      </w:tr>
    </w:tbl>
    <w:p w14:paraId="2C407681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400EFC4B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19F1A363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207</w:t>
      </w:r>
      <w:r w:rsidRPr="006803F0">
        <w:rPr>
          <w:rStyle w:val="HideTWBExt"/>
          <w:b w:val="0"/>
          <w:noProof w:val="0"/>
        </w:rPr>
        <w:t>&lt;/NumAm&gt;</w:t>
      </w:r>
    </w:p>
    <w:p w14:paraId="6615D425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Rasmus Andresen</w:t>
      </w:r>
      <w:r w:rsidRPr="006803F0">
        <w:rPr>
          <w:rStyle w:val="HideTWBExt"/>
          <w:b w:val="0"/>
          <w:noProof w:val="0"/>
        </w:rPr>
        <w:t>&lt;/Members&gt;</w:t>
      </w:r>
    </w:p>
    <w:p w14:paraId="6E787EB5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1FA1DBD8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1F7BAB23" w14:textId="29C224A1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K</w:t>
      </w:r>
      <w:r>
        <w:t> </w:t>
      </w:r>
      <w:r w:rsidRPr="006803F0">
        <w:t>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37AED603" w14:textId="77777777" w:rsidTr="00A615F7">
        <w:trPr>
          <w:jc w:val="center"/>
        </w:trPr>
        <w:tc>
          <w:tcPr>
            <w:tcW w:w="9752" w:type="dxa"/>
            <w:gridSpan w:val="2"/>
          </w:tcPr>
          <w:p w14:paraId="666123FF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19D13853" w14:textId="77777777" w:rsidTr="00A615F7">
        <w:trPr>
          <w:jc w:val="center"/>
        </w:trPr>
        <w:tc>
          <w:tcPr>
            <w:tcW w:w="4876" w:type="dxa"/>
            <w:hideMark/>
          </w:tcPr>
          <w:p w14:paraId="49550BE7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5EB67C73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3E134120" w14:textId="77777777" w:rsidTr="00A615F7">
        <w:trPr>
          <w:jc w:val="center"/>
        </w:trPr>
        <w:tc>
          <w:tcPr>
            <w:tcW w:w="4876" w:type="dxa"/>
          </w:tcPr>
          <w:p w14:paraId="0A6A74E3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3112ECCD" w14:textId="7C6D1234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euro představuje více než 40 % celosvětové vývozní fakturace, pokud je zahrnut i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obchod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rámci eurozóny; 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po vyloučení zemí eurozóny představuje americký dolar přibližně 60 % vývozní fakturace, ve srovnání s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přibližně 25 %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případě eura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roce 2023</w:t>
            </w:r>
            <w:r w:rsidRPr="006803F0">
              <w:rPr>
                <w:b/>
                <w:i/>
                <w:vertAlign w:val="superscript"/>
              </w:rPr>
              <w:t xml:space="preserve"> 1b</w:t>
            </w:r>
            <w:r w:rsidRPr="006803F0">
              <w:rPr>
                <w:b/>
                <w:i/>
              </w:rPr>
              <w:t>;</w:t>
            </w:r>
          </w:p>
        </w:tc>
      </w:tr>
      <w:tr w:rsidR="00653C00" w:rsidRPr="006803F0" w14:paraId="29351F7A" w14:textId="77777777" w:rsidTr="00A615F7">
        <w:trPr>
          <w:jc w:val="center"/>
        </w:trPr>
        <w:tc>
          <w:tcPr>
            <w:tcW w:w="4876" w:type="dxa"/>
          </w:tcPr>
          <w:p w14:paraId="03B63B80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01154CEF" w14:textId="7777777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__________________</w:t>
            </w:r>
          </w:p>
        </w:tc>
      </w:tr>
      <w:tr w:rsidR="00653C00" w:rsidRPr="006803F0" w14:paraId="3E5BCF0F" w14:textId="77777777" w:rsidTr="00A615F7">
        <w:trPr>
          <w:jc w:val="center"/>
        </w:trPr>
        <w:tc>
          <w:tcPr>
            <w:tcW w:w="4876" w:type="dxa"/>
          </w:tcPr>
          <w:p w14:paraId="76055D11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46D04109" w14:textId="688E3599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  <w:vertAlign w:val="superscript"/>
              </w:rPr>
              <w:t>1b</w:t>
            </w:r>
            <w:r w:rsidRPr="006803F0">
              <w:rPr>
                <w:b/>
                <w:i/>
              </w:rPr>
              <w:t xml:space="preserve"> ECB, The international role of the euro, červen 2025, Special Feature B, „Global trade invoicing patterns: New insights and the influence of geopolitics“, s. 51, graf B.1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poznámka pod čarou 88.</w:t>
            </w:r>
          </w:p>
        </w:tc>
      </w:tr>
    </w:tbl>
    <w:p w14:paraId="632355A7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5D99D463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7175C94E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208</w:t>
      </w:r>
      <w:r w:rsidRPr="006803F0">
        <w:rPr>
          <w:rStyle w:val="HideTWBExt"/>
          <w:b w:val="0"/>
          <w:noProof w:val="0"/>
        </w:rPr>
        <w:t>&lt;/NumAm&gt;</w:t>
      </w:r>
    </w:p>
    <w:p w14:paraId="4EB8B264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Michalis Hadjipantela</w:t>
      </w:r>
      <w:r w:rsidRPr="006803F0">
        <w:rPr>
          <w:rStyle w:val="HideTWBExt"/>
          <w:b w:val="0"/>
          <w:noProof w:val="0"/>
        </w:rPr>
        <w:t>&lt;/Members&gt;</w:t>
      </w:r>
    </w:p>
    <w:p w14:paraId="1EA08650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0F4D78B1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2A1BD8AC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L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77533B0F" w14:textId="77777777" w:rsidTr="00A615F7">
        <w:trPr>
          <w:jc w:val="center"/>
        </w:trPr>
        <w:tc>
          <w:tcPr>
            <w:tcW w:w="9752" w:type="dxa"/>
            <w:gridSpan w:val="2"/>
          </w:tcPr>
          <w:p w14:paraId="09540512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682D59A0" w14:textId="77777777" w:rsidTr="00A615F7">
        <w:trPr>
          <w:jc w:val="center"/>
        </w:trPr>
        <w:tc>
          <w:tcPr>
            <w:tcW w:w="4876" w:type="dxa"/>
            <w:hideMark/>
          </w:tcPr>
          <w:p w14:paraId="4F0D9F24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589F091C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2B1B2FFA" w14:textId="77777777" w:rsidTr="00A615F7">
        <w:trPr>
          <w:jc w:val="center"/>
        </w:trPr>
        <w:tc>
          <w:tcPr>
            <w:tcW w:w="4876" w:type="dxa"/>
          </w:tcPr>
          <w:p w14:paraId="2ED442E4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2016F0A8" w14:textId="3553F08D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rozhodnutí, jakou měnu využít, nakonec vždy vychází z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preference účastníků trhu, přičemž klíčovou složkou, která jejich volbu ovlivňuje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je důležitým kritériem pro centrální banky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vlády při určování skladby svých mezinárodních rezerv, je důvěra ve stabilitu měny;</w:t>
            </w:r>
          </w:p>
        </w:tc>
      </w:tr>
    </w:tbl>
    <w:p w14:paraId="4D0C6695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6FC83705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6EF3B34C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209</w:t>
      </w:r>
      <w:r w:rsidRPr="006803F0">
        <w:rPr>
          <w:rStyle w:val="HideTWBExt"/>
          <w:b w:val="0"/>
          <w:noProof w:val="0"/>
        </w:rPr>
        <w:t>&lt;/NumAm&gt;</w:t>
      </w:r>
    </w:p>
    <w:p w14:paraId="16326DD0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Rasmus Andresen</w:t>
      </w:r>
      <w:r w:rsidRPr="006803F0">
        <w:rPr>
          <w:rStyle w:val="HideTWBExt"/>
          <w:b w:val="0"/>
          <w:noProof w:val="0"/>
        </w:rPr>
        <w:t>&lt;/Members&gt;</w:t>
      </w:r>
    </w:p>
    <w:p w14:paraId="27AB7A23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787965AE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643EC3A9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M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3077C311" w14:textId="77777777" w:rsidTr="00A615F7">
        <w:trPr>
          <w:jc w:val="center"/>
        </w:trPr>
        <w:tc>
          <w:tcPr>
            <w:tcW w:w="9752" w:type="dxa"/>
            <w:gridSpan w:val="2"/>
          </w:tcPr>
          <w:p w14:paraId="56E5298C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6063DD97" w14:textId="77777777" w:rsidTr="00A615F7">
        <w:trPr>
          <w:jc w:val="center"/>
        </w:trPr>
        <w:tc>
          <w:tcPr>
            <w:tcW w:w="4876" w:type="dxa"/>
            <w:hideMark/>
          </w:tcPr>
          <w:p w14:paraId="7D832988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2BDD35C0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6C1F0E83" w14:textId="77777777" w:rsidTr="00A615F7">
        <w:trPr>
          <w:jc w:val="center"/>
        </w:trPr>
        <w:tc>
          <w:tcPr>
            <w:tcW w:w="4876" w:type="dxa"/>
          </w:tcPr>
          <w:p w14:paraId="7238D7B3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09B7D2CF" w14:textId="21B4A546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navzdory nedávnému nárůstu nadnárodních emisí zůstává objem evropských bezpečných aktiv strukturálně omezený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kombinaci se státními dluhopisy eurozóny s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ratingem alespoň AA činí pouze přibližně 33 % nesplaceného objemu státních dluhopisů USA ve třetím čtvrtletí 2025</w:t>
            </w:r>
            <w:r w:rsidRPr="006803F0">
              <w:rPr>
                <w:b/>
                <w:i/>
                <w:vertAlign w:val="superscript"/>
              </w:rPr>
              <w:t xml:space="preserve"> 1c</w:t>
            </w:r>
            <w:r w:rsidRPr="006803F0">
              <w:rPr>
                <w:b/>
                <w:i/>
              </w:rPr>
              <w:t>;</w:t>
            </w:r>
          </w:p>
        </w:tc>
      </w:tr>
      <w:tr w:rsidR="00653C00" w:rsidRPr="006803F0" w14:paraId="068FF118" w14:textId="77777777" w:rsidTr="00A615F7">
        <w:trPr>
          <w:jc w:val="center"/>
        </w:trPr>
        <w:tc>
          <w:tcPr>
            <w:tcW w:w="4876" w:type="dxa"/>
          </w:tcPr>
          <w:p w14:paraId="7E7CA415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0EAFBA6F" w14:textId="7777777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__________________</w:t>
            </w:r>
          </w:p>
        </w:tc>
      </w:tr>
      <w:tr w:rsidR="00653C00" w:rsidRPr="006803F0" w14:paraId="2702C3C0" w14:textId="77777777" w:rsidTr="00A615F7">
        <w:trPr>
          <w:jc w:val="center"/>
        </w:trPr>
        <w:tc>
          <w:tcPr>
            <w:tcW w:w="4876" w:type="dxa"/>
          </w:tcPr>
          <w:p w14:paraId="5B20E51B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18023047" w14:textId="7777777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  <w:vertAlign w:val="superscript"/>
              </w:rPr>
              <w:t>1c</w:t>
            </w:r>
            <w:r w:rsidRPr="006803F0">
              <w:t xml:space="preserve"> </w:t>
            </w:r>
            <w:r w:rsidRPr="006803F0">
              <w:rPr>
                <w:b/>
                <w:i/>
              </w:rPr>
              <w:t>François Villeroy de Galhau, The international role of the euro and the development of European safe assets, Lucemburk, 2. října 2025.</w:t>
            </w:r>
          </w:p>
        </w:tc>
      </w:tr>
    </w:tbl>
    <w:p w14:paraId="301C59D1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4AAE8230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23C54E6B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210</w:t>
      </w:r>
      <w:r w:rsidRPr="006803F0">
        <w:rPr>
          <w:rStyle w:val="HideTWBExt"/>
          <w:b w:val="0"/>
          <w:noProof w:val="0"/>
        </w:rPr>
        <w:t>&lt;/NumAm&gt;</w:t>
      </w:r>
    </w:p>
    <w:p w14:paraId="635E36AF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Michalis Hadjipantela</w:t>
      </w:r>
      <w:r w:rsidRPr="006803F0">
        <w:rPr>
          <w:rStyle w:val="HideTWBExt"/>
          <w:b w:val="0"/>
          <w:noProof w:val="0"/>
        </w:rPr>
        <w:t>&lt;/Members&gt;</w:t>
      </w:r>
    </w:p>
    <w:p w14:paraId="3064D348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270A46BA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504811AE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N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2C270F06" w14:textId="77777777" w:rsidTr="00A615F7">
        <w:trPr>
          <w:jc w:val="center"/>
        </w:trPr>
        <w:tc>
          <w:tcPr>
            <w:tcW w:w="9752" w:type="dxa"/>
            <w:gridSpan w:val="2"/>
          </w:tcPr>
          <w:p w14:paraId="77DB1E51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09E62C63" w14:textId="77777777" w:rsidTr="00A615F7">
        <w:trPr>
          <w:jc w:val="center"/>
        </w:trPr>
        <w:tc>
          <w:tcPr>
            <w:tcW w:w="4876" w:type="dxa"/>
            <w:hideMark/>
          </w:tcPr>
          <w:p w14:paraId="71782DEC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2A86A149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6CEFB766" w14:textId="77777777" w:rsidTr="00A615F7">
        <w:trPr>
          <w:jc w:val="center"/>
        </w:trPr>
        <w:tc>
          <w:tcPr>
            <w:tcW w:w="4876" w:type="dxa"/>
          </w:tcPr>
          <w:p w14:paraId="5E4194A6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14F09779" w14:textId="658952F9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širší používání mezinárodní měny s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sebou nese nejen výsady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zisky, ale i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globální odpovědnost, závislosti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náklady;</w:t>
            </w:r>
          </w:p>
        </w:tc>
      </w:tr>
    </w:tbl>
    <w:p w14:paraId="435BB7F8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30AD7EEF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0AEB6880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211</w:t>
      </w:r>
      <w:r w:rsidRPr="006803F0">
        <w:rPr>
          <w:rStyle w:val="HideTWBExt"/>
          <w:b w:val="0"/>
          <w:noProof w:val="0"/>
        </w:rPr>
        <w:t>&lt;/NumAm&gt;</w:t>
      </w:r>
    </w:p>
    <w:p w14:paraId="0414A988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Michalis Hadjipantela</w:t>
      </w:r>
      <w:r w:rsidRPr="006803F0">
        <w:rPr>
          <w:rStyle w:val="HideTWBExt"/>
          <w:b w:val="0"/>
          <w:noProof w:val="0"/>
        </w:rPr>
        <w:t>&lt;/Members&gt;</w:t>
      </w:r>
    </w:p>
    <w:p w14:paraId="27B86E45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696B18D1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4CA3FC44" w14:textId="377D934C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O</w:t>
      </w:r>
      <w:r>
        <w:t> </w:t>
      </w:r>
      <w:r w:rsidRPr="006803F0">
        <w:t>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20D75803" w14:textId="77777777" w:rsidTr="00A615F7">
        <w:trPr>
          <w:jc w:val="center"/>
        </w:trPr>
        <w:tc>
          <w:tcPr>
            <w:tcW w:w="9752" w:type="dxa"/>
            <w:gridSpan w:val="2"/>
          </w:tcPr>
          <w:p w14:paraId="4A119D96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3A3137DE" w14:textId="77777777" w:rsidTr="00A615F7">
        <w:trPr>
          <w:jc w:val="center"/>
        </w:trPr>
        <w:tc>
          <w:tcPr>
            <w:tcW w:w="4876" w:type="dxa"/>
            <w:hideMark/>
          </w:tcPr>
          <w:p w14:paraId="005840BD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54B83760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27E75597" w14:textId="77777777" w:rsidTr="00A615F7">
        <w:trPr>
          <w:jc w:val="center"/>
        </w:trPr>
        <w:tc>
          <w:tcPr>
            <w:tcW w:w="4876" w:type="dxa"/>
          </w:tcPr>
          <w:p w14:paraId="0D390749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5FD92182" w14:textId="2ECBF8B7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pokud má dojít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trhem iniciovanému posunu směrem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posílení mezinárodní úlohy eura, je třeba předložit cílené politiky na usnadnění vývoje, jež budou v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souladu s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tímto cílem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budou součástí komplexního plánu;</w:t>
            </w:r>
          </w:p>
        </w:tc>
      </w:tr>
    </w:tbl>
    <w:p w14:paraId="70CB41C4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40A6FA15" w14:textId="77777777" w:rsidR="00BC53C6" w:rsidRPr="006803F0" w:rsidRDefault="006803F0" w:rsidP="00BC53C6">
      <w:pPr>
        <w:rPr>
          <w:szCs w:val="24"/>
        </w:rPr>
      </w:pPr>
      <w:r w:rsidRPr="006803F0">
        <w:rPr>
          <w:rStyle w:val="HideTWBExt"/>
          <w:noProof w:val="0"/>
        </w:rPr>
        <w:t>&lt;/Amend&gt;</w:t>
      </w:r>
    </w:p>
    <w:p w14:paraId="60D4D776" w14:textId="77777777" w:rsidR="00BC53C6" w:rsidRPr="006803F0" w:rsidRDefault="006803F0" w:rsidP="00BC53C6">
      <w:pPr>
        <w:pStyle w:val="AMNumberTabs0"/>
        <w:keepNext/>
      </w:pPr>
      <w:r w:rsidRPr="006803F0">
        <w:rPr>
          <w:rStyle w:val="HideTWBExt"/>
          <w:b w:val="0"/>
          <w:noProof w:val="0"/>
        </w:rPr>
        <w:t>&lt;Amend&gt;</w:t>
      </w:r>
      <w:r w:rsidRPr="006803F0">
        <w:t>Pozměňovací návrh</w:t>
      </w:r>
      <w:r w:rsidRPr="006803F0">
        <w:tab/>
      </w:r>
      <w:r w:rsidRPr="006803F0">
        <w:tab/>
      </w:r>
      <w:r w:rsidRPr="006803F0">
        <w:rPr>
          <w:rStyle w:val="HideTWBExt"/>
          <w:b w:val="0"/>
          <w:noProof w:val="0"/>
        </w:rPr>
        <w:t>&lt;NumAm&gt;</w:t>
      </w:r>
      <w:r w:rsidRPr="006803F0">
        <w:t>212</w:t>
      </w:r>
      <w:r w:rsidRPr="006803F0">
        <w:rPr>
          <w:rStyle w:val="HideTWBExt"/>
          <w:b w:val="0"/>
          <w:noProof w:val="0"/>
        </w:rPr>
        <w:t>&lt;/NumAm&gt;</w:t>
      </w:r>
    </w:p>
    <w:p w14:paraId="605AAFEB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&lt;RepeatBlock-By&gt;&lt;Members&gt;</w:t>
      </w:r>
      <w:r w:rsidRPr="006803F0">
        <w:t>Michalis Hadjipantela</w:t>
      </w:r>
      <w:r w:rsidRPr="006803F0">
        <w:rPr>
          <w:rStyle w:val="HideTWBExt"/>
          <w:b w:val="0"/>
          <w:noProof w:val="0"/>
        </w:rPr>
        <w:t>&lt;/Members&gt;</w:t>
      </w:r>
    </w:p>
    <w:p w14:paraId="121BB359" w14:textId="77777777" w:rsidR="00BC53C6" w:rsidRPr="006803F0" w:rsidRDefault="006803F0" w:rsidP="00BC53C6">
      <w:r w:rsidRPr="006803F0">
        <w:rPr>
          <w:rStyle w:val="HideTWBExt"/>
          <w:noProof w:val="0"/>
        </w:rPr>
        <w:t>&lt;/RepeatBlock-By&gt;</w:t>
      </w:r>
    </w:p>
    <w:p w14:paraId="4BBC232A" w14:textId="77777777" w:rsidR="00BC53C6" w:rsidRPr="006803F0" w:rsidRDefault="006803F0" w:rsidP="00BC53C6">
      <w:pPr>
        <w:pStyle w:val="NormalBold"/>
        <w:keepNext/>
      </w:pPr>
      <w:r w:rsidRPr="006803F0">
        <w:rPr>
          <w:rStyle w:val="HideTWBExt"/>
          <w:b w:val="0"/>
          <w:noProof w:val="0"/>
        </w:rPr>
        <w:t>&lt;DocAmend&gt;</w:t>
      </w:r>
      <w:r w:rsidRPr="006803F0">
        <w:t>Návrh usnesení</w:t>
      </w:r>
      <w:r w:rsidRPr="006803F0">
        <w:rPr>
          <w:rStyle w:val="HideTWBExt"/>
          <w:b w:val="0"/>
          <w:noProof w:val="0"/>
        </w:rPr>
        <w:t>&lt;/DocAmend&gt;</w:t>
      </w:r>
    </w:p>
    <w:p w14:paraId="0B9DE731" w14:textId="77777777" w:rsidR="00BC53C6" w:rsidRPr="006803F0" w:rsidRDefault="006803F0" w:rsidP="00BC53C6">
      <w:pPr>
        <w:pStyle w:val="NormalBold"/>
      </w:pPr>
      <w:r w:rsidRPr="006803F0">
        <w:rPr>
          <w:rStyle w:val="HideTWBExt"/>
          <w:b w:val="0"/>
          <w:noProof w:val="0"/>
        </w:rPr>
        <w:t>&lt;Article&gt;</w:t>
      </w:r>
      <w:r w:rsidRPr="006803F0">
        <w:t>Bod odůvodnění P (nový)</w:t>
      </w:r>
      <w:r w:rsidRPr="006803F0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3C00" w:rsidRPr="006803F0" w14:paraId="74A10951" w14:textId="77777777" w:rsidTr="00A615F7">
        <w:trPr>
          <w:jc w:val="center"/>
        </w:trPr>
        <w:tc>
          <w:tcPr>
            <w:tcW w:w="9752" w:type="dxa"/>
            <w:gridSpan w:val="2"/>
          </w:tcPr>
          <w:p w14:paraId="43BAE99D" w14:textId="77777777" w:rsidR="00BC53C6" w:rsidRPr="006803F0" w:rsidRDefault="00BC53C6" w:rsidP="00A615F7">
            <w:pPr>
              <w:keepNext/>
            </w:pPr>
          </w:p>
        </w:tc>
      </w:tr>
      <w:tr w:rsidR="00653C00" w:rsidRPr="006803F0" w14:paraId="593FC24D" w14:textId="77777777" w:rsidTr="00A615F7">
        <w:trPr>
          <w:jc w:val="center"/>
        </w:trPr>
        <w:tc>
          <w:tcPr>
            <w:tcW w:w="4876" w:type="dxa"/>
            <w:hideMark/>
          </w:tcPr>
          <w:p w14:paraId="60EF6E19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Návrh usnesení</w:t>
            </w:r>
          </w:p>
        </w:tc>
        <w:tc>
          <w:tcPr>
            <w:tcW w:w="4876" w:type="dxa"/>
            <w:hideMark/>
          </w:tcPr>
          <w:p w14:paraId="5C5F90B8" w14:textId="77777777" w:rsidR="00BC53C6" w:rsidRPr="006803F0" w:rsidRDefault="006803F0" w:rsidP="00A615F7">
            <w:pPr>
              <w:pStyle w:val="ColumnHeading"/>
              <w:keepNext/>
            </w:pPr>
            <w:r w:rsidRPr="006803F0">
              <w:t>Pozměňovací návrh</w:t>
            </w:r>
          </w:p>
        </w:tc>
      </w:tr>
      <w:tr w:rsidR="00653C00" w:rsidRPr="006803F0" w14:paraId="0F6D223B" w14:textId="77777777" w:rsidTr="00A615F7">
        <w:trPr>
          <w:jc w:val="center"/>
        </w:trPr>
        <w:tc>
          <w:tcPr>
            <w:tcW w:w="4876" w:type="dxa"/>
          </w:tcPr>
          <w:p w14:paraId="7E0DED8B" w14:textId="77777777" w:rsidR="00BC53C6" w:rsidRPr="006803F0" w:rsidRDefault="00BC53C6" w:rsidP="00A615F7">
            <w:pPr>
              <w:pStyle w:val="Normal6"/>
            </w:pPr>
          </w:p>
        </w:tc>
        <w:tc>
          <w:tcPr>
            <w:tcW w:w="4876" w:type="dxa"/>
            <w:hideMark/>
          </w:tcPr>
          <w:p w14:paraId="775EEB13" w14:textId="147E2A42" w:rsidR="00BC53C6" w:rsidRPr="006803F0" w:rsidRDefault="006803F0" w:rsidP="00A615F7">
            <w:pPr>
              <w:pStyle w:val="Normal6"/>
              <w:rPr>
                <w:szCs w:val="24"/>
              </w:rPr>
            </w:pPr>
            <w:r w:rsidRPr="006803F0">
              <w:rPr>
                <w:b/>
                <w:i/>
              </w:rPr>
              <w:t>–</w:t>
            </w:r>
            <w:r w:rsidRPr="006803F0">
              <w:rPr>
                <w:b/>
                <w:i/>
              </w:rPr>
              <w:tab/>
              <w:t>vzhledem k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tomu, že dlouhodobá mezinárodní úloha eura bude do značné míry záviset na atraktivitě eurozóny jako místa pro podnikání a</w:t>
            </w:r>
            <w:r>
              <w:rPr>
                <w:b/>
                <w:i/>
              </w:rPr>
              <w:t> </w:t>
            </w:r>
            <w:r w:rsidRPr="006803F0">
              <w:rPr>
                <w:b/>
                <w:i/>
              </w:rPr>
              <w:t>na spolehlivosti fiskálních politik členských států;</w:t>
            </w:r>
          </w:p>
        </w:tc>
      </w:tr>
    </w:tbl>
    <w:p w14:paraId="68C6DB51" w14:textId="77777777" w:rsidR="00BC53C6" w:rsidRPr="006803F0" w:rsidRDefault="006803F0" w:rsidP="00BC53C6">
      <w:pPr>
        <w:pStyle w:val="Olang"/>
        <w:rPr>
          <w:noProof w:val="0"/>
        </w:rPr>
      </w:pPr>
      <w:r w:rsidRPr="006803F0">
        <w:rPr>
          <w:noProof w:val="0"/>
        </w:rPr>
        <w:t xml:space="preserve">Or. </w:t>
      </w:r>
      <w:r w:rsidRPr="006803F0">
        <w:rPr>
          <w:rStyle w:val="HideTWBExt"/>
          <w:noProof w:val="0"/>
        </w:rPr>
        <w:t>&lt;Original&gt;</w:t>
      </w:r>
      <w:r w:rsidRPr="006803F0">
        <w:rPr>
          <w:rStyle w:val="HideTWBInt"/>
          <w:noProof w:val="0"/>
        </w:rPr>
        <w:t>{EN}</w:t>
      </w:r>
      <w:r w:rsidRPr="006803F0">
        <w:rPr>
          <w:noProof w:val="0"/>
        </w:rPr>
        <w:t>en</w:t>
      </w:r>
      <w:r w:rsidRPr="006803F0">
        <w:rPr>
          <w:rStyle w:val="HideTWBExt"/>
          <w:noProof w:val="0"/>
        </w:rPr>
        <w:t>&lt;/Original&gt;</w:t>
      </w:r>
    </w:p>
    <w:p w14:paraId="2FD8A0DF" w14:textId="77777777" w:rsidR="00BC53C6" w:rsidRPr="006803F0" w:rsidRDefault="006803F0" w:rsidP="00BC53C6">
      <w:r w:rsidRPr="006803F0">
        <w:rPr>
          <w:rStyle w:val="HideTWBExt"/>
          <w:noProof w:val="0"/>
        </w:rPr>
        <w:t>&lt;/Amend&gt;&lt;/RepeatBlock-Amend&gt;</w:t>
      </w:r>
    </w:p>
    <w:p w14:paraId="24A05AD0" w14:textId="77777777" w:rsidR="00BC53C6" w:rsidRPr="006803F0" w:rsidRDefault="00BC53C6" w:rsidP="00BC53C6"/>
    <w:p w14:paraId="36C8A233" w14:textId="77777777" w:rsidR="00794E41" w:rsidRPr="006803F0" w:rsidRDefault="00794E41" w:rsidP="00BC53C6"/>
    <w:sectPr w:rsidR="00794E41" w:rsidRPr="006803F0" w:rsidSect="001129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2D2CA" w14:textId="77777777" w:rsidR="006803F0" w:rsidRPr="006803F0" w:rsidRDefault="006803F0">
      <w:r w:rsidRPr="006803F0">
        <w:separator/>
      </w:r>
    </w:p>
  </w:endnote>
  <w:endnote w:type="continuationSeparator" w:id="0">
    <w:p w14:paraId="0686A481" w14:textId="77777777" w:rsidR="006803F0" w:rsidRPr="006803F0" w:rsidRDefault="006803F0">
      <w:r w:rsidRPr="006803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72331" w14:textId="77777777" w:rsidR="00AD3D9F" w:rsidRPr="006803F0" w:rsidRDefault="006803F0" w:rsidP="00BE6658">
    <w:pPr>
      <w:pStyle w:val="EPFooter"/>
    </w:pPr>
    <w:r w:rsidRPr="006803F0">
      <w:t>PE</w:t>
    </w:r>
    <w:r w:rsidRPr="006803F0">
      <w:rPr>
        <w:rStyle w:val="HideTWBExt"/>
        <w:noProof w:val="0"/>
      </w:rPr>
      <w:t>&lt;NoPE&gt;</w:t>
    </w:r>
    <w:r w:rsidR="00BC53C6" w:rsidRPr="006803F0">
      <w:t>788.927</w:t>
    </w:r>
    <w:r w:rsidRPr="006803F0">
      <w:rPr>
        <w:rStyle w:val="HideTWBExt"/>
        <w:noProof w:val="0"/>
      </w:rPr>
      <w:t>&lt;/NoPE&gt;&lt;Version&gt;</w:t>
    </w:r>
    <w:r w:rsidR="00860105" w:rsidRPr="006803F0">
      <w:t>v</w:t>
    </w:r>
    <w:r w:rsidR="00BC53C6" w:rsidRPr="006803F0">
      <w:t>02-00</w:t>
    </w:r>
    <w:r w:rsidRPr="006803F0">
      <w:rPr>
        <w:rStyle w:val="HideTWBExt"/>
        <w:noProof w:val="0"/>
      </w:rPr>
      <w:t>&lt;/Version&gt;</w:t>
    </w:r>
    <w:r w:rsidRPr="006803F0">
      <w:tab/>
    </w:r>
    <w:r w:rsidR="001C108E" w:rsidRPr="006803F0">
      <w:fldChar w:fldCharType="begin"/>
    </w:r>
    <w:r w:rsidR="001C108E" w:rsidRPr="006803F0">
      <w:instrText xml:space="preserve"> PAGE </w:instrText>
    </w:r>
    <w:r w:rsidR="001C108E" w:rsidRPr="006803F0">
      <w:fldChar w:fldCharType="separate"/>
    </w:r>
    <w:r w:rsidR="0011298B" w:rsidRPr="006803F0">
      <w:t>2</w:t>
    </w:r>
    <w:r w:rsidR="001C108E" w:rsidRPr="006803F0">
      <w:fldChar w:fldCharType="end"/>
    </w:r>
    <w:r w:rsidR="001C108E" w:rsidRPr="006803F0">
      <w:t>/</w:t>
    </w:r>
    <w:r w:rsidR="0011298B" w:rsidRPr="006803F0">
      <w:fldChar w:fldCharType="begin"/>
    </w:r>
    <w:r w:rsidR="0011298B" w:rsidRPr="006803F0">
      <w:instrText xml:space="preserve"> NUMPAGES </w:instrText>
    </w:r>
    <w:r w:rsidR="0011298B" w:rsidRPr="006803F0">
      <w:fldChar w:fldCharType="separate"/>
    </w:r>
    <w:r w:rsidR="0011298B" w:rsidRPr="006803F0">
      <w:t>3</w:t>
    </w:r>
    <w:r w:rsidR="0011298B" w:rsidRPr="006803F0">
      <w:fldChar w:fldCharType="end"/>
    </w:r>
    <w:r w:rsidRPr="006803F0">
      <w:tab/>
    </w:r>
    <w:r w:rsidRPr="006803F0">
      <w:rPr>
        <w:rStyle w:val="HideTWBExt"/>
        <w:noProof w:val="0"/>
      </w:rPr>
      <w:t>&lt;PathFdR&gt;</w:t>
    </w:r>
    <w:r w:rsidR="00BC53C6" w:rsidRPr="006803F0">
      <w:t>AM\1344477CS.docx</w:t>
    </w:r>
    <w:r w:rsidRPr="006803F0">
      <w:rPr>
        <w:rStyle w:val="HideTWBExt"/>
        <w:noProof w:val="0"/>
      </w:rPr>
      <w:t>&lt;/PathFdR&gt;</w:t>
    </w:r>
  </w:p>
  <w:p w14:paraId="2C6DFF92" w14:textId="04C7539F" w:rsidR="00AD3D9F" w:rsidRPr="006803F0" w:rsidRDefault="006803F0">
    <w:pPr>
      <w:pStyle w:val="EPFooter2"/>
    </w:pPr>
    <w:r w:rsidRPr="006803F0">
      <w:fldChar w:fldCharType="begin"/>
    </w:r>
    <w:r w:rsidRPr="006803F0">
      <w:instrText xml:space="preserve"> DOCPROPERTY "&lt;Extension&gt;" </w:instrText>
    </w:r>
    <w:r w:rsidRPr="006803F0">
      <w:fldChar w:fldCharType="separate"/>
    </w:r>
    <w:r w:rsidR="00794469">
      <w:t>CS</w:t>
    </w:r>
    <w:r w:rsidRPr="006803F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DC2E" w14:textId="77777777" w:rsidR="00AD3D9F" w:rsidRPr="006803F0" w:rsidRDefault="006803F0" w:rsidP="00BE6658">
    <w:pPr>
      <w:pStyle w:val="EPFooter"/>
    </w:pPr>
    <w:r w:rsidRPr="006803F0">
      <w:rPr>
        <w:rStyle w:val="HideTWBExt"/>
        <w:noProof w:val="0"/>
      </w:rPr>
      <w:t>&lt;PathFdR&gt;</w:t>
    </w:r>
    <w:r w:rsidR="00BC53C6" w:rsidRPr="006803F0">
      <w:t>AM\1344477CS.docx</w:t>
    </w:r>
    <w:r w:rsidRPr="006803F0">
      <w:rPr>
        <w:rStyle w:val="HideTWBExt"/>
        <w:noProof w:val="0"/>
      </w:rPr>
      <w:t>&lt;/PathFdR&gt;</w:t>
    </w:r>
    <w:r w:rsidRPr="006803F0">
      <w:tab/>
    </w:r>
    <w:r w:rsidR="001C108E" w:rsidRPr="006803F0">
      <w:fldChar w:fldCharType="begin"/>
    </w:r>
    <w:r w:rsidR="001C108E" w:rsidRPr="006803F0">
      <w:instrText xml:space="preserve"> PAGE </w:instrText>
    </w:r>
    <w:r w:rsidR="001C108E" w:rsidRPr="006803F0">
      <w:fldChar w:fldCharType="separate"/>
    </w:r>
    <w:r w:rsidR="0011298B" w:rsidRPr="006803F0">
      <w:t>3</w:t>
    </w:r>
    <w:r w:rsidR="001C108E" w:rsidRPr="006803F0">
      <w:fldChar w:fldCharType="end"/>
    </w:r>
    <w:r w:rsidR="001C108E" w:rsidRPr="006803F0">
      <w:t>/</w:t>
    </w:r>
    <w:r w:rsidR="0011298B" w:rsidRPr="006803F0">
      <w:fldChar w:fldCharType="begin"/>
    </w:r>
    <w:r w:rsidR="0011298B" w:rsidRPr="006803F0">
      <w:instrText xml:space="preserve"> NUMPAGES </w:instrText>
    </w:r>
    <w:r w:rsidR="0011298B" w:rsidRPr="006803F0">
      <w:fldChar w:fldCharType="separate"/>
    </w:r>
    <w:r w:rsidR="0011298B" w:rsidRPr="006803F0">
      <w:t>3</w:t>
    </w:r>
    <w:r w:rsidR="0011298B" w:rsidRPr="006803F0">
      <w:fldChar w:fldCharType="end"/>
    </w:r>
    <w:r w:rsidRPr="006803F0">
      <w:tab/>
      <w:t>PE</w:t>
    </w:r>
    <w:r w:rsidRPr="006803F0">
      <w:rPr>
        <w:rStyle w:val="HideTWBExt"/>
        <w:noProof w:val="0"/>
      </w:rPr>
      <w:t>&lt;NoPE&gt;</w:t>
    </w:r>
    <w:r w:rsidR="00BC53C6" w:rsidRPr="006803F0">
      <w:t>788.927</w:t>
    </w:r>
    <w:r w:rsidRPr="006803F0">
      <w:rPr>
        <w:rStyle w:val="HideTWBExt"/>
        <w:noProof w:val="0"/>
      </w:rPr>
      <w:t>&lt;/NoPE&gt;&lt;Version&gt;</w:t>
    </w:r>
    <w:r w:rsidR="00860105" w:rsidRPr="006803F0">
      <w:t>v</w:t>
    </w:r>
    <w:r w:rsidR="00BC53C6" w:rsidRPr="006803F0">
      <w:t>02-00</w:t>
    </w:r>
    <w:r w:rsidRPr="006803F0">
      <w:rPr>
        <w:rStyle w:val="HideTWBExt"/>
        <w:noProof w:val="0"/>
      </w:rPr>
      <w:t>&lt;/Version&gt;</w:t>
    </w:r>
  </w:p>
  <w:p w14:paraId="7276C4D9" w14:textId="5DFD4111" w:rsidR="00AD3D9F" w:rsidRPr="006803F0" w:rsidRDefault="006803F0">
    <w:pPr>
      <w:pStyle w:val="EPFooter2"/>
    </w:pPr>
    <w:r w:rsidRPr="006803F0">
      <w:tab/>
    </w:r>
    <w:r w:rsidRPr="006803F0">
      <w:tab/>
    </w:r>
    <w:r w:rsidR="005E5FA1" w:rsidRPr="006803F0">
      <w:fldChar w:fldCharType="begin"/>
    </w:r>
    <w:r w:rsidR="005E5FA1" w:rsidRPr="006803F0">
      <w:instrText xml:space="preserve"> DOCPROPERTY "&lt;Extension&gt;" </w:instrText>
    </w:r>
    <w:r w:rsidR="005E5FA1" w:rsidRPr="006803F0">
      <w:fldChar w:fldCharType="separate"/>
    </w:r>
    <w:r w:rsidR="00794469">
      <w:t>CS</w:t>
    </w:r>
    <w:r w:rsidR="005E5FA1" w:rsidRPr="006803F0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9BA0" w14:textId="77777777" w:rsidR="00AD3D9F" w:rsidRPr="006803F0" w:rsidRDefault="006803F0" w:rsidP="00BE6658">
    <w:pPr>
      <w:pStyle w:val="EPFooter"/>
    </w:pPr>
    <w:r w:rsidRPr="006803F0">
      <w:rPr>
        <w:rStyle w:val="HideTWBExt"/>
        <w:noProof w:val="0"/>
      </w:rPr>
      <w:t>&lt;PathFdR&gt;</w:t>
    </w:r>
    <w:r w:rsidR="00BC53C6" w:rsidRPr="006803F0">
      <w:t>AM\1344477CS.docx</w:t>
    </w:r>
    <w:r w:rsidRPr="006803F0">
      <w:rPr>
        <w:rStyle w:val="HideTWBExt"/>
        <w:noProof w:val="0"/>
      </w:rPr>
      <w:t>&lt;/PathFdR&gt;</w:t>
    </w:r>
    <w:r w:rsidRPr="006803F0">
      <w:tab/>
    </w:r>
    <w:r w:rsidRPr="006803F0">
      <w:tab/>
      <w:t>PE</w:t>
    </w:r>
    <w:r w:rsidRPr="006803F0">
      <w:rPr>
        <w:rStyle w:val="HideTWBExt"/>
        <w:noProof w:val="0"/>
      </w:rPr>
      <w:t>&lt;NoPE&gt;</w:t>
    </w:r>
    <w:r w:rsidR="00BC53C6" w:rsidRPr="006803F0">
      <w:t>788.927</w:t>
    </w:r>
    <w:r w:rsidRPr="006803F0">
      <w:rPr>
        <w:rStyle w:val="HideTWBExt"/>
        <w:noProof w:val="0"/>
      </w:rPr>
      <w:t>&lt;/NoPE&gt;&lt;Version&gt;</w:t>
    </w:r>
    <w:r w:rsidR="00860105" w:rsidRPr="006803F0">
      <w:t>v</w:t>
    </w:r>
    <w:r w:rsidR="00BC53C6" w:rsidRPr="006803F0">
      <w:t>02-00</w:t>
    </w:r>
    <w:r w:rsidRPr="006803F0">
      <w:rPr>
        <w:rStyle w:val="HideTWBExt"/>
        <w:noProof w:val="0"/>
      </w:rPr>
      <w:t>&lt;/Version&gt;</w:t>
    </w:r>
  </w:p>
  <w:p w14:paraId="081120A5" w14:textId="03B13EFB" w:rsidR="00AD3D9F" w:rsidRPr="006803F0" w:rsidRDefault="006803F0" w:rsidP="00CF4E9D">
    <w:pPr>
      <w:pStyle w:val="EPFooter2"/>
      <w:tabs>
        <w:tab w:val="clear" w:pos="4535"/>
        <w:tab w:val="center" w:pos="4536"/>
      </w:tabs>
    </w:pPr>
    <w:r w:rsidRPr="006803F0">
      <w:fldChar w:fldCharType="begin"/>
    </w:r>
    <w:r w:rsidRPr="006803F0">
      <w:instrText xml:space="preserve"> DOCPROPERTY "&lt;Extension&gt;" </w:instrText>
    </w:r>
    <w:r w:rsidRPr="006803F0">
      <w:fldChar w:fldCharType="separate"/>
    </w:r>
    <w:r w:rsidR="00794469">
      <w:t>CS</w:t>
    </w:r>
    <w:r w:rsidRPr="006803F0">
      <w:fldChar w:fldCharType="end"/>
    </w:r>
    <w:r w:rsidRPr="006803F0">
      <w:tab/>
    </w:r>
    <w:r w:rsidR="00BC53C6" w:rsidRPr="006803F0">
      <w:rPr>
        <w:b w:val="0"/>
        <w:i/>
        <w:color w:val="C0C0C0"/>
        <w:sz w:val="22"/>
        <w:szCs w:val="22"/>
      </w:rPr>
      <w:t>Jednotná v rozmanitosti</w:t>
    </w:r>
    <w:r w:rsidRPr="006803F0">
      <w:tab/>
    </w:r>
    <w:r w:rsidRPr="006803F0">
      <w:fldChar w:fldCharType="begin"/>
    </w:r>
    <w:r w:rsidRPr="006803F0">
      <w:instrText xml:space="preserve"> DOCPROPERTY "&lt;Extension&gt;" </w:instrText>
    </w:r>
    <w:r w:rsidRPr="006803F0">
      <w:fldChar w:fldCharType="separate"/>
    </w:r>
    <w:r w:rsidR="00794469">
      <w:t>CS</w:t>
    </w:r>
    <w:r w:rsidRPr="006803F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E6571" w14:textId="77777777" w:rsidR="006803F0" w:rsidRPr="006803F0" w:rsidRDefault="006803F0">
      <w:r w:rsidRPr="006803F0">
        <w:separator/>
      </w:r>
    </w:p>
  </w:footnote>
  <w:footnote w:type="continuationSeparator" w:id="0">
    <w:p w14:paraId="55499F7C" w14:textId="77777777" w:rsidR="006803F0" w:rsidRPr="006803F0" w:rsidRDefault="006803F0">
      <w:r w:rsidRPr="006803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9387B" w14:textId="77777777" w:rsidR="00381374" w:rsidRPr="006803F0" w:rsidRDefault="003813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B7634" w14:textId="77777777" w:rsidR="00381374" w:rsidRPr="006803F0" w:rsidRDefault="003813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E7E06" w14:textId="77777777" w:rsidR="00381374" w:rsidRPr="006803F0" w:rsidRDefault="003813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1163554">
    <w:abstractNumId w:val="3"/>
  </w:num>
  <w:num w:numId="2" w16cid:durableId="1934048636">
    <w:abstractNumId w:val="2"/>
  </w:num>
  <w:num w:numId="3" w16cid:durableId="2045977364">
    <w:abstractNumId w:val="1"/>
  </w:num>
  <w:num w:numId="4" w16cid:durableId="1683780434">
    <w:abstractNumId w:val="0"/>
  </w:num>
  <w:num w:numId="5" w16cid:durableId="955060313">
    <w:abstractNumId w:val="6"/>
  </w:num>
  <w:num w:numId="6" w16cid:durableId="1929267141">
    <w:abstractNumId w:val="5"/>
  </w:num>
  <w:num w:numId="7" w16cid:durableId="2107336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1"/>
    <w:docVar w:name="COMMKEY" w:val="ECON"/>
    <w:docVar w:name="DOCREFINIMNU" w:val=" 1"/>
    <w:docVar w:name="LastEditedSection" w:val=" 1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38\fbidi \froman\fcharset238\fprq2 Times New Roman CE;}{\f1339\fbidi \froman\fcharset204\fprq2 Times New Roman Cyr;}_x000d__x000a_{\f1341\fbidi \froman\fcharset161\fprq2 Times New Roman Greek;}{\f1342\fbidi \froman\fcharset162\fprq2 Times New Roman Tur;}{\f1343\fbidi \froman\fcharset177\fprq2 Times New Roman (Hebrew);}_x000d__x000a_{\f1344\fbidi \froman\fcharset178\fprq2 Times New Roman (Arabic);}{\f1345\fbidi \froman\fcharset186\fprq2 Times New Roman Baltic;}{\f1346\fbidi \froman\fcharset163\fprq2 Times New Roman (Vietnamese);}{\f1348\fbidi \fswiss\fcharset238\fprq2 Arial CE;}_x000d__x000a_{\f1349\fbidi \fswiss\fcharset204\fprq2 Arial Cyr;}{\f1351\fbidi \fswiss\fcharset161\fprq2 Arial Greek;}{\f1352\fbidi \fswiss\fcharset162\fprq2 Arial Tur;}{\f1353\fbidi \fswiss\fcharset177\fprq2 Arial (Hebrew);}_x000d__x000a_{\f1354\fbidi \fswiss\fcharset178\fprq2 Arial (Arabic);}{\f1355\fbidi \fswiss\fcharset186\fprq2 Arial Baltic;}{\f1356\fbidi \fswiss\fcharset163\fprq2 Arial (Vietnamese);}{\f1678\fbidi \froman\fcharset238\fprq2 Cambria Math CE;}_x000d__x000a_{\f1679\fbidi \froman\fcharset204\fprq2 Cambria Math Cyr;}{\f1681\fbidi \froman\fcharset161\fprq2 Cambria Math Greek;}{\f1682\fbidi \froman\fcharset162\fprq2 Cambria Math Tur;}{\f1685\fbidi \froman\fcharset186\fprq2 Cambria Math Baltic;}_x000d__x000a_{\f1686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032120 HideTWBExt;}{\*\cs18 \additive \v\f1\fs20\cf15 _x000d__x000a_\spriority0 \styrsid10032120 HideTWBInt;}{\s19\qr \li0\ri0\sb240\sa240\nowidctlpar\wrapdefault\aspalpha\aspnum\faauto\adjustright\rin0\lin0\itap0 \rtlch\fcs1 \af0\afs20\alang1025 \ltrch\fcs0 \fs24\lang1029\langfe2057\cgrid\langnp1029\langfenp2057 _x000d__x000a_\sbasedon0 \snext19 \spriority0 \styrsid10032120 AmOrLang;}{\s20\ql \li0\ri0\sa120\nowidctlpar\wrapdefault\aspalpha\aspnum\faauto\adjustright\rin0\lin0\itap0 \rtlch\fcs1 \af0\afs20\alang1025 \ltrch\fcs0 _x000d__x000a_\fs24\lang1029\langfe2057\cgrid\langnp1029\langfenp2057 \sbasedon0 \snext20 \spriority0 \styrsid10032120 Normal6a;}{\s21\ql \li0\ri0\nowidctlpar\wrapdefault\aspalpha\aspnum\faauto\adjustright\rin0\lin0\itap0 \rtlch\fcs1 \af0\afs20\alang1025 \ltrch\fcs0 _x000d__x000a_\b\fs24\lang1029\langfe2057\cgrid\langnp1029\langfenp2057 \sbasedon0 \snext21 \spriority0 \styrsid10032120 NormalBold;}{\s22\qc \li0\ri0\sa240\nowidctlpar\wrapdefault\aspalpha\aspnum\faauto\adjustright\rin0\lin0\itap0 \rtlch\fcs1 \af0\afs20\alang1025 _x000d__x000a_\ltrch\fcs0 \i\fs24\lang1029\langfe2057\cgrid\langnp1029\langfenp2057 \sbasedon0 \snext22 \spriority0 \styrsid1003212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10032120 AmNumberTabs;}}{\*\rsidtbl \rsid24658\rsid223860\rsid735077\rsid1718133\rsid2760540\rsid2892074\rsid3565327\rsid4666813\rsid6641733_x000d__x000a_\rsid7823322\rsid9121597\rsid9636012\rsid10032120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OSLADILOVA Jana}{\operator OSLADILOVA Jana}{\creatim\yr2026\mo5\dy29\hr19\min47}{\revtim\yr2026\mo5\dy29\hr19\min47}{\version1}{\edmins0}{\nofpages1}{\nofwords67}_x000d__x000a_{\nofchars569}{\nofcharsws629}{\vern11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03212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OSLAD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12159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12159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12159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12159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1029\langfe2057\cgrid\langnp1029\langfenp2057 {\rtlch\fcs1 \af0 \ltrch\fcs0 \cs17\b0\v\f1\fs20\cf9\lang1024\langfe1024\noproof\insrsid10032120\charrsid8782085 {\*\bkmkstart restart}&lt;Amend&gt;}{\rtlch\fcs1 \af1338 _x000d__x000a_\ltrch\fcs0 \f1338\insrsid10032120\charrsid8782085 Pozm\'ec\'f2ovac\'ed n\'e1vrh}{\rtlch\fcs1 \af0 \ltrch\fcs0 \insrsid10032120\charrsid8782085 \tab \tab }{\rtlch\fcs1 \af0 \ltrch\fcs0 _x000d__x000a_\cs17\b0\v\f1\fs20\cf9\lang1024\langfe1024\noproof\insrsid10032120\charrsid8782085 &lt;NumAm&gt;}{\rtlch\fcs1 \af0 \ltrch\fcs0 \insrsid10032120\charrsid8782085 #}{\rtlch\fcs1 \af1 \ltrch\fcs0 \cs18\v\f1\fs20\cf15\insrsid10032120\charrsid8782085 ENMIENDA@NRAM@}{_x000d__x000a_\rtlch\fcs1 \af0 \ltrch\fcs0 \insrsid10032120\charrsid8782085 #}{\rtlch\fcs1 \af0 \ltrch\fcs0 \cs17\b0\v\f1\fs20\cf9\lang1024\langfe1024\noproof\insrsid10032120\charrsid8782085 &lt;/NumAm&gt;}{\rtlch\fcs1 \af0 \ltrch\fcs0 \insrsid10032120\charrsid8782085 _x000d__x000a__x000d__x000a_\par }\pard\plain \ltrpar\s21\ql \li0\ri0\nowidctlpar\wrapdefault\aspalpha\aspnum\faauto\adjustright\rin0\lin0\itap0\pararsid11353503 \rtlch\fcs1 \af0\afs20\alang1025 \ltrch\fcs0 \b\fs24\lang1029\langfe2057\cgrid\langnp1029\langfenp2057 {\rtlch\fcs1 \af0 _x000d__x000a_\ltrch\fcs0 \cs17\b0\v\f1\fs20\cf9\lang1024\langfe1024\noproof\insrsid10032120\charrsid8782085 &lt;RepeatBlock-By&gt;}{\rtlch\fcs1 \af0 \ltrch\fcs0 \insrsid10032120\charrsid8782085 #}{\rtlch\fcs1 \af1 \ltrch\fcs0 _x000d__x000a_\cs18\v\f1\fs20\cf15\insrsid10032120\charrsid8782085 (MOD@InsideLoop()}{\rtlch\fcs1 \af0 \ltrch\fcs0 \insrsid10032120\charrsid8782085 ##}{\rtlch\fcs1 \af1 \ltrch\fcs0 \cs18\v\f1\fs20\cf15\insrsid10032120\charrsid8782085 &gt;&gt;&gt;@[ZMEMBERSMSG]@}{\rtlch\fcs1 _x000d__x000a_\af0 \ltrch\fcs0 \insrsid10032120\charrsid8782085 #}{\rtlch\fcs1 \af0 \ltrch\fcs0 \cs17\b0\v\f1\fs20\cf9\lang1024\langfe1024\noproof\insrsid10032120\charrsid8782085 &lt;Members&gt;}{\rtlch\fcs1 \af0 \ltrch\fcs0 \insrsid10032120\charrsid8782085 #}{\rtlch\fcs1 _x000d__x000a_\af1 \ltrch\fcs0 \cs18\v\f1\fs20\cf15\insrsid10032120\charrsid8782085 (MOD@InsideLoop(\'a7)}{\rtlch\fcs1 \af0 \ltrch\fcs0 \insrsid10032120\charrsid8782085 #}{\rtlch\fcs1 \af0 \ltrch\fcs0 \cf10\insrsid10032120\charrsid8782085 \u9668\'3f}{\rtlch\fcs1 \af0 _x000d__x000a_\ltrch\fcs0 \insrsid10032120\charrsid8782085 #}{\rtlch\fcs1 \af1 \ltrch\fcs0 \cs18\v\f1\fs20\cf15\insrsid10032120\charrsid8782085 TVTMEMBERS\'a7@MEMBERS@}{\rtlch\fcs1 \af0 \ltrch\fcs0 \insrsid10032120\charrsid8782085 #}{\rtlch\fcs1 \af0 \ltrch\fcs0 _x000d__x000a_\cf10\insrsid10032120\charrsid8782085 \u9658\'3f}{\rtlch\fcs1 \af0 \ltrch\fcs0 \cs17\b0\v\f1\fs20\cf9\lang1024\langfe1024\noproof\insrsid10032120\charrsid8782085 &lt;/Members&gt;}{\rtlch\fcs1 \af0 \ltrch\fcs0 \insrsid10032120\charrsid8782085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langnp1029\insrsid10032120\charrsid8782085 &lt;AuNomDe&gt;&lt;OptDel&gt;}{\rtlch\fcs1 \af0 \ltrch\fcs0 \lang1029\langfe2057\langnp1029\insrsid10032120\charrsid8782085 #}{\rtlch\fcs1 \af1 \ltrch\fcs0 _x000d__x000a_\cs18\v\f1\fs20\cf15\lang1029\langfe2057\langnp1029\insrsid10032120\charrsid8782085 MNU[ONBEHALFYES][NOTAPP]@CHOICE@}{\rtlch\fcs1 \af0 \ltrch\fcs0 \lang1029\langfe2057\langnp1029\insrsid10032120\charrsid8782085 #}{\rtlch\fcs1 \af0 \ltrch\fcs0 _x000d__x000a_\cs17\v\f1\fs20\cf9\lang1024\langfe1024\noproof\langnp1029\insrsid10032120\charrsid8782085 &lt;/OptDel&gt;&lt;/AuNomDe&gt;}{\rtlch\fcs1 \af0 \ltrch\fcs0 \lang1029\langfe2057\langnp1029\insrsid10032120\charrsid8782085 _x000d__x000a_\par &lt;&lt;&lt;}{\rtlch\fcs1 \af0 \ltrch\fcs0 \cs17\v\f1\fs20\cf9\lang1024\langfe1024\noproof\langnp1029\insrsid10032120\charrsid8782085 &lt;/RepeatBlock-By&gt;}{\rtlch\fcs1 \af0 \ltrch\fcs0 \lang1029\langfe2057\langnp1029\insrsid10032120\charrsid8782085 _x000d__x000a_\par }\pard\plain \ltrpar\s21\ql \li0\ri0\nowidctlpar\wrapdefault\aspalpha\aspnum\faauto\adjustright\rin0\lin0\itap0\pararsid11353503 \rtlch\fcs1 \af0\afs20\alang1025 \ltrch\fcs0 \b\fs24\lang1029\langfe2057\cgrid\langnp1029\langfenp2057 {\rtlch\fcs1 \af0 _x000d__x000a_\ltrch\fcs0 \cs17\b0\v\f1\fs20\cf9\lang1024\langfe1024\noproof\insrsid10032120\charrsid8782085 &lt;DocAmend&gt;}{\rtlch\fcs1 \af0 \ltrch\fcs0 \insrsid10032120\charrsid8782085 #}{\rtlch\fcs1 \af1 \ltrch\fcs0 \cs18\v\f1\fs20\cf15\insrsid10032120\charrsid8782085 _x000d__x000a_MNU[OPTAMDOCINI][AMDOCA1][OPTAMDOCNLE][AMDOCA1][AMDOCA2][AMDOCA1][AMDOCA1][OPTAMDOCDEC]@CHOICE@CODEMNU}{\rtlch\fcs1 \af0 \ltrch\fcs0 \insrsid10032120\charrsid8782085 #}{\rtlch\fcs1 \af0 \ltrch\fcs0 _x000d__x000a_\cs17\b0\v\f1\fs20\cf9\lang1024\langfe1024\noproof\insrsid10032120\charrsid8782085 &lt;/DocAmend&gt;}{\rtlch\fcs1 \af0 \ltrch\fcs0 \insrsid10032120\charrsid8782085 _x000d__x000a_\par }\pard \ltrpar\s21\ql \li0\ri0\nowidctlpar\wrapdefault\aspalpha\aspnum\faauto\adjustright\rin0\lin0\itap0\pararsid7949889 {\rtlch\fcs1 \af0 \ltrch\fcs0 \cs17\b0\v\f1\fs20\cf9\lang1024\langfe1024\noproof\insrsid10032120\charrsid8782085 &lt;Article&gt;}{_x000d__x000a_\rtlch\fcs1 \af0 \ltrch\fcs0 \cf10\insrsid10032120\charrsid8782085 \u9668\'3f}{\rtlch\fcs1 \af0 \ltrch\fcs0 \insrsid10032120\charrsid8782085 #}{\rtlch\fcs1 \af1 \ltrch\fcs0 \cs18\v\f1\fs20\cf15\insrsid10032120\charrsid8782085 TVTAMPART@AMPART@}{_x000d__x000a_\rtlch\fcs1 \af0 \ltrch\fcs0 \insrsid10032120\charrsid8782085 #}{\rtlch\fcs1 \af0 \ltrch\fcs0 \cf10\insrsid10032120\charrsid8782085 \u9658\'3f}{\rtlch\fcs1 \af0 \ltrch\fcs0 _x000d__x000a_\cs17\b0\v\f1\fs20\cf9\lang1024\langfe1024\noproof\insrsid10032120\charrsid8782085 &lt;/Article&gt;}{\rtlch\fcs1 \af0 \ltrch\fcs0 \insrsid10032120\charrsid8782085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lang1029\langfe2057\langnp1029\insrsid10032120\charrsid878208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0032120\charrsid8782085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1029\langfe2057\cgrid\langnp1029\langfenp2057 {\rtlch\fcs1 \af0 \ltrch\fcs0 _x000d__x000a_\insrsid10032120\charrsid8782085 #}{\rtlch\fcs1 \af1 \ltrch\fcs0 \cs18\v\f1\fs20\cf15\insrsid10032120\charrsid8782085 MNU[OPTAMDOCINI][AMDOCA1][OPTAMDOCNLE][AMDOCA1][AMDOCA2][AMDOCA1][AMDOCA1][OPTAMDOCDEC]@CHOICE@CODEMNU}{\rtlch\fcs1 \af0 \ltrch\fcs0 _x000d__x000a_\insrsid10032120\charrsid8782085 #\cell }{\rtlch\fcs1 \af1338 \ltrch\fcs0 \f1338\insrsid10032120\charrsid8782085 Pozm\'ec\'f2ovac\'ed n\'e1vrh}{\rtlch\fcs1 \af0 \ltrch\fcs0 \insrsid10032120\charrsid878208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0032120\charrsid8782085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20\ql \li0\ri0\sa120\nowidctlpar\intbl\wrapdefault\aspalpha\aspnum\faauto\adjustright\rin0\lin0\pararsid7949889 \rtlch\fcs1 \af0\afs20\alang1025 \ltrch\fcs0 _x000d__x000a_\fs24\lang1029\langfe2057\cgrid\langnp1029\langfenp2057 {\rtlch\fcs1 \af0 \ltrch\fcs0 \insrsid10032120\charrsid8782085 ##\cell ##}{\rtlch\fcs1 \af0\afs24 \ltrch\fcs0 \insrsid10032120\charrsid878208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0032120\charrsid8782085 \trowd \lastrow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19\qr \li0\ri0\sb240\sa240\nowidctlpar\wrapdefault\aspalpha\aspnum\faauto\adjustright\rin0\lin0\itap0\pararsid7949889 \rtlch\fcs1 \af0\afs20\alang1025 \ltrch\fcs0 _x000d__x000a_\fs24\lang1029\langfe2057\cgrid\langnp1029\langfenp2057 {\rtlch\fcs1 \af0 \ltrch\fcs0 \insrsid10032120\charrsid8782085 Or. }{\rtlch\fcs1 \af0 \ltrch\fcs0 \cs17\v\f1\fs20\cf9\lang1024\langfe1024\noproof\insrsid10032120\charrsid8782085 &lt;Original&gt;}{_x000d__x000a_\rtlch\fcs1 \af0 \ltrch\fcs0 \insrsid10032120\charrsid8782085 #}{\rtlch\fcs1 \af1 \ltrch\fcs0 \cs18\v\f1\fs20\cf15\insrsid10032120\charrsid8782085 KEY(MAIN/LANGMIN)sh@ORLANGMSG@}{\rtlch\fcs1 \af0 \ltrch\fcs0 \insrsid10032120\charrsid8782085 #}{_x000d__x000a_\rtlch\fcs1 \af0 \ltrch\fcs0 \cs17\v\f1\fs20\cf9\lang1024\langfe1024\noproof\insrsid10032120\charrsid8782085 &lt;/Original&gt;}{\rtlch\fcs1 \af0 \ltrch\fcs0 \insrsid10032120\charrsid878208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langnp1029\insrsid10032120\charrsid8782085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8_x000d__x000a_af3593e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OREDT" w:val="22/05/2026"/>
    <w:docVar w:name="strDocTypeID" w:val="AM_Com_NonLegReport"/>
    <w:docVar w:name="strSubDir" w:val="1344"/>
    <w:docVar w:name="TXTAUTHOR" w:val="Rasmus Andresen"/>
    <w:docVar w:name="TXTLANGUE" w:val="CS"/>
    <w:docVar w:name="TXTLANGUEMIN" w:val="cs"/>
    <w:docVar w:name="TXTNRFIRSTAM" w:val="197"/>
    <w:docVar w:name="TXTNRLASTAM" w:val="212"/>
    <w:docVar w:name="TXTNRPE" w:val="788.927"/>
    <w:docVar w:name="TXTNRPE2" w:val="787.030"/>
    <w:docVar w:name="TXTNRPROC" w:val="2025/2249"/>
    <w:docVar w:name="TXTPEorAP" w:val="PE"/>
    <w:docVar w:name="TXTROUTE" w:val="AM\1344477CS.docx"/>
    <w:docVar w:name="TXTTITLE" w:val="Global role of the euro"/>
    <w:docVar w:name="TXTVERSION" w:val="02-00"/>
    <w:docVar w:name="TXTVERSION2" w:val="01-00"/>
  </w:docVars>
  <w:rsids>
    <w:rsidRoot w:val="00860105"/>
    <w:rsid w:val="000058AA"/>
    <w:rsid w:val="00072B4B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1D5452"/>
    <w:rsid w:val="00262416"/>
    <w:rsid w:val="002A1F5C"/>
    <w:rsid w:val="002A3EAA"/>
    <w:rsid w:val="002B6DE3"/>
    <w:rsid w:val="002B799B"/>
    <w:rsid w:val="002F0149"/>
    <w:rsid w:val="00307E56"/>
    <w:rsid w:val="00381374"/>
    <w:rsid w:val="003C7A69"/>
    <w:rsid w:val="003D7856"/>
    <w:rsid w:val="004106BA"/>
    <w:rsid w:val="0044299E"/>
    <w:rsid w:val="00444941"/>
    <w:rsid w:val="004B02E9"/>
    <w:rsid w:val="004D02AB"/>
    <w:rsid w:val="004E4A92"/>
    <w:rsid w:val="005D04A2"/>
    <w:rsid w:val="005E5FA1"/>
    <w:rsid w:val="00653C00"/>
    <w:rsid w:val="00663E24"/>
    <w:rsid w:val="006803F0"/>
    <w:rsid w:val="006838B3"/>
    <w:rsid w:val="00742225"/>
    <w:rsid w:val="00794469"/>
    <w:rsid w:val="00794E41"/>
    <w:rsid w:val="007964AA"/>
    <w:rsid w:val="007B1846"/>
    <w:rsid w:val="007C1252"/>
    <w:rsid w:val="007E54B7"/>
    <w:rsid w:val="007F22E4"/>
    <w:rsid w:val="008305E9"/>
    <w:rsid w:val="00860105"/>
    <w:rsid w:val="00866CBA"/>
    <w:rsid w:val="00873A27"/>
    <w:rsid w:val="008B040A"/>
    <w:rsid w:val="008C61CD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615F7"/>
    <w:rsid w:val="00A7559D"/>
    <w:rsid w:val="00A771CC"/>
    <w:rsid w:val="00A804CE"/>
    <w:rsid w:val="00A836A6"/>
    <w:rsid w:val="00AD3D9F"/>
    <w:rsid w:val="00AE20EB"/>
    <w:rsid w:val="00B4019F"/>
    <w:rsid w:val="00B43C20"/>
    <w:rsid w:val="00BC53C6"/>
    <w:rsid w:val="00BE6658"/>
    <w:rsid w:val="00BF6585"/>
    <w:rsid w:val="00C4749E"/>
    <w:rsid w:val="00C72F6B"/>
    <w:rsid w:val="00C83592"/>
    <w:rsid w:val="00C85D0F"/>
    <w:rsid w:val="00CA7F28"/>
    <w:rsid w:val="00CF4E9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F038C"/>
    <w:rsid w:val="00E67987"/>
    <w:rsid w:val="00EA1780"/>
    <w:rsid w:val="00EF54D2"/>
    <w:rsid w:val="00F15510"/>
    <w:rsid w:val="00F20F19"/>
    <w:rsid w:val="00F457AA"/>
    <w:rsid w:val="00F61FB2"/>
    <w:rsid w:val="00F925F1"/>
    <w:rsid w:val="00FA7F93"/>
    <w:rsid w:val="00FB3CF9"/>
    <w:rsid w:val="00FD40FB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926E9"/>
  <w15:chartTrackingRefBased/>
  <w15:docId w15:val="{9806A751-F806-4D00-AEFE-B71B6177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Normal6">
    <w:name w:val="Normal6"/>
    <w:basedOn w:val="Normal"/>
    <w:link w:val="Normal6Char"/>
    <w:rsid w:val="00BC53C6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BC53C6"/>
    <w:rPr>
      <w:b/>
      <w:sz w:val="24"/>
      <w:lang w:val="cs-CZ"/>
    </w:rPr>
  </w:style>
  <w:style w:type="paragraph" w:customStyle="1" w:styleId="Olang">
    <w:name w:val="Olang"/>
    <w:basedOn w:val="Normal"/>
    <w:rsid w:val="00BC53C6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BC53C6"/>
    <w:rPr>
      <w:sz w:val="24"/>
      <w:lang w:val="cs-CZ"/>
    </w:rPr>
  </w:style>
  <w:style w:type="paragraph" w:customStyle="1" w:styleId="ColumnHeading">
    <w:name w:val="ColumnHeading"/>
    <w:basedOn w:val="Normal"/>
    <w:rsid w:val="00BC53C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C53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Footer">
    <w:name w:val="footer"/>
    <w:basedOn w:val="Normal"/>
    <w:link w:val="FooterChar"/>
    <w:semiHidden/>
    <w:rsid w:val="00BC53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C53C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1042</Words>
  <Characters>6221</Characters>
  <Application>Microsoft Office Word</Application>
  <DocSecurity>0</DocSecurity>
  <Lines>350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2026-06-08T14:11:00Z</dcterms:created>
  <dcterms:modified xsi:type="dcterms:W3CDTF">2026-06-08T14:11:00Z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1344477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\\eiciLUXpr1\pdocep$\DocEP\DOCS\General\AM\AM_NonLeg\AM_Com_NonLeg\AM_Com_NonLegReport.dotx(03/03/2023 14:39:05)</vt:lpwstr>
  </property>
  <property fmtid="{D5CDD505-2E9C-101B-9397-08002B2CF9AE}" pid="6" name="&lt;ModelTra&gt;">
    <vt:lpwstr>\\eiciLUXpr1\pdocep$\DocEP\TRANSFIL\CS\AM_Com_NonLegReport.CS(17/08/2024 01:22:01)</vt:lpwstr>
  </property>
  <property fmtid="{D5CDD505-2E9C-101B-9397-08002B2CF9AE}" pid="7" name="&lt;Type&gt;">
    <vt:lpwstr>AM</vt:lpwstr>
  </property>
  <property fmtid="{D5CDD505-2E9C-101B-9397-08002B2CF9AE}" pid="8" name="Bookout">
    <vt:lpwstr>OK - 2026/06/08 16:11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AM\1344477CS.docx</vt:lpwstr>
  </property>
  <property fmtid="{D5CDD505-2E9C-101B-9397-08002B2CF9AE}" pid="11" name="LastEdited with">
    <vt:lpwstr>10.3.0 Build [20260401]</vt:lpwstr>
  </property>
  <property fmtid="{D5CDD505-2E9C-101B-9397-08002B2CF9AE}" pid="12" name="PE number">
    <vt:lpwstr>788.927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