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Parlament Europejski</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{ECON}</w:t>
      </w:r>
      <w:r>
        <w:t>Komisja Gospodarcza i Monetarna</w:t>
      </w:r>
      <w:r>
        <w:rPr>
          <w:rStyle w:val="HideTWBExt"/>
        </w:rPr>
        <w:t>&lt;/Commission&gt;</w:t>
      </w:r>
    </w:p>
    <w:p>
      <w:pPr>
        <w:pStyle w:val="LineBottom"/>
      </w:pPr>
      <w:r>
        <w:t xml:space="preserve"> </w:t>
      </w:r>
    </w:p>
    <w:p>
      <w:pPr>
        <w:pStyle w:val="CoverReference"/>
      </w:pPr>
      <w:r>
        <w:rPr>
          <w:rStyle w:val="HideTWBExt"/>
        </w:rPr>
        <w:t>&lt;RefProc&gt;</w:t>
      </w:r>
      <w:r>
        <w:t>2025/0361</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{10/06/2026}</w:t>
      </w:r>
      <w:r>
        <w:t>10.6.2026</w:t>
      </w:r>
      <w:r>
        <w:rPr>
          <w:rStyle w:val="HideTWBExt"/>
        </w:rPr>
        <w:t>&lt;/Date&gt;</w:t>
      </w:r>
    </w:p>
    <w:p>
      <w:pPr>
        <w:pStyle w:val="CoverDocType"/>
      </w:pPr>
      <w:r>
        <w:rPr>
          <w:rStyle w:val="HideTWBExt"/>
        </w:rPr>
        <w:t>&lt;TypeAM&gt;</w:t>
      </w:r>
      <w:r>
        <w:t>POPRAWKI</w:t>
      </w:r>
      <w:r>
        <w:rPr>
          <w:rStyle w:val="HideTWBExt"/>
        </w:rPr>
        <w:t>&lt;/TypeAM&gt;</w:t>
      </w:r>
    </w:p>
    <w:p>
      <w:pPr>
        <w:pStyle w:val="CoverDocType24a"/>
      </w:pPr>
      <w:r>
        <w:rPr>
          <w:rStyle w:val="HideTWBExt"/>
        </w:rPr>
        <w:t>&lt;RangeAM&gt;</w:t>
      </w:r>
      <w:r>
        <w:t>52</w:t>
      </w:r>
      <w:r>
        <w:t xml:space="preserve"> - </w:t>
      </w:r>
      <w:r>
        <w:t>269</w:t>
      </w:r>
      <w:r>
        <w:rPr>
          <w:rStyle w:val="HideTWBExt"/>
        </w:rPr>
        <w:t>&lt;/RangeAM&gt;</w:t>
      </w:r>
    </w:p>
    <w:p>
      <w:pPr>
        <w:pStyle w:val="CoverBold"/>
      </w:pPr>
      <w:r>
        <w:rPr>
          <w:rStyle w:val="HideTWBExt"/>
        </w:rPr>
        <w:t>&lt;TitreType&gt;</w:t>
      </w:r>
      <w:r>
        <w:t>Projekt sprawozdania</w:t>
      </w:r>
      <w:r>
        <w:rPr>
          <w:rStyle w:val="HideTWBExt"/>
        </w:rPr>
        <w:t>&lt;/TitreType&gt;</w:t>
      </w:r>
    </w:p>
    <w:p>
      <w:pPr>
        <w:pStyle w:val="CoverBold"/>
      </w:pPr>
      <w:r>
        <w:rPr>
          <w:rStyle w:val="HideTWBExt"/>
        </w:rPr>
        <w:t>&lt;Rapporteur&gt;</w:t>
      </w:r>
      <w:r>
        <w:t>Gerben-Jan Gerbrandy</w:t>
      </w:r>
      <w:r>
        <w:rPr>
          <w:rStyle w:val="HideTWBExt"/>
        </w:rPr>
        <w:t>&lt;/Rapporteur&gt;</w:t>
      </w:r>
    </w:p>
    <w:p>
      <w:pPr>
        <w:pStyle w:val="CoverNormal24a"/>
      </w:pPr>
      <w:r>
        <w:rPr>
          <w:rStyle w:val="HideTWBExt"/>
        </w:rPr>
        <w:t>&lt;DocRefPE&gt;</w:t>
      </w:r>
      <w:r>
        <w:t>(PE787.886v01-00)</w:t>
      </w:r>
      <w:r>
        <w:rPr>
          <w:rStyle w:val="HideTWBExt"/>
        </w:rPr>
        <w:t>&lt;/DocRefPE&gt;</w:t>
      </w:r>
    </w:p>
    <w:p>
      <w:pPr>
        <w:pStyle w:val="CoverNormal24a"/>
      </w:pPr>
      <w:r>
        <w:rPr>
          <w:rStyle w:val="HideTWBExt"/>
        </w:rPr>
        <w:t>&lt;Titre&gt;</w:t>
      </w:r>
      <w:r>
        <w:t>Zmiana rozporządzenia (UE) 2019/2088 w sprawie ujawniania informacji związanych ze zrównoważonym rozwojem w sektorze usług finansowych (SFDR) i rozporządzenia (UE) nr 1286/2014 w sprawie dokumentów zawierających kluczowe informacje, dotyczących detalicznych produktów zbiorowego inwestowania i ubezpieczeniowych produktów inwestycyjnych (PRIIP), oraz uchylenie rozporządzenia delegowanego Komisji (UE) 2022/1288</w:t>
      </w:r>
      <w:r>
        <w:rPr>
          <w:rStyle w:val="HideTWBExt"/>
        </w:rPr>
        <w:t>&lt;/Titre&gt;</w:t>
      </w:r>
    </w:p>
    <w:p>
      <w:pPr>
        <w:pStyle w:val="CoverNormal"/>
      </w:pPr>
      <w:r>
        <w:rPr>
          <w:rStyle w:val="HideTWBExt"/>
        </w:rPr>
        <w:t>&lt;DocAmend&gt;</w:t>
      </w:r>
      <w:r>
        <w:t>Wniosek dotyczący rozporządzenia</w:t>
      </w:r>
      <w:r>
        <w:rPr>
          <w:rStyle w:val="HideTWBExt"/>
        </w:rPr>
        <w:t>&lt;/DocAmend&gt;</w:t>
      </w:r>
    </w:p>
    <w:p>
      <w:pPr>
        <w:pStyle w:val="CoverNormal24a"/>
      </w:pPr>
      <w:r>
        <w:rPr>
          <w:rStyle w:val="HideTWBExt"/>
        </w:rPr>
        <w:t>&lt;DocRef&gt;</w:t>
      </w:r>
      <w:r>
        <w:t>(COM(2025)0841 – 2025/0361(COD))</w:t>
      </w:r>
      <w:r>
        <w:rPr>
          <w:rStyle w:val="HideTWBExt"/>
        </w:rPr>
        <w:t>&lt;/DocRef&gt;</w:t>
      </w:r>
    </w:p>
    <w:p>
      <w:r>
        <w:br w:type="page"/>
      </w:r>
      <w:r>
        <w:t>AM_Com_LegReport</w:t>
      </w:r>
    </w:p>
    <w:p>
      <w:pPr>
        <w:pStyle w:val="AmNumberTabs"/>
      </w:pPr>
      <w:r>
        <w:br w:type="page"/>
      </w:r>
      <w:r>
        <w:rPr>
          <w:rStyle w:val="HideTWBExt"/>
        </w:rPr>
        <w:t>&lt;RepeatBlock-Amend&gt;</w:t>
      </w:r>
      <w:r>
        <w:rPr>
          <w:rStyle w:val="HideTWBExt"/>
        </w:rPr>
        <w:t>&lt;Amend&gt;</w:t>
      </w:r>
      <w:r>
        <w:t>Poprawka</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Lara Wolters, Jonás Fernández, Aurore Lalucq, Niels Fuglsang, Evelyn Regner, César Luena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W komunikacie w sprawie Europejskiego Zielonego Ładu</w:t>
            </w:r>
            <w:r>
              <w:rPr>
                <w:vertAlign w:val="superscript"/>
              </w:rPr>
              <w:t>6</w:t>
            </w:r>
            <w:r>
              <w:t>przypomniano, jak ważne jest zapewnienie mobilizacji prywatnych środków finansowych na rzecz realizacji celu, jakim jest przekształcenie „UE w sprawiedliwe i prosperujące społeczeństwo żyjące w nowoczesnej, zasobooszczędnej i konkurencyjnej gospodarce, która w 2050 r. osiągnie zerowy poziom emisji gazów cieplarnianych netto i w ramach której wzrost gospodarczy będzie oddzielony od wykorzystania zasobów naturalnych”. Kroki podjęte na podstawie Zielonego Ładu konsekwentnie potwierdzają istotną rolę prywatnego finansowania w osiągnięciu neutralności klimatycznej do 2050 r. zgodnie z rozporządzeniem Parlamentu Europejskiego i Rady (UE) 2021/1119</w:t>
            </w:r>
            <w:r>
              <w:rPr>
                <w:vertAlign w:val="superscript"/>
              </w:rPr>
              <w:t>7</w:t>
            </w:r>
            <w:r>
              <w:t>, szczegółowych sektorowych celów zrównoważonego rozwoju w tym kontekście</w:t>
            </w:r>
            <w:r>
              <w:rPr>
                <w:vertAlign w:val="superscript"/>
              </w:rPr>
              <w:t>8</w:t>
            </w:r>
            <w:r>
              <w:t>oraz celów planu REPowerEU</w:t>
            </w:r>
            <w:r>
              <w:rPr>
                <w:vertAlign w:val="superscript"/>
              </w:rPr>
              <w:t>9</w:t>
            </w:r>
            <w:r>
              <w:t>dotyczących przyspieszenia rozwoju bezpiecznej i zrównoważonej energii w Unii oraz zmniejszenia zależności od importowanych paliw kopalnych. W analizach Komisji konsekwentnie podkreślano skalę inwestycji niezbędnych do osiągnięcia celów klimatycznych UE: w ramach różnych scenariuszy w latach 2030–2050 na samą transformację systemu energetycznego trzeba będzie przeznaczyć około 650 mld EUR rocznie (w cenach z 2023 r.). W tym kontekście odblokowanie i ułatwienie dostępu do prywatnych funduszy zorientowanych na zrównoważony rozwój ma kluczowe znaczenie, aby Unia mogła wnieść odpowiedni wkład finansowy w realizację nowego zbiorowego celu ilościowego ustalonego podczas konferencji COP 29 oraz dodatkowego celu w zakresie finansowania działań związanych z klimatem, polegającego na mobilizacji 1,3 bln USD rocznie od 2035 r., oraz aby była w stanie zwiększyć swoją odporność w obliczu zmiany klimatu</w:t>
            </w:r>
            <w:r>
              <w:rPr>
                <w:vertAlign w:val="superscript"/>
              </w:rPr>
              <w:t>10</w:t>
            </w:r>
            <w:r>
              <w:t>i wspierać plan na rzecz konkurencyjności i dekarbonizacji UE („Pakt dla czystego przemysłu”)</w:t>
            </w:r>
            <w:r>
              <w:rPr>
                <w:vertAlign w:val="superscript"/>
              </w:rPr>
              <w:t>11</w:t>
            </w:r>
            <w:r>
              <w:t>. Jest on również zgodny z działaniami mającymi na celu pobudzenie przemysłu obronnego Unii</w:t>
            </w:r>
            <w:r>
              <w:rPr>
                <w:vertAlign w:val="superscript"/>
              </w:rPr>
              <w:t>12</w:t>
            </w:r>
            <w:r>
              <w:t>poprzez zapewnienie, aby ramy zrównoważonego finansowania nie uniemożliwiały kierowania kapitału na działania związane z obronnością, oraz przyczynia się do stworzenia bardziej zintegrowanego jednolitego rynku oszczędności i inwestycji w celu wspierania wzrostu gospodarczego, innowacyjności i konkurencyjności w Unii</w:t>
            </w:r>
            <w:r>
              <w:rPr>
                <w:vertAlign w:val="superscript"/>
              </w:rPr>
              <w:t>13</w:t>
            </w:r>
            <w:r>
              <w:t>.</w:t>
            </w:r>
          </w:p>
        </w:tc>
        <w:tc>
          <w:tcPr>
            <w:tcW w:w="4876" w:type="dxa"/>
            <w:tcBorders>
              <w:top w:val="nil"/>
              <w:left w:val="nil"/>
              <w:bottom w:val="nil"/>
              <w:right w:val="nil"/>
            </w:tcBorders>
          </w:tcPr>
          <w:p>
            <w:pPr>
              <w:pStyle w:val="Normal6a"/>
            </w:pPr>
            <w:r>
              <w:t>(2)</w:t>
            </w:r>
            <w:r>
              <w:tab/>
            </w:r>
            <w:r>
              <w:t>W komunikacie w sprawie Europejskiego Zielonego Ładu</w:t>
            </w:r>
            <w:r>
              <w:rPr>
                <w:vertAlign w:val="superscript"/>
              </w:rPr>
              <w:t>6</w:t>
            </w:r>
            <w:r>
              <w:t xml:space="preserve"> przypomniano, jak ważne jest zapewnienie mobilizacji prywatnych środków finansowych na rzecz realizacji celu, jakim jest przekształcenie „UE w sprawiedliwe i prosperujące społeczeństwo żyjące w nowoczesnej, zasobooszczędnej i konkurencyjnej gospodarce, która w 2050 r. osiągnie zerowy poziom emisji gazów cieplarnianych netto i w ramach której wzrost gospodarczy będzie oddzielony od wykorzystania zasobów naturalnych”. Kroki podjęte na podstawie Zielonego Ładu konsekwentnie potwierdzają istotną rolę prywatnego finansowania w osiągnięciu neutralności klimatycznej do 2050 r. zgodnie z rozporządzeniem Parlamentu Europejskiego i Rady (UE) 2021/1119</w:t>
            </w:r>
            <w:r>
              <w:rPr>
                <w:vertAlign w:val="superscript"/>
              </w:rPr>
              <w:t>7</w:t>
            </w:r>
            <w:r>
              <w:t>, szczegółowych sektorowych celów zrównoważonego rozwoju w tym kontekście</w:t>
            </w:r>
            <w:r>
              <w:rPr>
                <w:vertAlign w:val="superscript"/>
              </w:rPr>
              <w:t>8</w:t>
            </w:r>
            <w:r>
              <w:t xml:space="preserve"> oraz celów planu REPowerEU</w:t>
            </w:r>
            <w:r>
              <w:rPr>
                <w:vertAlign w:val="superscript"/>
              </w:rPr>
              <w:t>9</w:t>
            </w:r>
            <w:r>
              <w:t xml:space="preserve"> dotyczących przyspieszenia rozwoju bezpiecznej i zrównoważonej energii w Unii oraz zmniejszenia zależności od importowanych paliw kopalnych</w:t>
            </w:r>
            <w:r>
              <w:rPr>
                <w:b/>
                <w:i/>
              </w:rPr>
              <w:t>.</w:t>
            </w:r>
            <w:r>
              <w:t xml:space="preserve"> </w:t>
            </w:r>
            <w:r>
              <w:rPr>
                <w:b/>
                <w:i/>
              </w:rPr>
              <w:t>Zagrożenia dla bezpieczeństwa Unii i jej konkurencyjności gospodarczej stwarzane przez takie zależności po raz kolejny odzwierciedla gwałtowny wzrost cen energii w następstwie wojny w Iranie</w:t>
            </w:r>
            <w:r>
              <w:t>. W analizach Komisji konsekwentnie podkreślano skalę inwestycji niezbędnych do osiągnięcia celów klimatycznych UE: w ramach różnych scenariuszy w latach 2030–2050 na samą transformację systemu energetycznego trzeba będzie przeznaczyć około 650 mld EUR rocznie (w cenach z 2023 r.). W tym kontekście odblokowanie i ułatwienie dostępu do prywatnych funduszy zorientowanych na zrównoważony rozwój ma kluczowe znaczenie, aby Unia mogła wnieść odpowiedni wkład finansowy w realizację nowego zbiorowego celu ilościowego ustalonego podczas konferencji COP 29 oraz dodatkowego celu w zakresie finansowania działań związanych z klimatem, polegającego na mobilizacji 1,3 bln USD rocznie od 2035 r., oraz aby była w stanie zwiększyć swoją odporność w obliczu zmiany klimatu</w:t>
            </w:r>
            <w:r>
              <w:rPr>
                <w:vertAlign w:val="superscript"/>
              </w:rPr>
              <w:t>10</w:t>
            </w:r>
            <w:r>
              <w:t xml:space="preserve"> i wspierać plan na rzecz konkurencyjności i dekarbonizacji UE („Pakt dla czystego przemysłu”)</w:t>
            </w:r>
            <w:r>
              <w:rPr>
                <w:vertAlign w:val="superscript"/>
              </w:rPr>
              <w:t>11</w:t>
            </w:r>
            <w:r>
              <w:t xml:space="preserve">. </w:t>
            </w:r>
            <w:r>
              <w:rPr>
                <w:b/>
                <w:i/>
              </w:rPr>
              <w:t>Mobilizacja środków finansowych na rzecz zrównoważonych inwestycji może również przyczynić się do przezwyciężenia wysoce niepokojącego kryzysu przystępności cenowej poprzez pomoc w utrzymaniu cen energii na niskim poziomie i wsparcie strategicznej autonomii.</w:t>
            </w:r>
            <w:r>
              <w:t xml:space="preserve"> Jest on również zgodny z działaniami mającymi na celu pobudzenie przemysłu obronnego Unii</w:t>
            </w:r>
            <w:r>
              <w:rPr>
                <w:vertAlign w:val="superscript"/>
              </w:rPr>
              <w:t>12</w:t>
            </w:r>
            <w:r>
              <w:t xml:space="preserve"> poprzez zapewnienie, aby ramy zrównoważonego finansowania nie uniemożliwiały kierowania kapitału na działania związane z obronnością, oraz przyczynia się do stworzenia bardziej zintegrowanego jednolitego rynku oszczędności i inwestycji w celu wspierania wzrostu gospodarczego, innowacyjności i konkurencyjności w Unii</w:t>
            </w:r>
            <w:r>
              <w:rPr>
                <w:vertAlign w:val="superscript"/>
              </w:rPr>
              <w:t>13</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6</w:t>
            </w:r>
            <w:r>
              <w:t xml:space="preserve"> </w:t>
            </w:r>
            <w:r>
              <w:t>Komunikat Komisji do Parlamentu Europejskiego, Rady Europejskiej, Rady, Europejskiego Komitetu Ekonomiczno-Społecznego i Komitetu Regionów z dnia 11 grudnia 2019 r. „Europejski Zielony Ład” (COM(2019) 640 final).</w:t>
            </w:r>
          </w:p>
        </w:tc>
        <w:tc>
          <w:tcPr>
            <w:tcW w:w="4876" w:type="dxa"/>
            <w:tcBorders>
              <w:top w:val="nil"/>
              <w:left w:val="nil"/>
              <w:bottom w:val="nil"/>
              <w:right w:val="nil"/>
            </w:tcBorders>
          </w:tcPr>
          <w:p>
            <w:pPr>
              <w:pStyle w:val="Normal6a"/>
            </w:pPr>
            <w:r>
              <w:rPr>
                <w:vertAlign w:val="superscript"/>
              </w:rPr>
              <w:t>6</w:t>
            </w:r>
            <w:r>
              <w:t xml:space="preserve"> </w:t>
            </w:r>
            <w:r>
              <w:t>Komunikat Komisji do Parlamentu Europejskiego, Rady Europejskiej, Rady, Europejskiego Komitetu Ekonomiczno-Społecznego i Komitetu Regionów z dnia 11 grudnia 2019 r. „Europejski Zielony Ład” (COM(2019) 640 final).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Rozporządzenie Parlamentu Europejskiego i Rady (UE) 2021/1119 z dnia 30 czerwca 2021 r. w sprawie ustanowienia ram na potrzeby osiągnięcia neutralności klimatycznej i zmiany rozporządzeń (WE) nr 401/2009 i (UE) 2018/1999 (Europejskie prawo o klimacie) (Dz.U. L 243 z 9.7.2021, s. 1, ELI: http://data.europa.eu/eli/reg/2021/1119/oj)</w:t>
            </w:r>
            <w:r>
              <w:rPr>
                <w:b/>
                <w:i/>
              </w:rPr>
              <w:t>.</w:t>
            </w:r>
          </w:p>
        </w:tc>
        <w:tc>
          <w:tcPr>
            <w:tcW w:w="4876" w:type="dxa"/>
            <w:tcBorders>
              <w:top w:val="nil"/>
              <w:left w:val="nil"/>
              <w:bottom w:val="nil"/>
              <w:right w:val="nil"/>
            </w:tcBorders>
          </w:tcPr>
          <w:p>
            <w:pPr>
              <w:pStyle w:val="Normal6a"/>
            </w:pPr>
            <w:r>
              <w:rPr>
                <w:vertAlign w:val="superscript"/>
              </w:rPr>
              <w:t>7</w:t>
            </w:r>
            <w:r>
              <w:t xml:space="preserve"> </w:t>
            </w:r>
            <w:r>
              <w:t>Rozporządzenie Parlamentu Europejskiego i Rady (UE) 2021/1119 z dnia 30 czerwca 2021 r. w sprawie ustanowienia ram na potrzeby osiągnięcia neutralności klimatycznej i zmiany rozporządzeń (WE) nr 401/2009 i (UE) 2018/1999 (Europejskie prawo o klimacie) (Dz.U. L 243 z 9.7.2021, s. 1, ELI: http://data.europa.eu/eli/reg/2021/1119/oj)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8</w:t>
            </w:r>
            <w:r>
              <w:t xml:space="preserve"> </w:t>
            </w:r>
            <w:r>
              <w:t>Komunikat Komisji do Parlamentu Europejskiego, Rady, Europejskiego Komitetu Ekonomiczno-Społecznego i Komitetu Regionów z dnia 14 lipca 2021 r. „Gotowi na 55”: osiągnięcie unijnego celu klimatycznego na 2030 r. w drodze do neutralności klimatycznej (COM(2021) 550 final).</w:t>
            </w:r>
          </w:p>
        </w:tc>
        <w:tc>
          <w:tcPr>
            <w:tcW w:w="4876" w:type="dxa"/>
            <w:tcBorders>
              <w:top w:val="nil"/>
              <w:left w:val="nil"/>
              <w:bottom w:val="nil"/>
              <w:right w:val="nil"/>
            </w:tcBorders>
          </w:tcPr>
          <w:p>
            <w:pPr>
              <w:pStyle w:val="Normal6a"/>
            </w:pPr>
            <w:r>
              <w:rPr>
                <w:vertAlign w:val="superscript"/>
              </w:rPr>
              <w:t>8</w:t>
            </w:r>
            <w:r>
              <w:t xml:space="preserve"> </w:t>
            </w:r>
            <w:r>
              <w:t>Komunikat Komisji do Parlamentu Europejskiego, Rady, Europejskiego Komitetu Ekonomiczno-Społecznego i Komitetu Regionów z dnia 14 lipca 2021 r. „ Gotowi na 55”: osiągnięcie unijnego celu klimatycznego na 2030 r. w drodze do neutralności klimatycznej (COM(2021) 550 final).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9</w:t>
            </w:r>
            <w:r>
              <w:t xml:space="preserve"> </w:t>
            </w:r>
            <w:r>
              <w:t>Komunikat Komisji do Parlamentu Europejskiego, Rady Europejskiej, Rady, Europejskiego Komitetu Ekonomiczno-Społecznego i Komitetu Regionów z dnia 18 maja 2022 r. „Plan REPowerEU” (COM(2022) 230 final).</w:t>
            </w:r>
          </w:p>
        </w:tc>
        <w:tc>
          <w:tcPr>
            <w:tcW w:w="4876" w:type="dxa"/>
            <w:tcBorders>
              <w:top w:val="nil"/>
              <w:left w:val="nil"/>
              <w:bottom w:val="nil"/>
              <w:right w:val="nil"/>
            </w:tcBorders>
          </w:tcPr>
          <w:p>
            <w:pPr>
              <w:pStyle w:val="Normal6a"/>
            </w:pPr>
            <w:r>
              <w:rPr>
                <w:vertAlign w:val="superscript"/>
              </w:rPr>
              <w:t>9</w:t>
            </w:r>
            <w:r>
              <w:t xml:space="preserve"> </w:t>
            </w:r>
            <w:r>
              <w:t>Komunikat Komisji do Parlamentu Europejskiego, Rady Europejskiej, Rady, Europejskiego Komitetu Ekonomiczno-Społecznego i Komitetu Regionów z dnia 18 maja 2022 r. „Plan REPowerEU” (COM(2022) 230 final).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10</w:t>
            </w:r>
            <w:r>
              <w:t xml:space="preserve"> </w:t>
            </w:r>
            <w:r>
              <w:t>Komunikat Komisji do Parlamentu Europejskiego, Rady, Europejskiego Komitetu Ekonomiczno-Społecznego i Komitetu Regionów z dnia 12 marca 2024 r. „Zarządzanie ryzykiem klimatycznym – ochrona ludzi i dobrobytu” (COM(2024) 91 final).</w:t>
            </w:r>
          </w:p>
        </w:tc>
        <w:tc>
          <w:tcPr>
            <w:tcW w:w="4876" w:type="dxa"/>
            <w:tcBorders>
              <w:top w:val="nil"/>
              <w:left w:val="nil"/>
              <w:bottom w:val="nil"/>
              <w:right w:val="nil"/>
            </w:tcBorders>
          </w:tcPr>
          <w:p>
            <w:pPr>
              <w:pStyle w:val="Normal6a"/>
            </w:pPr>
            <w:r>
              <w:rPr>
                <w:vertAlign w:val="superscript"/>
              </w:rPr>
              <w:t>10</w:t>
            </w:r>
            <w:r>
              <w:t xml:space="preserve"> </w:t>
            </w:r>
            <w:r>
              <w:t>Komunikat Komisji do Parlamentu Europejskiego, Rady, Europejskiego Komitetu Ekonomiczno-Społecznego i Komitetu Regionów z dnia 12 marca 2024 r. „Zarządzanie ryzykiem klimatycznym – ochrona ludzi i dobrobytu” (COM(2024) 91 final).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11</w:t>
            </w:r>
            <w:r>
              <w:t xml:space="preserve"> </w:t>
            </w:r>
            <w:r>
              <w:t>Komunikat Komisji do Parlamentu Europejskiego, Rady, Europejskiego Komitetu Ekonomiczno-Społecznego i Komitetu Regionów „Pakt dla czystego przemysłu: wspólny plan działania na rzecz konkurencyjności i dekarbonizacji” (COM(2025) 85 final).</w:t>
            </w:r>
          </w:p>
        </w:tc>
        <w:tc>
          <w:tcPr>
            <w:tcW w:w="4876" w:type="dxa"/>
            <w:tcBorders>
              <w:top w:val="nil"/>
              <w:left w:val="nil"/>
              <w:bottom w:val="nil"/>
              <w:right w:val="nil"/>
            </w:tcBorders>
          </w:tcPr>
          <w:p>
            <w:pPr>
              <w:pStyle w:val="Normal6a"/>
            </w:pPr>
            <w:r>
              <w:rPr>
                <w:vertAlign w:val="superscript"/>
              </w:rPr>
              <w:t>11</w:t>
            </w:r>
            <w:r>
              <w:t xml:space="preserve"> </w:t>
            </w:r>
            <w:r>
              <w:t>Komunikat Komisji do Parlamentu Europejskiego, Rady, Europejskiego Komitetu Ekonomiczno-Społecznego i Komitetu Regionów „Pakt dla czystego przemysłu: wspólny plan działania na rzecz konkurencyjności i dekarbonizacji” (COM(2025) 85 final).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12</w:t>
            </w:r>
            <w:r>
              <w:t xml:space="preserve"> </w:t>
            </w:r>
            <w:r>
              <w:t>Wspólny komunikat do Parlamentu Europejskiego, Rady, Europejskiego Komitetu Ekonomiczno-Społecznego i Komitetu Regionów z dnia 5 marca 2024 r. „Nowa Strategia na rzecz europejskiego przemysłu obronnego: osiągnięcie gotowości UE dzięki zdolnemu do reagowania i odpornemu europejskiemu przemysłowi obronnemu”, JOIN(2024) 10 final.</w:t>
            </w:r>
          </w:p>
        </w:tc>
        <w:tc>
          <w:tcPr>
            <w:tcW w:w="4876" w:type="dxa"/>
            <w:tcBorders>
              <w:top w:val="nil"/>
              <w:left w:val="nil"/>
              <w:bottom w:val="nil"/>
              <w:right w:val="nil"/>
            </w:tcBorders>
          </w:tcPr>
          <w:p>
            <w:pPr>
              <w:pStyle w:val="Normal6a"/>
            </w:pPr>
            <w:r>
              <w:rPr>
                <w:vertAlign w:val="superscript"/>
              </w:rPr>
              <w:t>12</w:t>
            </w:r>
            <w:r>
              <w:t xml:space="preserve"> </w:t>
            </w:r>
            <w:r>
              <w:t>Wspólny komunikat do Parlamentu Europejskiego, Rady, Europejskiego Komitetu Ekonomiczno-Społecznego i Komitetu Regionów z dnia 5 marca 2024 r. „Nowa Strategia na rzecz europejskiego przemysłu obronnego: osiągnięcie gotowości UE dzięki zdolnemu do reagowania i odpornemu europejskiemu przemysłowi obronnemu”, JOIN(2024) 10 final.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Komunikat Komisji do Parlamentu Europejskiego, Rady Europejskiej, Rady, Europejskiego Banku Centralnego, Europejskiego Komitetu Ekonomiczno-Społecznego i Komitetu Regionów „Unia oszczędności i inwestycji – Strategia na rzecz zwiększenia zamożności obywateli i konkurencyjności gospodarczej w UE” (COM(2025) 124 final).</w:t>
            </w:r>
          </w:p>
        </w:tc>
        <w:tc>
          <w:tcPr>
            <w:tcW w:w="4876" w:type="dxa"/>
            <w:tcBorders>
              <w:top w:val="nil"/>
              <w:left w:val="nil"/>
              <w:bottom w:val="nil"/>
              <w:right w:val="nil"/>
            </w:tcBorders>
          </w:tcPr>
          <w:p>
            <w:pPr>
              <w:pStyle w:val="Normal6a"/>
            </w:pPr>
            <w:r>
              <w:rPr>
                <w:vertAlign w:val="superscript"/>
              </w:rPr>
              <w:t>13</w:t>
            </w:r>
            <w:r>
              <w:t xml:space="preserve"> </w:t>
            </w:r>
            <w:r>
              <w:t>Komunikat Komisji do Parlamentu Europejskiego, Rady Europejskiej, Rady, Europejskiego Banku Centralnego, Europejskiego Komitetu Ekonomiczno-Społecznego i Komitetu Regionów „Unia oszczędności i inwestycji – Strategia na rzecz zwiększenia zamożności obywateli i konkurencyjności gospodarczej w UE” (COM(2025) 124 final).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Lara Wolters, Jonás Fernández, Aurore Lalucq, Niels Fuglsang, Evelyn Regner, César Luena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2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Dzięki tym wysiłkom Unia stała się liderem w dziedzinie zrównoważonego finansowania.</w:t>
            </w:r>
            <w:r>
              <w:t xml:space="preserve"> </w:t>
            </w:r>
            <w:r>
              <w:rPr>
                <w:b/>
                <w:i/>
              </w:rPr>
              <w:t>Europa odpowiada obecnie za znaczną większość aktywów zrównoważonych funduszy, tj. około 85 %.</w:t>
            </w:r>
            <w:r>
              <w:t xml:space="preserve"> </w:t>
            </w:r>
            <w:r>
              <w:rPr>
                <w:b/>
                <w:i/>
              </w:rPr>
              <w:t>Europejscy uczestnicy rynku finansowego utrzymali bardziej rygorystyczne standardy zarządzania pomimo odejścia od zarządzania kwestiami społecznymi i środowiskowymi, jak miało to miejsce w niektórych innych jurysdykcjach, a zwłaszcza w Stanach Zjednoczonych.</w:t>
            </w:r>
            <w:r>
              <w:t xml:space="preserve"> </w:t>
            </w:r>
            <w:r>
              <w:rPr>
                <w:b/>
                <w:i/>
              </w:rPr>
              <w:t>Solidne ramy regulacyjne dotyczące zrównoważonego finansowania są w związku z tym imperatywem strategicznej autonomii, ponieważ wspierają i harmonizują praktyki w całej unii rynków kapitałowych oraz promują długoterminowe tworzenie wartości zgodnie z jej celami gospodarczymi i modelem społecznym.</w:t>
            </w:r>
            <w:r>
              <w:t xml:space="preserve"> </w:t>
            </w:r>
            <w:r>
              <w:rPr>
                <w:b/>
                <w:i/>
              </w:rPr>
              <w:t>Dzięki tym wysiłkom Unia stała się liderem w dziedzinie zrównoważonego finansowania.</w:t>
            </w:r>
            <w:r>
              <w:t xml:space="preserve"> </w:t>
            </w:r>
            <w:r>
              <w:rPr>
                <w:b/>
                <w:i/>
              </w:rPr>
              <w:t>Europa odpowiada obecnie za znaczną większość aktywów zrównoważonych funduszy, tj. około 85 %.</w:t>
            </w:r>
            <w:r>
              <w:t xml:space="preserve"> </w:t>
            </w:r>
            <w:r>
              <w:rPr>
                <w:b/>
                <w:i/>
              </w:rPr>
              <w:t>Europejscy uczestnicy rynku finansowego utrzymali bardziej rygorystyczne standardy zarządzania pomimo odejścia od zarządzania kwestiami społecznymi i środowiskowymi, jak miało to miejsce w niektórych innych jurysdykcjach, zwłaszcza w Stanach Zjednoczonych.</w:t>
            </w:r>
            <w:r>
              <w:t xml:space="preserve"> </w:t>
            </w:r>
            <w:r>
              <w:rPr>
                <w:b/>
                <w:i/>
              </w:rPr>
              <w:t>Solidne ramy regulacyjne dotyczące zrównoważonego finansowania są w związku z tym imperatywem strategicznej autonomii, ponieważ wspierają i harmonizują praktyki w całej unii rynków kapitałowych oraz promują długoterminowe tworzenie wartości zgodnie z jej celami gospodarczymi i modelem społecznym.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Jaroslava Pokorná Jermanová, Jaroslav Knot, Pierre Pimpie, Tomáš Kubín, Enikő Győri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2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Przepisy dotyczące ujawniania informacji finansowych związanych ze zrównoważonym rozwojem powinny wspierać transformację gospodarki realnej, przy jednoczesnym zachowaniu proporcjonalności, neutralności technologicznej i konkurencyjności przemysłu Unii, w szczególności w sektorze energetycznym, produkcji rolnej i przemyśle ciężkim.</w:t>
            </w:r>
            <w:r>
              <w:t xml:space="preserve"> </w:t>
            </w:r>
            <w:r>
              <w:rPr>
                <w:b/>
                <w:i/>
              </w:rPr>
              <w:t>Takie przepisy nie powinny prowadzić do nieproporcjonalnych skutków wyłączenia dla przedsiębiorstw prowadzących zgodną z prawem działalność gospodarczą na mocy prawa Unii, w szczególności dla przedsiębiorstw zaangażowanych w wiarygodne działania na rzecz transformacji, które zapewniają miliony miejsc pracy we wszystkich państwach członkowskich.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Lara Wolters, Jonás Fernández, Aurore Lalucq, Niels Fuglsang, Evelyn Regner, César Luena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Rozporządzenie (UE) 2019/2088 stanowi część szerszych ram zrównoważonego finansowania</w:t>
            </w:r>
            <w:r>
              <w:rPr>
                <w:b/>
                <w:i/>
              </w:rPr>
              <w:t>, których elementy są poddawane obecnie ukierunkowanym zmianom mającym na celu uproszczenie i usprawnienie ujawniania informacji dotyczących zrównoważonego rozwoju i wymogów w tym zakresie oraz zmniejszenie związanego z tym obciążenia dla unijnych przedsiębiorstw.</w:t>
            </w:r>
            <w:r>
              <w:t xml:space="preserve"> </w:t>
            </w:r>
            <w:r>
              <w:rPr>
                <w:b/>
                <w:i/>
              </w:rPr>
              <w:t>Zmiany te powinny zapewnić bardziej racjonalną pod względem kosztów realizację ogólnych celów Europejskiego Zielonego Ładu, nie wpływając negatywnie na uzgodnione cele polityczne</w:t>
            </w:r>
            <w:r>
              <w:rPr>
                <w:b/>
                <w:i/>
                <w:vertAlign w:val="superscript"/>
              </w:rPr>
              <w:t>15</w:t>
            </w:r>
            <w:r>
              <w:t xml:space="preserve">. Rozporządzenie (UE) 2019/2088 jako część tych szerszych ram zrównoważonego finansowania należy </w:t>
            </w:r>
            <w:r>
              <w:rPr>
                <w:b/>
                <w:i/>
              </w:rPr>
              <w:t>również</w:t>
            </w:r>
            <w:r>
              <w:t xml:space="preserve"> poddać odpowiedniemu przeglądowi. Dlatego też jego przegląd został wymieniony wśród inicjatyw Komisji na rzecz uproszczenia w piśmie określającym zadania skierowanym do komisarza do spraw usług finansowych oraz unii oszczędności i inwestycji</w:t>
            </w:r>
            <w:r>
              <w:rPr>
                <w:vertAlign w:val="superscript"/>
              </w:rPr>
              <w:t>16</w:t>
            </w:r>
            <w:r>
              <w:t>oraz w programie prac Komisji na 2025 r.</w:t>
            </w:r>
            <w:r>
              <w:rPr>
                <w:vertAlign w:val="superscript"/>
              </w:rPr>
              <w:t>17</w:t>
            </w:r>
            <w:r>
              <w:t xml:space="preserve">Celem przeglądu jest wyeliminowanie niedociągnięć związanych z wdrażaniem rozporządzenia (UE) 2019/2088, znaczne zmniejszenie obciążeń administracyjnych w sposób spójny z pozostałymi elementami unijnych ram zrównoważonego finansowania </w:t>
            </w:r>
            <w:r>
              <w:rPr>
                <w:b/>
                <w:i/>
              </w:rPr>
              <w:t>oraz</w:t>
            </w:r>
            <w:r>
              <w:t xml:space="preserve"> pomoc inwestorom w skutecznym zrozumieniu i porównywaniu produktów finansowych związanych ze zrównoważonym rozwojem.</w:t>
            </w:r>
          </w:p>
        </w:tc>
        <w:tc>
          <w:tcPr>
            <w:tcW w:w="4876" w:type="dxa"/>
            <w:tcBorders>
              <w:top w:val="nil"/>
              <w:left w:val="nil"/>
              <w:bottom w:val="nil"/>
              <w:right w:val="nil"/>
            </w:tcBorders>
          </w:tcPr>
          <w:p>
            <w:pPr>
              <w:pStyle w:val="Normal6a"/>
            </w:pPr>
            <w:r>
              <w:t>(5)</w:t>
            </w:r>
            <w:r>
              <w:tab/>
            </w:r>
            <w:r>
              <w:t>Rozporządzenie (UE) 2019/2088 stanowi część szerszych ram zrównoważonego finansowania. Rozporządzenie (UE) 2019/2088 jako część tych szerszych ram zrównoważonego finansowania należy poddać odpowiedniemu przeglądowi. Dlatego też jego przegląd został wymieniony wśród inicjatyw Komisji na rzecz uproszczenia w piśmie określającym zadania skierowanym do komisarza do spraw usług finansowych oraz unii oszczędności i inwestycji</w:t>
            </w:r>
            <w:r>
              <w:rPr>
                <w:vertAlign w:val="superscript"/>
              </w:rPr>
              <w:t>16</w:t>
            </w:r>
            <w:r>
              <w:t xml:space="preserve"> oraz w programie prac Komisji na 2025 r.</w:t>
            </w:r>
            <w:r>
              <w:rPr>
                <w:vertAlign w:val="superscript"/>
              </w:rPr>
              <w:t>17</w:t>
            </w:r>
            <w:r>
              <w:t xml:space="preserve"> Celem przeglądu jest wyeliminowanie niedociągnięć związanych z wdrażaniem rozporządzenia (UE) 2019/2088, znaczne zmniejszenie obciążeń administracyjnych w sposób spójny z pozostałymi elementami unijnych ram zrównoważonego finansowania</w:t>
            </w:r>
            <w:r>
              <w:rPr>
                <w:b/>
                <w:i/>
              </w:rPr>
              <w:t>,</w:t>
            </w:r>
            <w:r>
              <w:t xml:space="preserve"> pomoc inwestorom w skutecznym zrozumieniu i porównywaniu produktów finansowych związanych ze zrównoważonym rozwojem </w:t>
            </w:r>
            <w:r>
              <w:rPr>
                <w:b/>
                <w:i/>
              </w:rPr>
              <w:t>oraz zapewnienie równych warunków działania między czołowymi europejskimi przedsiębiorstwami wykazującymi rzeczywiste zaangażowanie w zrównoważone finansowanie a konkurentami stosującymi słabsze standardy i formułującymi nieuzasadnione twierdzenia dotyczące ekologiczności</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15</w:t>
            </w:r>
            <w:r>
              <w:t xml:space="preserve"> </w:t>
            </w:r>
            <w:r>
              <w:rPr>
                <w:b/>
                <w:i/>
              </w:rPr>
              <w:t>Wniosek z dnia 26 lutego 2025 r. dotyczący dyrektywy Parlamentu Europejskiego i Rady zmieniającej dyrektywy (UE) 2022/2464 i (UE) 2024/1760 w odniesieniu do dat, od których państwa członkowskie mają stosować niektóre wymogi dotyczące sprawozdawczości przedsiębiorstw w zakresie zrównoważonego rozwoju i niektóre wymogi w zakresie należytej staranności przedsiębiorstw w zakresie zrównoważonego rozwoju (COM(2025) 80 final).</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16</w:t>
            </w:r>
            <w:r>
              <w:t xml:space="preserve"> </w:t>
            </w:r>
            <w:r>
              <w:t>Pismo określające zadania z dnia 17 września 2024 r., skierowane przez przewodniczącą Komisji Europejskiej, ac06a896-2645-4857-9958-467d2ce6f221_en.</w:t>
            </w:r>
          </w:p>
        </w:tc>
        <w:tc>
          <w:tcPr>
            <w:tcW w:w="4876" w:type="dxa"/>
            <w:tcBorders>
              <w:top w:val="nil"/>
              <w:left w:val="nil"/>
              <w:bottom w:val="nil"/>
              <w:right w:val="nil"/>
            </w:tcBorders>
          </w:tcPr>
          <w:p>
            <w:pPr>
              <w:pStyle w:val="Normal6a"/>
            </w:pPr>
            <w:r>
              <w:rPr>
                <w:vertAlign w:val="superscript"/>
              </w:rPr>
              <w:t>16</w:t>
            </w:r>
            <w:r>
              <w:t xml:space="preserve"> </w:t>
            </w:r>
            <w:r>
              <w:t>Pismo określające zadania z dnia 17 września 2024 r., skierowane przez przewodniczącą Komisji Europejskiej, ac06a896-2645-4857-9958-467d2ce6f221_en.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17</w:t>
            </w:r>
            <w:r>
              <w:t xml:space="preserve"> </w:t>
            </w:r>
            <w:r>
              <w:t>Komunikat Komisji do Parlamentu Europejskiego, Rady, Europejskiego Komitetu Ekonomiczno-Społecznego i Komitetu Regionów z dnia 11 lutego 2025 r., „Program prac Komisji na 2025 r. Razem ku odważniejszej, prostszej, szybszej Unii”, (COM(2025) 45 final).</w:t>
            </w:r>
          </w:p>
        </w:tc>
        <w:tc>
          <w:tcPr>
            <w:tcW w:w="4876" w:type="dxa"/>
            <w:tcBorders>
              <w:top w:val="nil"/>
              <w:left w:val="nil"/>
              <w:bottom w:val="nil"/>
              <w:right w:val="nil"/>
            </w:tcBorders>
          </w:tcPr>
          <w:p>
            <w:pPr>
              <w:pStyle w:val="Normal6a"/>
            </w:pPr>
            <w:r>
              <w:rPr>
                <w:vertAlign w:val="superscript"/>
              </w:rPr>
              <w:t>17</w:t>
            </w:r>
            <w:r>
              <w:t xml:space="preserve"> </w:t>
            </w:r>
            <w:r>
              <w:t>Komunikat Komisji do Parlamentu Europejskiego, Rady, Europejskiego Komitetu Ekonomiczno-Społecznego i Komitetu Regionów z dnia 11 lutego 2025 r., „Program prac Komisji na 2025 r. Razem ku odważniejszej, prostszej, szybszej Unii”, (COM(2025) 45 final).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Denis Nesci, Francesco Ventola, Mariateresa Vivaldini, Marco Falcone, Marco Squarta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Aby odzwierciedlić te cele, konieczne jest dostosowanie zakresu rozporządzenia (UE) 2019/2088 oraz dostosowanie niektórych zawartych w nim definicji. Rozporządzenie (UE) 2019/2088 powinno nadal zawierać wymóg, aby uczestnicy rynku finansowego ujawniali, w jaki sposób ich zdaniem ryzyka dla zrównoważonego rozwoju wpływają na produkty finansowe, które oferują inwestorom. Poza tymi elementami rozporządzenie (UE) 2019/2088 powinno jednak skupiać się wyłącznie na szczegółowych wymogach i związanych z nimi ujawnieniach mających zastosowanie do uczestników rynku finansowego, którzy wytwarzają produkty finansowe związane ze zrównoważonym rozwojem, zarządzają nimi lub je udostępniają, w szczególności w przypadku produktów, w których nazwie lub dokumentacji marketingowej skierowanej do inwestorów końcowych występują odniesienia do elementów związanych ze zrównoważonym rozwojem. Doradcy finansowi świadczący usługi doradztwa inwestycyjnego nie wytwarzają produktów finansowych związanych ze zrównoważonym rozwojem, nie zarządzają nimi, ani nie udostępniają takich produktów inwestorom. W związku z tym doradcy finansowi świadczący usługi doradztwa inwestycyjnego powinni zostać całkowicie wyłączeni z zakresu rozporządzenia (UE) 2019/2088. Odgrywają oni raczej rolę dystrybutorów i identyfikują udostępniane przez uczestników rynku finansowego produkty, które odpowiadają preferencjom ich klientów w zakresie zrównoważonego rozwoju. Przepisy dla dystrybutorów powinny zatem należycie odzwierciedlać zmiany wprowadzone niniejszym rozporządzeniem, w szczególności system klasyfikacji produktów finansowych, w odniesieniu do których wysuwane są twierdzenia dotyczące zrównoważonego rozwoju. To samo dotyczy usług zarządzania portfelem, polegających na zarządzaniu portfelami instrumentów finansowych zgodnie z upoważnieniami udzielonymi przez klientów, prowadzonym uznaniowo dla poszczególnych klientów, które to usługi nie są zatem projektowane i oferowane w taki sam sposób, w jaki projektuje się i wprowadza do obrotu produkty przeznaczone dla określonych rynków docelowych.</w:t>
            </w:r>
          </w:p>
        </w:tc>
        <w:tc>
          <w:tcPr>
            <w:tcW w:w="4876" w:type="dxa"/>
            <w:tcBorders>
              <w:top w:val="nil"/>
              <w:left w:val="nil"/>
              <w:bottom w:val="nil"/>
              <w:right w:val="nil"/>
            </w:tcBorders>
          </w:tcPr>
          <w:p>
            <w:pPr>
              <w:pStyle w:val="Normal6a"/>
            </w:pPr>
            <w:r>
              <w:t>(7)</w:t>
            </w:r>
            <w:r>
              <w:tab/>
            </w:r>
            <w:r>
              <w:t xml:space="preserve">Aby odzwierciedlić te cele, konieczne jest dostosowanie zakresu rozporządzenia (UE) 2019/2088 oraz dostosowanie niektórych zawartych w nim definicji. Rozporządzenie (UE) 2019/2088 powinno nadal zawierać wymóg, aby uczestnicy rynku finansowego ujawniali, w jaki sposób ich zdaniem ryzyka dla zrównoważonego rozwoju wpływają na produkty finansowe, które oferują inwestorom. Poza tymi elementami rozporządzenie (UE) 2019/2088 powinno jednak skupiać się wyłącznie na szczegółowych wymogach i związanych z nimi ujawnieniach mających zastosowanie do uczestników rynku finansowego, którzy wytwarzają produkty finansowe związane ze zrównoważonym rozwojem, zarządzają nimi lub je udostępniają, w szczególności w przypadku produktów, w których nazwie lub dokumentacji marketingowej skierowanej do inwestorów końcowych występują odniesienia do elementów związanych ze zrównoważonym rozwojem. Doradcy finansowi świadczący usługi doradztwa inwestycyjnego nie wytwarzają produktów finansowych związanych ze zrównoważonym rozwojem, nie zarządzają nimi, ani nie udostępniają takich produktów inwestorom. W związku z tym doradcy finansowi świadczący usługi doradztwa inwestycyjnego powinni zostać całkowicie wyłączeni z zakresu rozporządzenia (UE) 2019/2088. Odgrywają oni raczej rolę dystrybutorów i identyfikują udostępniane przez uczestników rynku finansowego produkty, które odpowiadają preferencjom ich klientów w zakresie zrównoważonego rozwoju. Przepisy dla dystrybutorów powinny zatem należycie odzwierciedlać zmiany wprowadzone niniejszym rozporządzeniem, w szczególności system klasyfikacji produktów finansowych, w odniesieniu do których wysuwane są twierdzenia dotyczące zrównoważonego rozwoju. To samo dotyczy usług zarządzania portfelem, polegających na zarządzaniu portfelami instrumentów finansowych zgodnie z upoważnieniami udzielonymi przez klientów, prowadzonym uznaniowo dla poszczególnych klientów, które to usługi nie są zatem projektowane i oferowane w taki sam sposób, w jaki projektuje się i wprowadza do obrotu produkty przeznaczone dla określonych rynków docelowych. </w:t>
            </w:r>
            <w:r>
              <w:rPr>
                <w:b/>
                <w:i/>
              </w:rPr>
              <w:t>Dostawcy rozwiązań w zakresie zarządzania aktywami wprowadzanych do obrotu z cechami lub celami związanymi ze zrównoważonym rozwojem lub upoważnieni przez klientów do uwzględniania tych cech lub celów powinni jednak mieć możliwość, na zasadzie dobrowolności lub na wniosek klienta, dostosowania tych rozwiązań do wymogów kategorii określonych w niniejszym rozporządzeniu oraz, w takim przypadku, spełnienia mających zastosowanie wymogów dotyczących kategoryzacji i ujawniania informacji.</w:t>
            </w:r>
            <w:r>
              <w:t xml:space="preserve"> </w:t>
            </w:r>
            <w:r>
              <w:rPr>
                <w:b/>
                <w:i/>
              </w:rPr>
              <w:t>Powinno to zwiększyć porównywalność konkurencyjnych rozwiązań inwestycyjnych, sprzyjać spójnemu stosowaniu preferencji klientów w zakresie zrównoważonego rozwoju zgodnie z unijnymi zasadami dystrybucji oraz zagwarantować większą pewność prawa w odniesieniu do ujawniania informacji związanych ze zrównoważonym rozwojem w odniesieniu do tych rozwiązań.</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Lara Wolters, Jonás Fernández, Aurore Lalucq, Niels Fuglsang, Evelyn Regner, César Luena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Aby odzwierciedlić te cele, konieczne jest dostosowanie zakresu rozporządzenia (UE) 2019/2088 oraz dostosowanie niektórych zawartych w nim definicji. Rozporządzenie (UE) 2019/2088 powinno nadal zawierać wymóg, aby uczestnicy rynku finansowego ujawniali, w jaki sposób ich zdaniem ryzyka dla zrównoważonego rozwoju wpływają na produkty finansowe, które oferują inwestorom. Poza tymi elementami rozporządzenie (UE) 2019/2088 powinno jednak skupiać się </w:t>
            </w:r>
            <w:r>
              <w:rPr>
                <w:b/>
                <w:i/>
              </w:rPr>
              <w:t>wyłącznie</w:t>
            </w:r>
            <w:r>
              <w:t xml:space="preserve"> na szczegółowych wymogach i związanych z nimi ujawnieniach mających zastosowanie do uczestników rynku finansowego, którzy wytwarzają produkty finansowe związane ze zrównoważonym rozwojem, zarządzają nimi lub je udostępniają, w szczególności w przypadku produktów, w których nazwie lub dokumentacji marketingowej skierowanej do inwestorów końcowych występują odniesienia do elementów związanych ze zrównoważonym rozwojem. Doradcy finansowi świadczący usługi doradztwa inwestycyjnego nie wytwarzają produktów finansowych związanych ze zrównoważonym rozwojem, nie zarządzają nimi, ani nie udostępniają takich produktów inwestorom. W związku z tym doradcy finansowi świadczący usługi doradztwa inwestycyjnego powinni zostać całkowicie wyłączeni z zakresu rozporządzenia (UE) 2019/2088. Odgrywają oni raczej rolę dystrybutorów i identyfikują udostępniane przez uczestników rynku finansowego produkty, które odpowiadają preferencjom ich klientów w zakresie zrównoważonego rozwoju. Przepisy dla dystrybutorów powinny zatem należycie odzwierciedlać zmiany wprowadzone niniejszym rozporządzeniem, w szczególności system klasyfikacji produktów finansowych, w odniesieniu do których wysuwane są twierdzenia dotyczące zrównoważonego rozwoju. To samo dotyczy usług zarządzania portfelem, polegających na zarządzaniu portfelami instrumentów finansowych zgodnie z upoważnieniami udzielonymi przez klientów, prowadzonym uznaniowo dla poszczególnych klientów, które to usługi nie są zatem projektowane i oferowane w taki sam sposób, w jaki projektuje się i wprowadza do obrotu produkty przeznaczone dla określonych rynków docelowych.</w:t>
            </w:r>
          </w:p>
        </w:tc>
        <w:tc>
          <w:tcPr>
            <w:tcW w:w="4876" w:type="dxa"/>
            <w:tcBorders>
              <w:top w:val="nil"/>
              <w:left w:val="nil"/>
              <w:bottom w:val="nil"/>
              <w:right w:val="nil"/>
            </w:tcBorders>
          </w:tcPr>
          <w:p>
            <w:pPr>
              <w:pStyle w:val="Normal6a"/>
            </w:pPr>
            <w:r>
              <w:t>(7)</w:t>
            </w:r>
            <w:r>
              <w:tab/>
            </w:r>
            <w:r>
              <w:t xml:space="preserve">Aby odzwierciedlić te cele, konieczne jest dostosowanie zakresu rozporządzenia (UE) 2019/2088 oraz dostosowanie niektórych zawartych w nim definicji. Rozporządzenie (UE) 2019/2088 powinno nadal zawierać wymóg, aby uczestnicy rynku finansowego ujawniali, w jaki sposób ich zdaniem ryzyka dla zrównoważonego rozwoju wpływają na produkty finansowe, które oferują inwestorom. </w:t>
            </w:r>
            <w:r>
              <w:rPr>
                <w:b/>
                <w:i/>
              </w:rPr>
              <w:t>Powinno również zawierać wymóg, aby uczestnicy rynku finansowego ujawniali inwestorowi końcowemu bardzo ograniczony zestaw informacji o dużym znaczeniu.</w:t>
            </w:r>
            <w:r>
              <w:t xml:space="preserve"> Poza tymi elementami rozporządzenie (UE) 2019/2088 powinno jednak skupiać się </w:t>
            </w:r>
            <w:r>
              <w:rPr>
                <w:b/>
                <w:i/>
              </w:rPr>
              <w:t>przede wszystkim</w:t>
            </w:r>
            <w:r>
              <w:t xml:space="preserve"> na szczegółowych wymogach i związanych z nimi ujawnieniach mających zastosowanie do uczestników rynku finansowego, którzy wytwarzają produkty finansowe związane ze zrównoważonym rozwojem, zarządzają nimi lub je udostępniają, w szczególności w przypadku produktów, w których nazwie lub dokumentacji marketingowej skierowanej do inwestorów końcowych występują odniesienia do elementów związanych ze zrównoważonym rozwojem. Doradcy finansowi świadczący usługi doradztwa inwestycyjnego nie wytwarzają produktów finansowych związanych ze zrównoważonym rozwojem, nie zarządzają nimi, ani nie udostępniają takich produktów inwestorom. W związku z tym doradcy finansowi świadczący usługi doradztwa inwestycyjnego powinni zostać całkowicie wyłączeni z zakresu rozporządzenia (UE) 2019/2088. Odgrywają oni raczej rolę dystrybutorów i identyfikują udostępniane przez uczestników rynku finansowego produkty, które odpowiadają preferencjom ich klientów w zakresie zrównoważonego rozwoju. Przepisy dla dystrybutorów powinny zatem należycie odzwierciedlać zmiany wprowadzone niniejszym rozporządzeniem, w szczególności system klasyfikacji produktów finansowych, w odniesieniu do których wysuwane są twierdzenia dotyczące zrównoważonego rozwoju. To samo dotyczy usług zarządzania portfelem, polegających na zarządzaniu portfelami instrumentów finansowych zgodnie z upoważnieniami udzielonymi przez klientów, prowadzonym uznaniowo dla poszczególnych klientów, które to usługi nie są zatem projektowane i oferowane w taki sam sposób, w jaki projektuje się i wprowadza do obrotu produkty przeznaczone dla określonych rynków docelowych.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Jaroslava Pokorná Jermanová, Jaroslav Knot, Pierre Pimpie, 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7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Wyłączenie doradztwa inwestycyjnego i indywidualnego zarządzania portfelem z zakresu stosowania niniejszego rozporządzenia nie powinno wpływać na zdolność firm inwestycyjnych do oferowania, rekomendowania lub świadczenia instrumentów finansowych lub usług inwestycyjnych, które uwzględniają czynniki zrównoważonego rozwoju w celu spełnienia preferencji klientów w zakresie zrównoważonego rozwoju.</w:t>
            </w:r>
            <w:r>
              <w:t xml:space="preserve"> </w:t>
            </w:r>
            <w:r>
              <w:rPr>
                <w:b/>
                <w:i/>
              </w:rPr>
              <w:t>Firmy inwestycyjne są zatem nadal uprawnione do uwzględniania, zgodnie z dyrektywą 2014/65/UE i mającymi zastosowanie aktami delegowanymi przyjętymi na jej podstawie, wszystkich instrumentów finansowych zdefiniowanych w sekcji C załącznika I do tej dyrektywy, które uwzględniają kryteria z zakresu ochrony środowiska, polityki społecznej lub zarządzania, w tym instrumentów finansowych, które nie są sklasyfikowane jako produkty finansowe związane ze zrównoważonym rozwojem na podstawie niniejszego rozporządzenia.</w:t>
            </w:r>
            <w:r>
              <w:t xml:space="preserve"> </w:t>
            </w:r>
            <w:r>
              <w:rPr>
                <w:b/>
                <w:i/>
              </w:rPr>
              <w:t>Aby zapewnić spójność między zasadami dystrybucji a zmienionym systemem kategoryzacji, Komisja dokona w odpowiednim czasie przeglądu odpowiednich aktów delegowanych na podstawie dyrektywy 2014/65/UE i dyrektywy (UE) 2016/97 oraz zsynchronizuje ich stosowanie z datą rozpoczęcia stosowania niniejszego rozporządzenia.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Angelika Winzig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7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Wyłączenie doradców finansowych i usług zarządzania portfelem z zakresu stosowania niniejszego rozporządzenia powinno pozostawać bez uszczerbku dla zdolności firm inwestycyjnych do świadczenia usług finansowych lub rekomendowania instrumentów finansowych uwzględniających czynniki zrównoważonego rozwoju zgodnie z preferencjami klientów w zakresie zrównoważonego rozwoju.</w:t>
            </w:r>
            <w:r>
              <w:t xml:space="preserve"> </w:t>
            </w:r>
            <w:r>
              <w:rPr>
                <w:b/>
                <w:i/>
              </w:rPr>
              <w:t>W związku z tym firmy inwestycyjne powinny zachować pełne prawo do uwzględniania instrumentów finansowych w rozumieniu sekcji C załącznika I do dyrektywy 2014/65/UE, które zawierają kryteria środowiskowe, społeczne lub dotyczące zarządzania, gwarantując, że wyłączenia administracyjne nie ograniczają dostępności zrównoważonych wariantów inwestycyjnych.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Markus Ferber, Janusz Lewandowski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7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Wyłączenie doradztwa inwestycyjnego i zarządzania portfelem z zakresu stosowania niniejszego rozporządzenia nie ogranicza zdolności firm inwestycyjnych do oferowania i rekomendowania instrumentów finansowych uwzględniających czynniki zrównoważonego rozwoju w celu spełnienia preferencji klientów w zakresie zrównoważonego rozwoju.</w:t>
            </w:r>
            <w:r>
              <w:t xml:space="preserve"> </w:t>
            </w:r>
            <w:r>
              <w:rPr>
                <w:b/>
                <w:i/>
              </w:rPr>
              <w:t>Świadcząc usługi na podstawie dyrektywy 2014/65/UE, firmy inwestycyjne zachowują prawo do uwzględniania instrumentów finansowych zdefiniowanych w sekcji C załącznika I do tej dyrektywy, które zawierają kryteria z zakresu ochrony środowiska, polityki społecznej lub zarządzania, niezależnie od tego, czy instrumenty te stanowią produkty finansowe w rozumieniu niniejszego rozporządzenia.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Usunięcie doradztwa inwestycyjnego z zakresu stosowania rozporządzenia w sprawie ujawniania informacji związanych ze zrównoważonym rozwojem w sektorze usług finansowych nie może prowadzić do niejasności co do obowiązków w zakresie preferencji w zakresie zrównoważonego rozwoju określonych w MiFID II.</w:t>
      </w:r>
      <w:r>
        <w:t xml:space="preserve"> </w:t>
      </w:r>
      <w:r>
        <w:t>Instrumenty finansowe, takie jak strukturyzowane papiery wartościowe i obligacje, mogą obejmować kryteria z zakresu ochrony środowiska, polityki społecznej i zarządzania bez kwalifikowania się jako produkty finansowe w rozporządzeniu w sprawie ujawniania informacji związanych ze zrównoważonym rozwojem w sektorze usług finansowych.</w:t>
      </w:r>
      <w:r>
        <w:t xml:space="preserve"> </w:t>
      </w:r>
      <w:r>
        <w:t>Bez wyraźnego wyjaśnienia luka regulacyjna grozi osłabieniem zdolności doradców do dopasowania preferencji klientów w zakresie zrównoważonego rozwoju w całym spektrum produktów.</w:t>
      </w:r>
      <w:r>
        <w:t xml:space="preserve"> </w:t>
      </w:r>
      <w:r>
        <w:t>Motyw ten zapewnia spójność między rozporządzeniem w sprawie ujawniania informacji związanych ze zrównoważonym rozwojem w sektorze usług finansowych 2.0 a ramami odpowiedniości określonymi w MiFID II.</w:t>
      </w:r>
    </w:p>
    <w:p>
      <w:r>
        <w:rPr>
          <w:rStyle w:val="HideTWBExt"/>
        </w:rPr>
        <w:t>&lt;/Amend&gt;</w:t>
      </w:r>
    </w:p>
    <w:p>
      <w:pPr>
        <w:pStyle w:val="AmNumberTabs"/>
      </w:pPr>
      <w:r>
        <w:rPr>
          <w:rStyle w:val="HideTWBExt"/>
        </w:rPr>
        <w:t>&lt;Amend&gt;</w:t>
      </w:r>
      <w:r>
        <w:t>Poprawka</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Jaroslava Pokorná Jermanová, Jaroslav Knot, Pierre Pimpie, 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7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(7b)</w:t>
            </w:r>
            <w:r>
              <w:tab/>
            </w:r>
            <w:r>
              <w:rPr>
                <w:b/>
                <w:i/>
              </w:rPr>
              <w:t>Uprawnienia nadzorcze powierzone właściwym organom na mocy niniejszego rozporządzenia mają na celu zapewnienie zgodności z wymogami dotyczącymi ujawniania informacji i kategoryzacji ustanowionymi w niniejszym rozporządzeniu.</w:t>
            </w:r>
            <w:r>
              <w:t xml:space="preserve"> </w:t>
            </w:r>
            <w:r>
              <w:rPr>
                <w:b/>
                <w:i/>
              </w:rPr>
              <w:t>Właściwe organy nie są zobowiązane do niezależnej weryfikacji merytorycznej dokładności danych ESG i informacji dotyczących zrównoważonego rozwoju publikowanych przez uczestników rynku finansowego w ramach wypełniania ich obowiązków wynikających z niniejszego rozporządzenia i nie należy jej od nich oczekiwać.</w:t>
            </w:r>
            <w:r>
              <w:t xml:space="preserve"> </w:t>
            </w:r>
            <w:r>
              <w:rPr>
                <w:b/>
                <w:i/>
              </w:rPr>
              <w:t>Rolą nadzoru na mocy niniejszego rozporządzenia jest ocena, czy uczestnicy rynku finansowego wywiązali się ze swoich obowiązków proceduralnych – w tym z zastosowania sformalizowanych ustaleń dotyczących danych i udokumentowanych metod zgodnie z wymogami art. 12a – oraz czy ujawniane informacje są zgodne z mającymi zastosowanie kryteriami kategoryzacji i wymogami dotyczącymi ujawniania informacji.</w:t>
            </w:r>
            <w:r>
              <w:t xml:space="preserve"> </w:t>
            </w:r>
            <w:r>
              <w:rPr>
                <w:b/>
                <w:i/>
              </w:rPr>
              <w:t>Jakiekolwiek rozszerzenie oczekiwań nadzorczych poza ten zakres, w szczególności na faktyczną certyfikację danych ESG lub audyt podstawowych oświadczeń dotyczących zrównoważonego rozwoju, byłoby nieproporcjonalne, niezgodne z opartym na przejrzystości charakterem tych ram i mogłoby nakładać koszty, które nie są uzasadnione celami niniejszego rozporządzenia, zarówno na właściwe organy, jak i uczestników rynku.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Markus Ferber, Janusz Lewandowski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7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(7b)</w:t>
            </w:r>
            <w:r>
              <w:tab/>
            </w:r>
            <w:r>
              <w:rPr>
                <w:b/>
                <w:i/>
              </w:rPr>
              <w:t>Znormalizowane wymogi w zakresie kategoryzacji produktów i ujawniania informacji wprowadzone niniejszym rozporządzeniem mają na celu przede wszystkim ochronę inwestorów detalicznych i umożliwienie miarodajnej porównywalności produktów dystrybuowanych wśród ogółu społeczeństwa.</w:t>
            </w:r>
            <w:r>
              <w:t xml:space="preserve"> </w:t>
            </w:r>
            <w:r>
              <w:rPr>
                <w:b/>
                <w:i/>
              </w:rPr>
              <w:t>Inwestorzy profesjonalni zdefiniowani w dyrektywie 2014/65/UE posiadają wiedzę fachową, zasoby i zdolność negocjacyjną, aby niezależnie oceniać cechy zrównoważonego rozwoju i określić swoje wymogi w drodze umowy.</w:t>
            </w:r>
            <w:r>
              <w:t xml:space="preserve"> </w:t>
            </w:r>
            <w:r>
              <w:rPr>
                <w:b/>
                <w:i/>
              </w:rPr>
              <w:t>Stosowanie systemu kategoryzacji do produktów finansowych udostępnianych wyłącznie takim inwestorom jest zatem nieproporcjonalne i generuje koszty przestrzegania przepisów bez współmiernych korzyści.</w:t>
            </w:r>
            <w:r>
              <w:t xml:space="preserve"> </w:t>
            </w:r>
            <w:r>
              <w:rPr>
                <w:b/>
                <w:i/>
              </w:rPr>
              <w:t>Uczestnicy rynku finansowego powinni zatem mieć możliwość odstąpienia od stosowania art. 6a, 7, 8 i 9 w odniesieniu do takich produktów.</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Inwestorzy profesjonalni inwestujący w AFI dysponują wiedzą fachową i zasobami umożliwiającymi im określenie i wynegocjowanie w drodze umowy własnych wymogów w zakresie zrównoważonego rozwoju.</w:t>
      </w:r>
      <w:r>
        <w:t xml:space="preserve"> </w:t>
      </w:r>
      <w:r>
        <w:t>Obowiązkowe normy minimalne mające na celu ochronę inwestorów detalicznych są w tym kontekście nieproporcjonalne i generują koszty przestrzegania przepisów bez odpowiednich korzyści dla inwestorów.</w:t>
      </w:r>
      <w:r>
        <w:t xml:space="preserve"> </w:t>
      </w:r>
      <w:r>
        <w:t>Zezwolenie na niestosowanie umożliwia zachowanie proporcjonalności i wspiera konkurencyjność unijnych alternatywnych rynków inwestycji.</w:t>
      </w:r>
    </w:p>
    <w:p>
      <w:r>
        <w:rPr>
          <w:rStyle w:val="HideTWBExt"/>
        </w:rPr>
        <w:t>&lt;/Amend&gt;</w:t>
      </w:r>
    </w:p>
    <w:p>
      <w:pPr>
        <w:pStyle w:val="AmNumberTabs"/>
      </w:pPr>
      <w:r>
        <w:rPr>
          <w:rStyle w:val="HideTWBExt"/>
        </w:rPr>
        <w:t>&lt;Amend&gt;</w:t>
      </w:r>
      <w:r>
        <w:t>Poprawka</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Lara Wolters, Jonás Fernández, Aurore Lalucq, Niels Fuglsang, Evelyn Regner, César Luena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Definicja zrównoważonych inwestycji zawarta w art. 2 pkt 17 rozporządzenia (UE) 2019/2088 zrodziła wiele praktycznych wyzwań i wątpliwości związanych z jej wdrożeniem oraz pytań kierowanych do organów nadzoru dotyczących interpretacji i ich oczekiwań, a także spowodowała znaczne rozbieżności w praktycznym stosowaniu. Praktycy dostrzegają również problemy związane z powielaniem i niespójnością porównywalnych pojęć określonych w innych elementach ram zrównoważonego finansowania, które mają jednak nieco inne znaczenie, w tym określonych w rozporządzeniu Parlamentu Europejskiego i Rady (UE) 2020/852</w:t>
            </w:r>
            <w:r>
              <w:rPr>
                <w:vertAlign w:val="superscript"/>
              </w:rPr>
              <w:t>18</w:t>
            </w:r>
            <w:r>
              <w:t>, oraz nadmierne ograniczenia dla inwestycji ukierunkowanych na transformację przedsiębiorstw lub działalności gospodarczej w kierunku zrównoważonego rozwoju zgodnie z polityką nakreśloną w zaleceniu Komisji (UE) 2023/1435 w 2023 r.</w:t>
            </w:r>
            <w:r>
              <w:rPr>
                <w:vertAlign w:val="superscript"/>
              </w:rPr>
              <w:t>19</w:t>
            </w:r>
            <w:r>
              <w:t>Jednocześnie definicja zrównoważonej inwestycji zawarta w rozporządzeniu (UE) 2019/2088 jest wykorzystywana przez uczestników rynku finansowego przy opracowywaniu produktów finansowych i w komunikacji z inwestorami końcowymi. Należy zatem ułatwić stosowanie tego terminu w praktyce poprzez skreślenie definicji zrównoważonej inwestycji, co pozwoli przezwyciężyć brak pewności przy dostosowywaniu do niego praktyk, a zamiast tego pojęcia leżące u podstaw tego terminu należy włączyć w uproszczonej formie do konkretnych wymogów dotyczących odnośnej kategorii produktów finansowych związanych ze zrównoważonym rozwojem. Zapewni to ciągłość, uproszczenie stosowania i większą pewność dla uczestników rynku finansowego. W związku z tym pojęcia „przyczyniania się do realizacji celu środowiskowego i społecznego”, „nieczynienia poważnych szkód” oraz „dobrych praktyk w zakresie zarządzania” powinny nadal znajdować odzwierciedlenie w kryteriach odpowiednich kategorii.</w:t>
            </w:r>
          </w:p>
        </w:tc>
        <w:tc>
          <w:tcPr>
            <w:tcW w:w="4876" w:type="dxa"/>
            <w:tcBorders>
              <w:top w:val="nil"/>
              <w:left w:val="nil"/>
              <w:bottom w:val="nil"/>
              <w:right w:val="nil"/>
            </w:tcBorders>
          </w:tcPr>
          <w:p>
            <w:pPr>
              <w:pStyle w:val="Normal6a"/>
            </w:pPr>
            <w:r>
              <w:t>(8)</w:t>
            </w:r>
            <w:r>
              <w:tab/>
            </w:r>
            <w:r>
              <w:t>Definicja zrównoważonych inwestycji zawarta w art. 2 pkt 17 rozporządzenia (UE) 2019/2088 zrodziła wiele praktycznych wyzwań i wątpliwości związanych z jej wdrożeniem oraz pytań kierowanych do organów nadzoru dotyczących interpretacji i ich oczekiwań, a także spowodowała znaczne rozbieżności w praktycznym stosowaniu. Praktycy dostrzegają również problemy związane z powielaniem i niespójnością porównywalnych pojęć określonych w innych elementach ram zrównoważonego finansowania, które mają jednak nieco inne znaczenie, w tym określonych w rozporządzeniu Parlamentu Europejskiego i Rady (UE) 2020/852</w:t>
            </w:r>
            <w:r>
              <w:rPr>
                <w:vertAlign w:val="superscript"/>
              </w:rPr>
              <w:t>18</w:t>
            </w:r>
            <w:r>
              <w:t>, oraz nadmierne ograniczenia dla inwestycji ukierunkowanych na transformację przedsiębiorstw lub działalności gospodarczej w kierunku zrównoważonego rozwoju zgodnie z polityką nakreśloną w zaleceniu Komisji (UE) 2023/1435 w 2023 r.</w:t>
            </w:r>
            <w:r>
              <w:rPr>
                <w:vertAlign w:val="superscript"/>
              </w:rPr>
              <w:t>19</w:t>
            </w:r>
            <w:r>
              <w:t xml:space="preserve"> Jednocześnie definicja zrównoważonej inwestycji zawarta w rozporządzeniu (UE) 2019/2088 jest wykorzystywana przez uczestników rynku finansowego przy opracowywaniu produktów finansowych i w komunikacji z inwestorami końcowymi. Należy zatem ułatwić stosowanie tego terminu w praktyce poprzez skreślenie definicji zrównoważonej inwestycji, co pozwoli przezwyciężyć brak pewności przy dostosowywaniu do niego praktyk, a zamiast tego pojęcia leżące u podstaw tego terminu należy włączyć w uproszczonej formie do konkretnych wymogów dotyczących odnośnej kategorii produktów finansowych związanych ze zrównoważonym rozwojem. Zapewni to ciągłość, uproszczenie stosowania i większą pewność dla uczestników rynku finansowego. W związku z tym pojęcia „przyczyniania się do realizacji celu środowiskowego i społecznego”, „nieczynienia poważnych szkód” oraz „dobrych praktyk w zakresie zarządzania” powinny nadal znajdować odzwierciedlenie w kryteriach odpowiednich kategorii. </w:t>
            </w:r>
            <w:r>
              <w:rPr>
                <w:b/>
                <w:i/>
              </w:rPr>
              <w:t>Aby jednak uwzględnić stosunkowo ograniczone zabezpieczenia oferowane przez wyłączenia dotyczące norm społecznych i norm w zakresie zarządzania, należy zmienić art. 2a w celu zapewnienia przestrzegania przez inwestorów zasady „nie czyń poważnych szkód” w odniesieniu do norm społecznych i norm w zakresie zarządzania poprzez odniesienie do Wytycznych ONZ dotyczących biznesu i praw człowieka</w:t>
            </w:r>
            <w:r>
              <w:rPr>
                <w:b/>
                <w:i/>
                <w:vertAlign w:val="superscript"/>
              </w:rPr>
              <w:t>19a</w:t>
            </w:r>
            <w:r>
              <w:t xml:space="preserve"> </w:t>
            </w:r>
            <w:r>
              <w:rPr>
                <w:b/>
                <w:i/>
              </w:rPr>
              <w:t>oraz Wytycznych OECD dla przedsiębiorstw wielonarodowych</w:t>
            </w:r>
            <w:r>
              <w:rPr>
                <w:b/>
                <w:i/>
                <w:vertAlign w:val="superscript"/>
              </w:rPr>
              <w:t>19b</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18</w:t>
            </w:r>
            <w:r>
              <w:t xml:space="preserve"> </w:t>
            </w:r>
            <w:r>
              <w:t>Rozporządzenie Parlamentu Europejskiego i Rady (UE) 2020/852 z dnia 18 czerwca 2020 r. w sprawie ustanowienia ram ułatwiających zrównoważone inwestycje, zmieniające rozporządzenie (UE) 2019/2088 (Dz.U. L 198 z 22.6.2020, s. 13, ELI: http://data.europa.eu/eli/reg/2020/852/oj).</w:t>
            </w:r>
          </w:p>
        </w:tc>
        <w:tc>
          <w:tcPr>
            <w:tcW w:w="4876" w:type="dxa"/>
            <w:tcBorders>
              <w:top w:val="nil"/>
              <w:left w:val="nil"/>
              <w:bottom w:val="nil"/>
              <w:right w:val="nil"/>
            </w:tcBorders>
          </w:tcPr>
          <w:p>
            <w:pPr>
              <w:pStyle w:val="Normal6a"/>
            </w:pPr>
            <w:r>
              <w:rPr>
                <w:vertAlign w:val="superscript"/>
              </w:rPr>
              <w:t>18</w:t>
            </w:r>
            <w:r>
              <w:t xml:space="preserve"> </w:t>
            </w:r>
            <w:r>
              <w:t>Rozporządzenie Parlamentu Europejskiego i Rady (UE) 2020/852 z dnia 18 czerwca 2020 r. w sprawie ustanowienia ram ułatwiających zrównoważone inwestycje, zmieniające rozporządzenie (UE) 2019/2088 (Dz.U. L 198 z 22.6.2020, s. 13, ELI: http://data.europa.eu/eli/reg/2020/852/oj).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19</w:t>
            </w:r>
            <w:r>
              <w:t xml:space="preserve"> </w:t>
            </w:r>
            <w:r>
              <w:t>Zalecenie Komisji (UE) 2023/1425 z dnia 27 czerwca 2023 r. w sprawie ułatwienia finansowania transformacji w stronę gospodarki zrównoważonej, (C/2023/3844) (Dz.U. L 174 z 7.7.2023, s. 19).</w:t>
            </w:r>
          </w:p>
        </w:tc>
        <w:tc>
          <w:tcPr>
            <w:tcW w:w="4876" w:type="dxa"/>
            <w:tcBorders>
              <w:top w:val="nil"/>
              <w:left w:val="nil"/>
              <w:bottom w:val="nil"/>
              <w:right w:val="nil"/>
            </w:tcBorders>
          </w:tcPr>
          <w:p>
            <w:pPr>
              <w:pStyle w:val="Normal6a"/>
            </w:pPr>
            <w:r>
              <w:rPr>
                <w:vertAlign w:val="superscript"/>
              </w:rPr>
              <w:t>19</w:t>
            </w:r>
            <w:r>
              <w:t xml:space="preserve"> </w:t>
            </w:r>
            <w:r>
              <w:t>Zalecenie Komisji (UE) 2023/1425 z dnia 27 czerwca 2023 r. w sprawie ułatwienia finansowania transformacji w stronę gospodarki zrównoważonej, (C/2023/3844) (Dz.U. L 174 z 7.7.2023, s. 19).</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19a</w:t>
            </w:r>
            <w:r>
              <w:t xml:space="preserve"> </w:t>
            </w:r>
            <w:r>
              <w:rPr>
                <w:b/>
                <w:i/>
              </w:rPr>
              <w:t>https://www.oecd.org/content/dam/oecd/pl/publications/reports/2023/06/oecd-guidelines-for-multinational-enterprises-on-responsible-business-conduct_a0b49990/9fe6d8dc-pl.pdf</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19b</w:t>
            </w:r>
            <w:r>
              <w:t xml:space="preserve"> </w:t>
            </w:r>
            <w:r>
              <w:rPr>
                <w:b/>
                <w:i/>
              </w:rPr>
              <w:t>https://www.oecd.org/content/dam/oecd/pl/publications/reports/2023/06/oecd-guidelines-for-multinational-enterprises-on-responsible-business-conduct_a0b49990/9fe6d8dc-pl.pdf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8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Wyłączenie doradztwa inwestycyjnego i zarządzania portfelem z zakresu stosowania niniejszego rozporządzenia nie powinno wpływać na zdolności firm inwestycyjnych do oferowania i rekomendowania instrumentów finansowych lub usług finansowych uwzględniających czynniki zrównoważonego rozwoju w celu spełnienia preferencji klientów w zakresie zrównoważonego rozwoju.</w:t>
            </w:r>
            <w:r>
              <w:t xml:space="preserve"> </w:t>
            </w:r>
            <w:r>
              <w:rPr>
                <w:b/>
                <w:i/>
              </w:rPr>
              <w:t>Firmy inwestycyjne zachowują zatem prawo do odpowiedniego uwzględniania usług inwestycyjnych, takich jak zarządzanie portfelem i doradztwo inwestycyjne, innych instrumentów finansowych, w tym zbywalnych papierów wartościowych i instrumentów rynku pieniężnego zdefiniowanych w sekcji C załącznika I do dyrektywy 2014/65/UE, które zawierają kryteria z zakresu ochrony środowiska, polityki społecznej lub ładu korporacyjnego.</w:t>
            </w:r>
            <w:r>
              <w:t xml:space="preserve"> </w:t>
            </w:r>
            <w:r>
              <w:rPr>
                <w:b/>
                <w:i/>
              </w:rPr>
              <w:t>Oznaczenia i marketing muszą być uczciwe, jasne i nie mogą wprowadzać w błąd.</w:t>
            </w:r>
            <w:r>
              <w:t xml:space="preserve"> </w:t>
            </w:r>
            <w:r>
              <w:rPr>
                <w:b/>
                <w:i/>
              </w:rPr>
              <w:t>Zbywalne papiery wartościowe i instrumenty rynku pieniężnego zdefiniowane w sekcji C załącznika I do dyrektywy 2014/65/UE, które nie są „produktami finansowymi” zgodnie z art. 2 pkt 12 rozporządzenia 2019/2088 [lub nowym odniesieniem], mogą jednak obejmować cechy w zakresie zrównoważonego rozwoju określone w art. 7, 8 i 9 niniejszego rozporządzenia.</w:t>
            </w:r>
            <w:r>
              <w:t xml:space="preserve"> </w:t>
            </w:r>
            <w:r>
              <w:rPr>
                <w:b/>
                <w:i/>
              </w:rPr>
              <w:t>Ponadto firmy inwestycyjne i uczestnicy rynku finansowego mogą opierać się na informacjach ujawnionych w dokumencie zawierającym najważniejsze informacje zgodnie z rozporządzeniem (UE) nr 1286/2014 w celu oceny czynników zrównoważonego rozwoju produktów związanych ze zrównoważonym rozwojem.</w:t>
            </w:r>
            <w:r>
              <w:t xml:space="preserve"> </w:t>
            </w:r>
            <w:r>
              <w:rPr>
                <w:b/>
                <w:i/>
              </w:rPr>
              <w:t>Jest to szczególnie ważne, jeżeli w ramach produktów finansowych dokonuje się inwestycji w detaliczne produkty zbiorowego inwestowania i ubezpieczeniowe produkty inwestycyjne z czynnikami związanymi ze zrównoważonym rozwojem, które nie kwalifikują się jako produkty finansowe na podstawie niniejszego rozporządzenia.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Lara Wolters, Jonás Fernández, Aurore Lalucq, Niels Fuglsang, Evelyn Regner, César Luena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Aby zachęcić do inwestycji przyczyniających się do łagodzenia zmian klimatu i adaptacji do nich, zrównoważonego wykorzystania i ochrony zasobów wodnych i morskich, przejścia na gospodarkę o obiegu zamkniętym, zapobiegania zanieczyszczeniu i jego kontroli oraz ochrony i odbudowy różnorodności biologicznej i ekosystemów, cele środowiskowe produktów finansowych związanych ze zrównoważonym rozwojem należy zdefiniować zgodnie z art. 9 rozporządzenia (UE) 2020/852. Cele społeczne produktów finansowych związanych ze zrównoważonym rozwojem należy rozumieć jako </w:t>
            </w:r>
            <w:r>
              <w:rPr>
                <w:b/>
                <w:i/>
              </w:rPr>
              <w:t>obejmujące zasady Europejskiego filaru</w:t>
            </w:r>
            <w:r>
              <w:t xml:space="preserve"> praw socjalnych</w:t>
            </w:r>
            <w:r>
              <w:rPr>
                <w:b/>
                <w:i/>
                <w:vertAlign w:val="superscript"/>
              </w:rPr>
              <w:t>20</w:t>
            </w:r>
            <w:r>
              <w:rPr>
                <w:b/>
                <w:i/>
              </w:rPr>
              <w:t>i cele zrównoważonego rozwoju</w:t>
            </w:r>
            <w:r>
              <w:t>.</w:t>
            </w:r>
          </w:p>
        </w:tc>
        <w:tc>
          <w:tcPr>
            <w:tcW w:w="4876" w:type="dxa"/>
            <w:tcBorders>
              <w:top w:val="nil"/>
              <w:left w:val="nil"/>
              <w:bottom w:val="nil"/>
              <w:right w:val="nil"/>
            </w:tcBorders>
          </w:tcPr>
          <w:p>
            <w:pPr>
              <w:pStyle w:val="Normal6a"/>
            </w:pPr>
            <w:r>
              <w:t>(9)</w:t>
            </w:r>
            <w:r>
              <w:tab/>
            </w:r>
            <w:r>
              <w:t xml:space="preserve">Aby zachęcić do inwestycji przyczyniających się do łagodzenia zmian klimatu i adaptacji do nich, zrównoważonego wykorzystania i ochrony zasobów wodnych i morskich, przejścia na gospodarkę o obiegu zamkniętym, zapobiegania zanieczyszczeniu i jego kontroli oraz ochrony i odbudowy różnorodności biologicznej i ekosystemów, cele środowiskowe produktów finansowych związanych ze zrównoważonym rozwojem należy zdefiniować zgodnie z art. 9 rozporządzenia (UE) 2020/852. Cele społeczne produktów finansowych związanych ze zrównoważonym rozwojem należy rozumieć jako </w:t>
            </w:r>
            <w:r>
              <w:rPr>
                <w:b/>
                <w:i/>
              </w:rPr>
              <w:t>odnoszące się do czynników społecznych, takich jak warunki pracy, zaangażowanie partnerów społecznych, rokowania zbiorowe, równość, niedyskryminacja, różnorodność i włączenie społeczne oraz prawa człowieka, zgodnie z Międzynarodową kartą praw człowieka i innymi podstawowymi konwencjami ONZ dotyczącymi praw człowieka;</w:t>
            </w:r>
            <w:r>
              <w:t xml:space="preserve"> </w:t>
            </w:r>
            <w:r>
              <w:rPr>
                <w:b/>
                <w:i/>
              </w:rPr>
              <w:t>Deklaracją Międzynarodowej Organizacji Pracy dotyczącą podstawowych zasad i praw w pracy, podstawowymi konwencjami Międzynarodowej Organizacji Pracy;</w:t>
            </w:r>
            <w:r>
              <w:t xml:space="preserve"> </w:t>
            </w:r>
            <w:r>
              <w:rPr>
                <w:b/>
                <w:i/>
              </w:rPr>
              <w:t>wytycznymi ONZ dotyczącymi biznesu i praw człowieka oraz wytycznymi OECD dla przedsiębiorstw wielonarodowych;</w:t>
            </w:r>
            <w:r>
              <w:t xml:space="preserve"> </w:t>
            </w:r>
            <w:r>
              <w:rPr>
                <w:b/>
                <w:i/>
              </w:rPr>
              <w:t>zasadami Europejskiej karty społecznej;</w:t>
            </w:r>
            <w:r>
              <w:t xml:space="preserve"> </w:t>
            </w:r>
            <w:r>
              <w:rPr>
                <w:b/>
                <w:i/>
              </w:rPr>
              <w:t>Europejskim filarem</w:t>
            </w:r>
            <w:r>
              <w:t xml:space="preserve"> praw socjalnych </w:t>
            </w:r>
            <w:r>
              <w:rPr>
                <w:b/>
                <w:i/>
              </w:rPr>
              <w:t>oraz Kartą praw podstawowych Unii Europejskiej</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20</w:t>
            </w:r>
            <w:r>
              <w:t xml:space="preserve"> </w:t>
            </w:r>
            <w:r>
              <w:rPr>
                <w:b/>
                <w:i/>
              </w:rPr>
              <w:t>Europejski filar praw socjalnych w 20 zasadach – Zatrudnienie, sprawy społeczne i włączenie społeczne.</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Lara Wolters, Jonás Fernández, Aurore Lalucq, Niels Fuglsang, Evelyn Regner, César Luena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Wniosek dotyczący dyrektywy Parlamentu Europejskiego i Rady zmieniającej dyrektywy (UE) 2022/2464 i (UE) 2024/1760</w:t>
            </w:r>
            <w:r>
              <w:rPr>
                <w:vertAlign w:val="superscript"/>
              </w:rPr>
              <w:t>21</w:t>
            </w:r>
            <w:r>
              <w:t xml:space="preserve">ma na celu ogólne uproszczenie i zmniejszenie obciążeń w zakresie ujawniania informacji na temat zrównoważonego rozwoju oraz ograniczenie wymogów tych dyrektyw do największych przedsiębiorstw. Ten sam cel uzasadnia ograniczenie zakresu rozporządzenia (UE) 2019/2088 do produktów finansowych związanych ze zrównoważonym rozwojem oraz do uczestników rynku finansowego, którzy wytwarzają te produkty, zarządzają nimi lub udostępniają je inwestorom. Ponadto w dyrektywie (UE) 2022/2464 określono już horyzontalne wymogi w zakresie ujawniania informacji dotyczących zrównoważonego rozwoju na poziomie podmiotu, obejmujące wszystkie sektory. W związku z tym </w:t>
            </w:r>
            <w:r>
              <w:rPr>
                <w:b/>
                <w:i/>
              </w:rPr>
              <w:t>skreślenie szczegółowych wymogów dotyczących ujawniania</w:t>
            </w:r>
            <w:r>
              <w:t xml:space="preserve"> przez uczestników rynku finansowego </w:t>
            </w:r>
            <w:r>
              <w:rPr>
                <w:b/>
                <w:i/>
              </w:rPr>
              <w:t>informacji na temat uwzględnienia przez nich niekorzystnych wpływów w decyzjach inwestycyjnych na poziomie podmiotu zagwarantuje brak powielania wymogów dotyczących ujawniania informacji dla podmiotów objętych także zakresem</w:t>
            </w:r>
            <w:r>
              <w:t xml:space="preserve"> dyrektywy (UE) 2022/2464.</w:t>
            </w:r>
          </w:p>
        </w:tc>
        <w:tc>
          <w:tcPr>
            <w:tcW w:w="4876" w:type="dxa"/>
            <w:tcBorders>
              <w:top w:val="nil"/>
              <w:left w:val="nil"/>
              <w:bottom w:val="nil"/>
              <w:right w:val="nil"/>
            </w:tcBorders>
          </w:tcPr>
          <w:p>
            <w:pPr>
              <w:pStyle w:val="Normal6a"/>
            </w:pPr>
            <w:r>
              <w:t>(10)</w:t>
            </w:r>
            <w:r>
              <w:tab/>
            </w:r>
            <w:r>
              <w:t>Wniosek dotyczący dyrektywy Parlamentu Europejskiego i Rady zmieniającej dyrektywy (UE) 2022/2464 i (UE) 2024/1760</w:t>
            </w:r>
            <w:r>
              <w:rPr>
                <w:vertAlign w:val="superscript"/>
              </w:rPr>
              <w:t>21</w:t>
            </w:r>
            <w:r>
              <w:t xml:space="preserve"> ma na celu ogólne uproszczenie i zmniejszenie obciążeń w zakresie ujawniania informacji na temat zrównoważonego rozwoju oraz ograniczenie wymogów tych dyrektyw do największych przedsiębiorstw. Ten sam cel uzasadnia ograniczenie zakresu rozporządzenia (UE) 2019/2088 do produktów finansowych związanych ze zrównoważonym rozwojem oraz do uczestników rynku finansowego, którzy wytwarzają te produkty, zarządzają nimi lub udostępniają je inwestorom. Ponadto w dyrektywie (UE) 2022/2464 określono już horyzontalne wymogi w zakresie ujawniania informacji dotyczących zrównoważonego rozwoju na poziomie podmiotu, obejmujące wszystkie sektory </w:t>
            </w:r>
            <w:r>
              <w:rPr>
                <w:b/>
                <w:i/>
              </w:rPr>
              <w:t>z wyjątkiem jednostek zarządzających inwestycjami podlegającymi obowiązkowi powierniczemu, jak określono w rozporządzeniu delegowanym Komisji (UE) 2023/2772 z dnia 31 lipca 2023 r. uzupełniającym dyrektywę Parlamentu Europejskiego i Rady 2013/34/UE w odniesieniu do standardów sprawozdawczości w zakresie zrównoważonego rozwoju.</w:t>
            </w:r>
            <w:r>
              <w:t xml:space="preserve"> </w:t>
            </w:r>
            <w:r>
              <w:rPr>
                <w:b/>
                <w:i/>
              </w:rPr>
              <w:t>Skutecznie zwalnia to większość uczestników rynku finansowego objętych zakresem niniejszego rozporządzenia z ujawniania informacji horyzontalnych na poziomie podmiotu</w:t>
            </w:r>
            <w:r>
              <w:t xml:space="preserve">. W związku z tym </w:t>
            </w:r>
            <w:r>
              <w:rPr>
                <w:b/>
                <w:i/>
              </w:rPr>
              <w:t>ograniczony zestaw ukierunkowanych informacji ujawnianych</w:t>
            </w:r>
            <w:r>
              <w:t xml:space="preserve"> przez uczestników rynku finansowego</w:t>
            </w:r>
            <w:r>
              <w:rPr>
                <w:b/>
                <w:i/>
              </w:rPr>
              <w:t>, o wysokiej wartości dla inwestora końcowego, będzie stanowił istotne uzupełnienie ograniczonego zakresu</w:t>
            </w:r>
            <w:r>
              <w:t xml:space="preserve"> dyrektywy (UE) 2022/2464.</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21</w:t>
            </w:r>
            <w:r>
              <w:t xml:space="preserve"> </w:t>
            </w:r>
            <w:r>
              <w:t>Wniosek dotyczący dyrektywy Parlamentu Europejskiego i Rady zmieniającej dyrektywy (UE) 2022/2464 i (UE) 2024/1760 w odniesieniu do dat, od których państwa członkowskie mają stosować niektóre wymogi dotyczące sprawozdawczości przedsiębiorstw w zakresie zrównoważonego rozwoju i niektóre wymogi w zakresie należytej staranności przedsiębiorstw w zakresie zrównoważonego rozwoju (COM(2025) 80 final).</w:t>
            </w:r>
          </w:p>
        </w:tc>
        <w:tc>
          <w:tcPr>
            <w:tcW w:w="4876" w:type="dxa"/>
            <w:tcBorders>
              <w:top w:val="nil"/>
              <w:left w:val="nil"/>
              <w:bottom w:val="nil"/>
              <w:right w:val="nil"/>
            </w:tcBorders>
          </w:tcPr>
          <w:p>
            <w:pPr>
              <w:pStyle w:val="Normal6a"/>
            </w:pPr>
            <w:r>
              <w:rPr>
                <w:vertAlign w:val="superscript"/>
              </w:rPr>
              <w:t>21</w:t>
            </w:r>
            <w:r>
              <w:t xml:space="preserve"> </w:t>
            </w:r>
            <w:r>
              <w:t>Wniosek dotyczący dyrektywy Parlamentu Europejskiego i Rady zmieniającej dyrektywy (UE) 2022/2464 i (UE) 2024/1760 w odniesieniu do dat, od których państwa członkowskie mają stosować niektóre wymogi dotyczące sprawozdawczości przedsiębiorstw w zakresie zrównoważonego rozwoju i niektóre wymogi w zakresie należytej staranności przedsiębiorstw w zakresie zrównoważonego rozwoju (COM(2025) 80 final).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10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Aby zapewnić uczestnikom rynku finansowego i inwestorom spójność, pewność i jasność prawa, konieczne jest dostosowanie istniejących wytycznych nadzorczych do ram ustanowionych niniejszym rozporządzeniem.</w:t>
            </w:r>
            <w:r>
              <w:t xml:space="preserve"> </w:t>
            </w:r>
            <w:r>
              <w:rPr>
                <w:b/>
                <w:i/>
              </w:rPr>
              <w:t>Biorąc pod uwagę, że niniejsze rozporządzenie wprowadza zharmonizowane kategorie produktów związanych ze zrównoważonym rozwojem wraz z wiążącymi kryteriami i przepisami dotyczącymi stosowania terminów związanych ze zrównoważonym rozwojem w nazwach produktów finansowych, cele wytycznych Europejskiego Urzędu Nadzoru Giełd i Papierów Wartościowych w sprawie stosowania terminów związanych z ESG lub zrównoważonym rozwojem w nazewnictwie funduszy</w:t>
            </w:r>
            <w:r>
              <w:rPr>
                <w:b/>
                <w:i/>
                <w:vertAlign w:val="superscript"/>
              </w:rPr>
              <w:t>21a</w:t>
            </w:r>
            <w:r>
              <w:t xml:space="preserve"> </w:t>
            </w:r>
            <w:r>
              <w:rPr>
                <w:b/>
                <w:i/>
              </w:rPr>
              <w:t>są w pełni uwzględnione w niniejszym rozporządzeniu, co zapewnia odpowiednią ochronę inwestorów.</w:t>
            </w:r>
            <w:r>
              <w:t xml:space="preserve"> </w:t>
            </w:r>
            <w:r>
              <w:rPr>
                <w:b/>
                <w:i/>
              </w:rPr>
              <w:t>Ponieważ wytyczne te zostały przyjęte w związku z brakiem takiej zharmonizowanej kategoryzacji, ich dalsze stosowanie wiązałoby się z ryzykiem nakładania się przepisów, niespójności i niepewności.</w:t>
            </w:r>
            <w:r>
              <w:t xml:space="preserve"> </w:t>
            </w:r>
            <w:r>
              <w:rPr>
                <w:b/>
                <w:i/>
              </w:rPr>
              <w:t>W związku z tym wytyczne te należy wycofać, a Komisja wraz z Europejskim Urzędem Nadzoru Giełd i Papierów Wartościowych powinna dopilnować, by uczestnicy rynku finansowego i inwestorzy zostali poinformowani terminowo i w jasny sposób o ich wycofaniu.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21a</w:t>
            </w:r>
            <w:r>
              <w:t xml:space="preserve"> </w:t>
            </w:r>
            <w:r>
              <w:rPr>
                <w:b/>
                <w:i/>
              </w:rPr>
              <w:t>https://www.esma.europa.eu/sites/default/files/2024-08/ESMA34-1592494965-657_Guidelines_on_funds_names_using_ESG_or_sustainability_related_terms_PL.pdf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Denis Nesci, Francesco Ventola, Mariateresa Vivaldini, Marco Falcone, Marco Squarta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Uczestnikom rynku finansowego nie należy zabraniać odwoływania się do pomocniczych informacji dotyczących aspektów zrównoważonego rozwoju w ujawnianych zgodnie z przepisami informacjach dotyczących produktów finansowych, nawet jeśli nie są one sklasyfikowane jako produkty finansowe związane ze zrównoważonym rozwojem. Takie informacje powinny być rzetelne, jasne i niewprowadzające w błąd. Aby jednak chronić inwestorów i wyraźnie rozróżniać między niesklasyfikowanymi i sklasyfikowanymi produktami finansowymi, takie informacje nie powinny stanowić w ramach ujawnianych informacji eksponowanego elementu i nie powinny być umieszczane w nazwie takich produktów finansowych ani w dotyczących ich komunikatach marketingowych. Ponadto w przypadku produktów finansowych sklasyfikowanych jako produkty finansowe związane ze zrównoważonym rozwojem uczestnicy rynku finansowego powinni zapewnić, aby twierdzenia zawarte w dokumentacji regulacyjnej, marketingowej i w nazwach ich produktów finansowych związanych ze zrównoważonym rozwojem były zgodne z kategorią, do której należą, oraz z ich strategiami.</w:t>
            </w:r>
          </w:p>
        </w:tc>
        <w:tc>
          <w:tcPr>
            <w:tcW w:w="4876" w:type="dxa"/>
            <w:tcBorders>
              <w:top w:val="nil"/>
              <w:left w:val="nil"/>
              <w:bottom w:val="nil"/>
              <w:right w:val="nil"/>
            </w:tcBorders>
          </w:tcPr>
          <w:p>
            <w:pPr>
              <w:pStyle w:val="Normal6a"/>
            </w:pPr>
            <w:r>
              <w:t>(11)</w:t>
            </w:r>
            <w:r>
              <w:tab/>
            </w:r>
            <w:r>
              <w:t xml:space="preserve">Uczestnikom rynku finansowego nie należy zabraniać odwoływania się do pomocniczych informacji dotyczących aspektów zrównoważonego rozwoju w ujawnianych zgodnie z przepisami informacjach dotyczących produktów finansowych, nawet jeśli nie są one sklasyfikowane jako produkty finansowe związane ze zrównoważonym rozwojem. Takie informacje powinny być rzetelne, jasne i niewprowadzające w błąd. </w:t>
            </w:r>
            <w:r>
              <w:rPr>
                <w:b/>
                <w:i/>
              </w:rPr>
              <w:t>Informacje dotyczące uwzględniania lub włączenia czynników zrównoważonego rozwoju, w tym, w stosownych przypadkach, informacje na temat wyłączeń, strategii zaangażowania lub innych cech związanych ze zrównoważonym rozwojem, nie powinny same w sobie być uznawane za oświadczenie dotyczące zrównoważonego rozwoju w rozumieniu art. 7, 8 lub 9, pod warunkiem że pozostają ograniczone i oparte na faktach oraz nie mają charakteru promocyjnego.</w:t>
            </w:r>
            <w:r>
              <w:t xml:space="preserve"> </w:t>
            </w:r>
            <w:r>
              <w:rPr>
                <w:b/>
                <w:i/>
              </w:rPr>
              <w:t>Rozróżnienie między niesklasyfikowanymi i sklasyfikowanymi produktami finansowymi powinno zatem opierać się na zgodności z kryteriami określonymi w niniejszym rozporządzeniu i na powiązanym oświadczeniu, a nie na charakterze ujawnianych informacji związanych ze zrównoważonym rozwojem.</w:t>
            </w:r>
            <w:r>
              <w:t xml:space="preserve"> Aby jednak chronić inwestorów i wyraźnie rozróżniać między niesklasyfikowanymi i sklasyfikowanymi produktami finansowymi, takie informacje nie powinny stanowić w ramach ujawnianych informacji eksponowanego elementu i nie powinny być umieszczane w nazwie takich produktów finansowych ani w dotyczących ich komunikatach marketingowych</w:t>
            </w:r>
            <w:r>
              <w:rPr>
                <w:b/>
                <w:i/>
              </w:rPr>
              <w:t>.</w:t>
            </w:r>
            <w:r>
              <w:t xml:space="preserve"> </w:t>
            </w:r>
            <w:r>
              <w:rPr>
                <w:b/>
                <w:i/>
              </w:rPr>
              <w:t>W przypadku gdy takie informacje są przekazywane w odniesieniu do produktów finansowych niesklasyfikowanych jako produkty finansowe związane ze zrównoważonym rozwojem, musi im towarzyszyć jasne i wyraźne oświadczenie, że dany produkt nie należy do żadnej kategorii produktów finansowych związanych ze zrównoważonym rozwojem w rozumieniu niniejszego rozporządzenia.</w:t>
            </w:r>
            <w:r>
              <w:t xml:space="preserve"> </w:t>
            </w:r>
            <w:r>
              <w:rPr>
                <w:b/>
                <w:i/>
              </w:rPr>
              <w:t>Odniesień do uwzględniania ryzyk dla zrównoważonego rozwoju w rozumieniu art. 6a nie należy uznawać za oświadczenia dotyczące zrównoważonego rozwoju jako takie</w:t>
            </w:r>
            <w:r>
              <w:t>. Ponadto w przypadku produktów finansowych sklasyfikowanych jako produkty finansowe związane ze zrównoważonym rozwojem uczestnicy rynku finansowego powinni zapewnić, aby twierdzenia zawarte w dokumentacji regulacyjnej, marketingowej i w nazwach ich produktów finansowych związanych ze zrównoważonym rozwojem były zgodne z kategorią, do której należą, oraz z ich strategiami.</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Lara Wolters, Jonás Fernández, Aurore Lalucq, Niels Fuglsang, Evelyn Regner, César Luena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Uczestnikom rynku finansowego nie należy zabraniać odwoływania się do pomocniczych informacji dotyczących aspektów zrównoważonego rozwoju w ujawnianych zgodnie z przepisami informacjach dotyczących produktów finansowych, nawet jeśli nie są one sklasyfikowane jako produkty finansowe związane ze zrównoważonym rozwojem. Takie informacje powinny być rzetelne, jasne i niewprowadzające w błąd. Aby jednak chronić inwestorów i wyraźnie rozróżniać między niesklasyfikowanymi i sklasyfikowanymi produktami finansowymi, takie informacje nie powinny stanowić w ramach ujawnianych informacji eksponowanego elementu i nie powinny być umieszczane w nazwie takich produktów finansowych ani w dotyczących ich komunikatach marketingowych. Ponadto w przypadku produktów finansowych sklasyfikowanych jako produkty finansowe związane ze zrównoważonym rozwojem uczestnicy rynku finansowego powinni zapewnić, aby twierdzenia zawarte w dokumentacji regulacyjnej, marketingowej i w nazwach ich produktów finansowych związanych ze zrównoważonym rozwojem były zgodne z kategorią, do której należą, oraz z ich strategiami.</w:t>
            </w:r>
          </w:p>
        </w:tc>
        <w:tc>
          <w:tcPr>
            <w:tcW w:w="4876" w:type="dxa"/>
            <w:tcBorders>
              <w:top w:val="nil"/>
              <w:left w:val="nil"/>
              <w:bottom w:val="nil"/>
              <w:right w:val="nil"/>
            </w:tcBorders>
          </w:tcPr>
          <w:p>
            <w:pPr>
              <w:pStyle w:val="Normal6a"/>
            </w:pPr>
            <w:r>
              <w:t>(11)</w:t>
            </w:r>
            <w:r>
              <w:tab/>
            </w:r>
            <w:r>
              <w:t xml:space="preserve">Uczestnikom rynku finansowego nie należy zabraniać odwoływania się do pomocniczych informacji dotyczących aspektów zrównoważonego rozwoju w ujawnianych zgodnie z przepisami informacjach dotyczących produktów finansowych, nawet jeśli nie są one sklasyfikowane jako produkty finansowe związane ze zrównoważonym rozwojem. Takie informacje powinny być rzetelne, jasne i niewprowadzające w błąd. Aby jednak chronić inwestorów i wyraźnie rozróżniać między niesklasyfikowanymi i sklasyfikowanymi produktami finansowymi, takie informacje nie powinny stanowić w ramach ujawnianych informacji eksponowanego elementu i nie powinny być umieszczane w nazwie takich produktów finansowych ani w dotyczących ich komunikatach marketingowych. </w:t>
            </w:r>
            <w:r>
              <w:rPr>
                <w:b/>
                <w:i/>
              </w:rPr>
              <w:t>Aby zapewnić odpowiednią przejrzystość i porównywalność produktów sklasyfikowanych i niesklasyfikowanych, uczestnicy rynku finansowego powinni zamieścić wyraźne zastrzeżenie prawne dotyczące ich produktów niesklasyfikowanych.</w:t>
            </w:r>
            <w:r>
              <w:t xml:space="preserve"> Ponadto w przypadku produktów finansowych sklasyfikowanych jako produkty finansowe związane ze zrównoważonym rozwojem uczestnicy rynku finansowego powinni zapewnić, aby twierdzenia zawarte w dokumentacji regulacyjnej, marketingowej i w nazwach ich produktów finansowych związanych ze zrównoważonym rozwojem były zgodne z kategorią, do której należą, oraz z ich strategiami.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11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W ramach oznakowania produktów finansowych promujących pozytywne elementy zrównoważonego rozwoju lub pozytywny wpływ na zrównoważony rozwój, a także wykluczających ryzyko dla zrównoważonego rozwoju, równie ważne jest, aby inwestorzy, zwłaszcza inwestorzy detaliczni, wiedzieli, czy z produktami finansowymi wiąże się ryzyko dla zrównoważonego rozwoju.</w:t>
            </w:r>
            <w:r>
              <w:t xml:space="preserve"> </w:t>
            </w:r>
            <w:r>
              <w:rPr>
                <w:b/>
                <w:i/>
              </w:rPr>
              <w:t>W związku z tym uczestnicy rynku finansowego odpowiedzialni za produkty finansowe muszą uwzględnić informacje również na temat brakującej oceny zrównoważonego rozwoju lub ewentualnych ryzyk ESG związanych z produktami zarówno na poziomie informacji o produkcie, jak i w sprawozdawczości rocznej.</w:t>
            </w:r>
            <w:r>
              <w:t xml:space="preserve"> </w:t>
            </w:r>
            <w:r>
              <w:rPr>
                <w:b/>
                <w:i/>
              </w:rPr>
              <w:t>Oznakowanie ostrzegawcze na poziomie produktu umożliwiłoby inwestorom detalicznym i konsumentom uzyskanie informacji na temat istotnego ryzyka finansowego związanego z aktywami osieroconymi, a także skumulowanego ryzyka związanego z inwestycjami wynikającego z niezidentyfikowanych ryzyk dla zrównoważonego rozwoju.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Angelika Winzig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Informacje zwrotne otrzymane podczas ukierunkowanych i otwartych konsultacji publicznych, warsztatów technicznych i obrad okrągłego stołu, a także sprawozdania grup ekspertów Komisji i odpowiedzi udzielone w kontekście zaproszenia do zgłaszania dowodów, jak również dowody dotyczące preferencji inwestorów uzyskane w różnych badaniach konsumenckich wskazują, że istnieje potrzeba ustanowienia unijnych kategorii produktów, w odniesieniu do których wysuwane są twierdzenia dotyczące zrównoważonego rozwoju. Kategorie takie są potrzebne, aby zaradzić obecnemu niewłaściwemu ujawnianiu informacji na podstawie art. 8 i 9 oraz aby zharmonizować na szczeblu UE praktyki wdrożeniowe i nadzorcze dotyczące produktów, w odniesieniu do których wysuwane są twierdzenia dotyczące zrównoważonego rozwoju. Kategorie te powinny opierać się na jasnych kryteriach, aby przeciwdziałać pseudoekologicznemu marketingowi, ułatwiać inwestorom końcowym zrozumienie strategii i celów związanych ze zrównoważonym rozwojem przewidzianych dla danych produktów oraz umożliwiać sprawne funkcjonowanie systemu dystrybucji w oparciu o preferencje inwestorów w zakresie zrównoważonego rozwoju. Informacje zwrotne wskazują na potrzebę utworzenia trzech kategorii, które należy rozróżnić pod względem twierdzeń wysuwanych w odniesieniu do produktów. Kategoria inwestycji w zrównoważony rozwój powinna obejmować produkty, w odniesieniu do których deklaruje się inwestowanie w przedsiębiorstwa, aktywa, działania lub projekty, które są już zrównoważone lub realizują określony cel związany z czynnikami zrównoważonego rozwoju, w tym cele środowiskowe lub społeczne. Kategoria inwestycji w transformację powinna obejmować produkty, w odniesieniu do których deklaruje się inwestowanie w przedsiębiorstwa, aktywa, działania lub projekty, które są na wiarygodnej drodze do osiągnięcia zrównoważonego rozwoju lub które realizują określone cele środowiskowe lub społeczne związane z transformacją. Kategoria inwestycji </w:t>
            </w:r>
            <w:r>
              <w:rPr>
                <w:b/>
                <w:i/>
              </w:rPr>
              <w:t>o podstawowych cechach</w:t>
            </w:r>
            <w:r>
              <w:t xml:space="preserve"> ESG powinna obejmować produkty, w odniesieniu do których deklaruje się uwzględnienie w strategii inwestycyjnej innych kwestii zrównoważonego rozwoju, wykraczających poza ryzyka dla zrównoważonego rozwoju. Podejście to jest również spójne z najnowszymi wytycznymi regulacyjnymi Europejskiego Urzędu Nadzoru Giełd i Papierów Wartościowych</w:t>
            </w:r>
            <w:r>
              <w:rPr>
                <w:vertAlign w:val="superscript"/>
              </w:rPr>
              <w:t>22</w:t>
            </w:r>
            <w:r>
              <w:t>. Te twierdzenia dotyczące produktów finansowych są zgodne z pojęciem „twierdzeń dotyczących ekologiczności” w rozumieniu dyrektywy 2005/29/WE</w:t>
            </w:r>
            <w:r>
              <w:rPr>
                <w:vertAlign w:val="superscript"/>
              </w:rPr>
              <w:t>23</w:t>
            </w:r>
            <w:r>
              <w:t>(dyrektywa o nieuczciwych praktykach handlowych, zmieniona dyrektywą (UE) 2024/825 w odniesieniu do wzmocnienia pozycji konsumentów w procesie transformacji ekologicznej</w:t>
            </w:r>
            <w:r>
              <w:rPr>
                <w:vertAlign w:val="superscript"/>
              </w:rPr>
              <w:t>24</w:t>
            </w:r>
            <w:r>
              <w:t>). Zgodnie z art. 3 ust. 4 dyrektywy 2005/29/WE wymogi wynikające z tej dyrektywy są spełnione poprzez właściwe stosowanie wymogów niniejszego rozporządzenia.</w:t>
            </w:r>
          </w:p>
        </w:tc>
        <w:tc>
          <w:tcPr>
            <w:tcW w:w="4876" w:type="dxa"/>
            <w:tcBorders>
              <w:top w:val="nil"/>
              <w:left w:val="nil"/>
              <w:bottom w:val="nil"/>
              <w:right w:val="nil"/>
            </w:tcBorders>
          </w:tcPr>
          <w:p>
            <w:pPr>
              <w:pStyle w:val="Normal6a"/>
            </w:pPr>
            <w:r>
              <w:t>(12)</w:t>
            </w:r>
            <w:r>
              <w:tab/>
            </w:r>
            <w:r>
              <w:t xml:space="preserve">Informacje zwrotne otrzymane podczas ukierunkowanych i otwartych konsultacji publicznych, warsztatów technicznych i obrad okrągłego stołu, a także sprawozdania grup ekspertów Komisji i odpowiedzi udzielone w kontekście zaproszenia do zgłaszania dowodów, jak również dowody dotyczące preferencji inwestorów uzyskane w różnych badaniach konsumenckich wskazują, że istnieje potrzeba ustanowienia unijnych kategorii produktów, w odniesieniu do których wysuwane są twierdzenia dotyczące zrównoważonego rozwoju. Kategorie takie są potrzebne, aby zaradzić obecnemu niewłaściwemu ujawnianiu informacji na podstawie art. 8 i 9 oraz aby zharmonizować na szczeblu UE praktyki wdrożeniowe i nadzorcze dotyczące produktów, w odniesieniu do których wysuwane są twierdzenia dotyczące zrównoważonego rozwoju. Kategorie te powinny opierać się na jasnych kryteriach, aby przeciwdziałać pseudoekologicznemu marketingowi, ułatwiać inwestorom końcowym zrozumienie strategii i celów związanych ze zrównoważonym rozwojem przewidzianych dla danych produktów oraz umożliwiać sprawne funkcjonowanie systemu dystrybucji w oparciu o preferencje inwestorów w zakresie zrównoważonego rozwoju. Informacje zwrotne wskazują na potrzebę utworzenia trzech kategorii, które należy rozróżnić pod względem twierdzeń wysuwanych w odniesieniu do produktów. Kategoria inwestycji w zrównoważony rozwój powinna obejmować produkty, w odniesieniu do których deklaruje się inwestowanie w przedsiębiorstwa, aktywa, działania lub projekty, które są już zrównoważone lub realizują określony cel związany z czynnikami zrównoważonego rozwoju, w tym cele środowiskowe lub społeczne. Kategoria inwestycji w transformację powinna obejmować produkty, w odniesieniu do których deklaruje się inwestowanie w przedsiębiorstwa, aktywa, działania lub projekty, które są na wiarygodnej drodze do osiągnięcia zrównoważonego rozwoju lub które realizują określone cele środowiskowe lub społeczne związane z transformacją. Kategoria inwestycji </w:t>
            </w:r>
            <w:r>
              <w:rPr>
                <w:b/>
                <w:i/>
              </w:rPr>
              <w:t>integrujących</w:t>
            </w:r>
            <w:r>
              <w:t xml:space="preserve"> ESG powinna obejmować produkty, w odniesieniu do których deklaruje się uwzględnienie w strategii inwestycyjnej innych kwestii zrównoważonego rozwoju, wykraczających poza ryzyka dla zrównoważonego rozwoju. Podejście to jest również spójne z najnowszymi wytycznymi regulacyjnymi Europejskiego Urzędu Nadzoru Giełd i Papierów Wartościowych</w:t>
            </w:r>
            <w:r>
              <w:rPr>
                <w:vertAlign w:val="superscript"/>
              </w:rPr>
              <w:t>22</w:t>
            </w:r>
            <w:r>
              <w:t>. Te twierdzenia dotyczące produktów finansowych są zgodne z pojęciem „twierdzeń dotyczących ekologiczności” w rozumieniu dyrektywy 2005/29/WE</w:t>
            </w:r>
            <w:r>
              <w:rPr>
                <w:vertAlign w:val="superscript"/>
              </w:rPr>
              <w:t>23</w:t>
            </w:r>
            <w:r>
              <w:t xml:space="preserve"> (dyrektywa o nieuczciwych praktykach handlowych, zmieniona dyrektywą (UE) 2024/825 w odniesieniu do wzmocnienia pozycji konsumentów w procesie transformacji ekologicznej</w:t>
            </w:r>
            <w:r>
              <w:rPr>
                <w:vertAlign w:val="superscript"/>
              </w:rPr>
              <w:t>24</w:t>
            </w:r>
            <w:r>
              <w:t>). Zgodnie z art. 3 ust. 4 dyrektywy 2005/29/WE wymogi wynikające z tej dyrektywy są spełnione poprzez właściwe stosowanie wymogów niniejszego rozporządzenia.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22</w:t>
            </w:r>
            <w:r>
              <w:t xml:space="preserve"> </w:t>
            </w:r>
            <w:r>
              <w:t>ESMA, Wytyczne z dnia 21 sierpnia 2024 r. w sprawie wykorzystywania w nazwach funduszy terminów ESG lub terminów związanych ze zrównoważonym rozwojem, ESMA34-1592494965-657.</w:t>
            </w:r>
          </w:p>
        </w:tc>
        <w:tc>
          <w:tcPr>
            <w:tcW w:w="4876" w:type="dxa"/>
            <w:tcBorders>
              <w:top w:val="nil"/>
              <w:left w:val="nil"/>
              <w:bottom w:val="nil"/>
              <w:right w:val="nil"/>
            </w:tcBorders>
          </w:tcPr>
          <w:p>
            <w:pPr>
              <w:pStyle w:val="Normal6a"/>
            </w:pPr>
            <w:r>
              <w:rPr>
                <w:vertAlign w:val="superscript"/>
              </w:rPr>
              <w:t>22</w:t>
            </w:r>
            <w:r>
              <w:t xml:space="preserve"> </w:t>
            </w:r>
            <w:r>
              <w:t>ESMA, Wytyczne z dnia 21 sierpnia 2024 r. w sprawie wykorzystywania w nazwach funduszy terminów ESG lub terminów związanych ze zrównoważonym rozwojem, ESMA34-1592494965-657.</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23</w:t>
            </w:r>
            <w:r>
              <w:t xml:space="preserve"> </w:t>
            </w:r>
            <w:r>
              <w:t>Dyrektywa 2005/29/WE Parlamentu Europejskiego i Rady z dnia 11 maja 2005 r. dotycząca nieuczciwych praktyk handlowych stosowanych przez przedsiębiorstwa wobec konsumentów na rynku wewnętrznym oraz zmieniająca dyrektywę Rady 84/450/EWG, dyrektywy 97/7/WE, 98/27/WE i 2002/65/WE Parlamentu Europejskiego i Rady oraz rozporządzenie (WE) nr 2006/2004 Parlamentu Europejskiego i Rady (dyrektywa o nieuczciwych praktykach handlowych) (Dz.U. L 149 z 11.6.2005, ELI: http://data.europa.eu/eli/dir/2005/29/oj)</w:t>
            </w:r>
            <w:r>
              <w:rPr>
                <w:b/>
                <w:i/>
              </w:rPr>
              <w:t>.</w:t>
            </w:r>
          </w:p>
        </w:tc>
        <w:tc>
          <w:tcPr>
            <w:tcW w:w="4876" w:type="dxa"/>
            <w:tcBorders>
              <w:top w:val="nil"/>
              <w:left w:val="nil"/>
              <w:bottom w:val="nil"/>
              <w:right w:val="nil"/>
            </w:tcBorders>
          </w:tcPr>
          <w:p>
            <w:pPr>
              <w:pStyle w:val="Normal6a"/>
            </w:pPr>
            <w:r>
              <w:rPr>
                <w:vertAlign w:val="superscript"/>
              </w:rPr>
              <w:t>23</w:t>
            </w:r>
            <w:r>
              <w:t xml:space="preserve"> </w:t>
            </w:r>
            <w:r>
              <w:t>Dyrektywa 2005/29/WE Parlamentu Europejskiego i Rady z dnia 11 maja 2005 r. dotycząca nieuczciwych praktyk handlowych stosowanych przez przedsiębiorstwa wobec konsumentów na rynku wewnętrznym oraz zmieniająca dyrektywę Rady 84/450/EWG, dyrektywy 97/7/WE, 98/27/WE i 2002/65/WE Parlamentu Europejskiego i Rady oraz rozporządzenie (WE) nr 2006/2004 Parlamentu Europejskiego i Rady (</w:t>
            </w:r>
            <w:r>
              <w:rPr>
                <w:b/>
                <w:i/>
              </w:rPr>
              <w:t>„</w:t>
            </w:r>
            <w:r>
              <w:t>Dyrektywa o nieuczciwych praktykach handlowych</w:t>
            </w:r>
            <w:r>
              <w:rPr>
                <w:b/>
                <w:i/>
              </w:rPr>
              <w:t>”</w:t>
            </w:r>
            <w:r>
              <w:t>)</w:t>
            </w:r>
            <w:r>
              <w:rPr>
                <w:b/>
                <w:i/>
              </w:rPr>
              <w:t>,</w:t>
            </w:r>
            <w:r>
              <w:t xml:space="preserve"> (Dz.U. L 149 z 11.6.2005, ELI: http://data.europa.eu/eli/dir/2005/29/oj)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24</w:t>
            </w:r>
            <w:r>
              <w:t xml:space="preserve"> </w:t>
            </w:r>
            <w:r>
              <w:t>Dyrektywa Parlamentu Europejskiego i Rady (UE) 2024/825 z dnia 28 lutego 2024 r. w sprawie zmiany dyrektyw 2005/29/WE i 2011/83/UE w odniesieniu do wzmocnienia pozycji konsumentów w procesie transformacji ekologicznej poprzez lepszą ochronę przed nieuczciwymi praktykami oraz lepsze informowanie (Dz.U. L</w:t>
            </w:r>
            <w:r>
              <w:rPr>
                <w:b/>
                <w:i/>
              </w:rPr>
              <w:t>,</w:t>
            </w:r>
            <w:r>
              <w:t xml:space="preserve"> 2024/825, 6.3.2024, ELI: http://data.europa.eu/eli/dir/2024/825/oj)</w:t>
            </w:r>
            <w:r>
              <w:rPr>
                <w:b/>
                <w:i/>
              </w:rPr>
              <w:t>.</w:t>
            </w:r>
          </w:p>
        </w:tc>
        <w:tc>
          <w:tcPr>
            <w:tcW w:w="4876" w:type="dxa"/>
            <w:tcBorders>
              <w:top w:val="nil"/>
              <w:left w:val="nil"/>
              <w:bottom w:val="nil"/>
              <w:right w:val="nil"/>
            </w:tcBorders>
          </w:tcPr>
          <w:p>
            <w:pPr>
              <w:pStyle w:val="Normal6a"/>
            </w:pPr>
            <w:r>
              <w:rPr>
                <w:vertAlign w:val="superscript"/>
              </w:rPr>
              <w:t>24</w:t>
            </w:r>
            <w:r>
              <w:t xml:space="preserve"> </w:t>
            </w:r>
            <w:r>
              <w:t>Dyrektywa Parlamentu Europejskiego i Rady (UE) 2024/825 z dnia 28 lutego 2024 r. w sprawie zmiany dyrektyw 2005/29/WE i 2011/83/UE w odniesieniu do wzmocnienia pozycji konsumentów w procesie transformacji ekologicznej poprzez lepszą ochronę przed nieuczciwymi praktykami oraz lepsze informowanie (Dz.U. L 2024/825, 6.3.2024, ELI: http://data.europa.eu/eli/dir/2024/825/oj)</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Zmiana nazwy kategorii z „o podstawowych cechach ESG” na „integrujące ESG” zastępuje nieopłacalną z handlowego punktu widzenia i potencjalnie szkodliwą etykietę ustaloną na całym świecie standardową terminologią branżową dotyczącą tej praktyki.</w:t>
      </w:r>
      <w:r>
        <w:t xml:space="preserve"> </w:t>
      </w:r>
      <w:r>
        <w:t>Zmiana gwarantuje, że kategoria dokładnie odzwierciedla profesjonalne, systematyczne włączanie ryzyka dla zrównoważonego rozwoju do tradycyjnej analizy finansowej bez stwarzania niezamierzonej szkody dla reputacji producentów.</w:t>
      </w:r>
    </w:p>
    <w:p>
      <w:r>
        <w:rPr>
          <w:rStyle w:val="HideTWBExt"/>
        </w:rPr>
        <w:t>&lt;/Amend&gt;</w:t>
      </w:r>
    </w:p>
    <w:p>
      <w:pPr>
        <w:pStyle w:val="AmNumberTabs"/>
      </w:pPr>
      <w:r>
        <w:rPr>
          <w:rStyle w:val="HideTWBExt"/>
        </w:rPr>
        <w:t>&lt;Amend&gt;</w:t>
      </w:r>
      <w:r>
        <w:t>Poprawka</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Denis Nesci, Francesco Ventola, Mariateresa Vivaldini, Marco Falcone, Marco Squarta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12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Wyłączenie doradztwa inwestycyjnego i zarządzania portfelem z zakresu stosowania niniejszego rozporządzenia powinno pozostawać bez uszczerbku dla zdolności firm inwestycyjnych do oferowania i rekomendowania instrumentów finansowych lub usług finansowych z uwzględnieniem czynników zrównoważonego rozwoju w celu spełnienia preferencji klientów w zakresie zrównoważonego rozwoju.</w:t>
            </w:r>
            <w:r>
              <w:t xml:space="preserve"> </w:t>
            </w:r>
            <w:r>
              <w:rPr>
                <w:b/>
                <w:i/>
              </w:rPr>
              <w:t>Firmy inwestycyjne mogą zatem nadal uwzględniać, w odniesieniu do usług inwestycyjnych, takich jak zarządzanie portfelem i doradztwo inwestycyjne, inne instrumenty finansowe, w tym zbywalne papiery wartościowe i instrumenty rynku pieniężnego, zdefiniowane w sekcji C załącznika I do dyrektywy 2014/65/UE, które gwarantują poszanowanie kryteriów środowiskowych, społecznych lub dotyczących zarządzania.</w:t>
            </w:r>
            <w:r>
              <w:t xml:space="preserve"> </w:t>
            </w:r>
            <w:r>
              <w:rPr>
                <w:b/>
                <w:i/>
              </w:rPr>
              <w:t>Nazwa i wprowadzanie do obrotu muszą być rzetelne, jasne i niewprowadzające w błąd.</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Denis Nesci, Francesco Ventola, Mariateresa Vivaldini, Marco Falcone, Marco Squarta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Takie kategorie powinny pomóc dystrybutorom w identyfikacji produktów, które odpowiadają preferencjom ich klientów w zakresie zrównoważonego rozwoju, oraz w przeprowadzeniu oceny rynku docelowego, a zatem powinny </w:t>
            </w:r>
            <w:r>
              <w:rPr>
                <w:b/>
                <w:i/>
              </w:rPr>
              <w:t>zostać odzwierciedlone w przepisach</w:t>
            </w:r>
            <w:r>
              <w:t xml:space="preserve"> mających zastosowanie </w:t>
            </w:r>
            <w:r>
              <w:rPr>
                <w:b/>
                <w:i/>
              </w:rPr>
              <w:t>na podstawie</w:t>
            </w:r>
            <w:r>
              <w:t xml:space="preserve"> rozporządzenia delegowanego </w:t>
            </w:r>
            <w:r>
              <w:rPr>
                <w:b/>
                <w:i/>
              </w:rPr>
              <w:t>Komisji</w:t>
            </w:r>
            <w:r>
              <w:t xml:space="preserve"> (UE) 2017/565</w:t>
            </w:r>
            <w:r>
              <w:rPr>
                <w:b/>
                <w:i/>
                <w:vertAlign w:val="superscript"/>
              </w:rPr>
              <w:t>25</w:t>
            </w:r>
            <w:r>
              <w:rPr>
                <w:b/>
                <w:i/>
              </w:rPr>
              <w:t>, rozporządzenia delegowanego</w:t>
            </w:r>
            <w:r>
              <w:t xml:space="preserve"> Komisji (UE) 2017/593</w:t>
            </w:r>
            <w:r>
              <w:rPr>
                <w:b/>
                <w:i/>
                <w:vertAlign w:val="superscript"/>
              </w:rPr>
              <w:t>26</w:t>
            </w:r>
            <w:r>
              <w:t>oraz rozporządzeń delegowanych Komisji (UE) 2017/2358</w:t>
            </w:r>
            <w:r>
              <w:rPr>
                <w:b/>
                <w:i/>
                <w:vertAlign w:val="superscript"/>
              </w:rPr>
              <w:t>27</w:t>
            </w:r>
            <w:r>
              <w:t>i (UE) 2017/2359</w:t>
            </w:r>
            <w:r>
              <w:rPr>
                <w:b/>
                <w:i/>
                <w:vertAlign w:val="superscript"/>
              </w:rPr>
              <w:t>28</w:t>
            </w:r>
            <w:r>
              <w:rPr>
                <w:b/>
                <w:i/>
              </w:rPr>
              <w:t>.</w:t>
            </w:r>
            <w:r>
              <w:t xml:space="preserve"> </w:t>
            </w:r>
            <w:r>
              <w:rPr>
                <w:b/>
                <w:i/>
              </w:rPr>
              <w:t>Zapewni</w:t>
            </w:r>
            <w:r>
              <w:t xml:space="preserve"> to inwestorom końcowym jasne zrozumienie </w:t>
            </w:r>
            <w:r>
              <w:rPr>
                <w:b/>
                <w:i/>
              </w:rPr>
              <w:t>głównych</w:t>
            </w:r>
            <w:r>
              <w:t xml:space="preserve"> cech i założeń produktów związanych ze zrównoważonym rozwojem.</w:t>
            </w:r>
          </w:p>
        </w:tc>
        <w:tc>
          <w:tcPr>
            <w:tcW w:w="4876" w:type="dxa"/>
            <w:tcBorders>
              <w:top w:val="nil"/>
              <w:left w:val="nil"/>
              <w:bottom w:val="nil"/>
              <w:right w:val="nil"/>
            </w:tcBorders>
          </w:tcPr>
          <w:p>
            <w:pPr>
              <w:pStyle w:val="Normal6a"/>
            </w:pPr>
            <w:r>
              <w:t>(13)</w:t>
            </w:r>
            <w:r>
              <w:tab/>
            </w:r>
            <w:r>
              <w:t xml:space="preserve">Takie kategorie powinny pomóc dystrybutorom w identyfikacji produktów, które odpowiadają preferencjom ich klientów w zakresie zrównoważonego rozwoju, oraz w przeprowadzeniu oceny rynku docelowego, a zatem powinny </w:t>
            </w:r>
            <w:r>
              <w:rPr>
                <w:b/>
                <w:i/>
              </w:rPr>
              <w:t>być transponowane do przepisów</w:t>
            </w:r>
            <w:r>
              <w:t xml:space="preserve"> mających zastosowanie </w:t>
            </w:r>
            <w:r>
              <w:rPr>
                <w:b/>
                <w:i/>
              </w:rPr>
              <w:t>w rozumieniu</w:t>
            </w:r>
            <w:r>
              <w:t xml:space="preserve"> rozporządzenia delegowanego (UE) 2017/565</w:t>
            </w:r>
            <w:r>
              <w:rPr>
                <w:b/>
                <w:i/>
                <w:vertAlign w:val="superscript"/>
              </w:rPr>
              <w:t>70</w:t>
            </w:r>
            <w:r>
              <w:t xml:space="preserve"> </w:t>
            </w:r>
            <w:r>
              <w:rPr>
                <w:b/>
                <w:i/>
              </w:rPr>
              <w:t>, dyrektywy delegowanej</w:t>
            </w:r>
            <w:r>
              <w:t xml:space="preserve"> Komisji (UE) 2017/593</w:t>
            </w:r>
            <w:r>
              <w:rPr>
                <w:b/>
                <w:i/>
                <w:vertAlign w:val="superscript"/>
              </w:rPr>
              <w:t>71</w:t>
            </w:r>
            <w:r>
              <w:rPr>
                <w:b/>
                <w:i/>
              </w:rPr>
              <w:t> </w:t>
            </w:r>
            <w:r>
              <w:t>oraz rozporządzeń delegowanych Komisji (UE) 2017/2358</w:t>
            </w:r>
            <w:r>
              <w:rPr>
                <w:b/>
                <w:i/>
                <w:vertAlign w:val="superscript"/>
              </w:rPr>
              <w:t>72</w:t>
            </w:r>
            <w:r>
              <w:rPr>
                <w:b/>
                <w:i/>
              </w:rPr>
              <w:t> </w:t>
            </w:r>
            <w:r>
              <w:t>i (UE) 2017/2359</w:t>
            </w:r>
            <w:r>
              <w:rPr>
                <w:b/>
                <w:i/>
                <w:vertAlign w:val="superscript"/>
              </w:rPr>
              <w:t>73</w:t>
            </w:r>
            <w:r>
              <w:rPr>
                <w:b/>
                <w:i/>
              </w:rPr>
              <w:t>.</w:t>
            </w:r>
            <w:r>
              <w:t xml:space="preserve"> </w:t>
            </w:r>
            <w:r>
              <w:rPr>
                <w:b/>
                <w:i/>
              </w:rPr>
              <w:t>Zapewniłoby</w:t>
            </w:r>
            <w:r>
              <w:t xml:space="preserve"> to inwestorom końcowym jasne zrozumienie </w:t>
            </w:r>
            <w:r>
              <w:rPr>
                <w:b/>
                <w:i/>
              </w:rPr>
              <w:t>kluczowych</w:t>
            </w:r>
            <w:r>
              <w:t xml:space="preserve"> cech i założeń produktów związanych ze zrównoważonym rozwojem. </w:t>
            </w:r>
            <w:r>
              <w:rPr>
                <w:b/>
                <w:i/>
              </w:rPr>
              <w:t>Ponadto zasady dotyczące dystrybucji zawarte w tych aktach delegowanych powinny gwarantować należyte uwzględnienie rozróżnienia między kategoryzowanymi i niekategoryzowanymi produktami finansowymi przy ocenie preferencji klientów w zakresie zrównoważonego rozwoju oraz celów rynku docelowego w zakresie zrównoważonego rozwoju.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25</w:t>
            </w:r>
            <w:r>
              <w:t xml:space="preserve"> </w:t>
            </w:r>
            <w:r>
              <w:rPr>
                <w:b/>
                <w:i/>
              </w:rPr>
              <w:t>Rozporządzenie delegowane Komisji (UE) 2017/565 z dnia 25 kwietnia 2016 r. uzupełniające dyrektywę Parlamentu Europejskiego i Rady 2014/65/UE w odniesieniu do wymogów organizacyjnych i warunków prowadzenia działalności przez firmy inwestycyjne oraz pojęć zdefiniowanych na potrzeby tej dyrektywy (Dz.U.</w:t>
            </w:r>
            <w:r>
              <w:t xml:space="preserve"> </w:t>
            </w:r>
            <w:r>
              <w:rPr>
                <w:b/>
                <w:i/>
              </w:rPr>
              <w:t>L 87 z 31.3.2017, ELI: http://data.europa.eu/eli/reg_del/2017/565/oj).</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26</w:t>
            </w:r>
            <w:r>
              <w:t xml:space="preserve"> </w:t>
            </w:r>
            <w:r>
              <w:rPr>
                <w:b/>
                <w:i/>
              </w:rPr>
              <w:t>Dyrektywa delegowana Komisji (UE) 2017/593 z dnia 7 kwietnia 2016 r. uzupełniająca dyrektywę Parlamentu Europejskiego i Rady 2014/65/UE w odniesieniu do zabezpieczenia instrumentów finansowych i środków pieniężnych należących do klientów, zobowiązań w zakresie zarządzania produktami oraz zasad mających zastosowanie do oferowania lub przyjmowania wynagrodzeń, prowizji bądź innych korzyści pieniężnych lub niepieniężnych (Dz.U.</w:t>
            </w:r>
            <w:r>
              <w:t xml:space="preserve"> </w:t>
            </w:r>
            <w:r>
              <w:rPr>
                <w:b/>
                <w:i/>
              </w:rPr>
              <w:t>L 87 z 31.3.2017, ELI: http://data.europa.eu/eli/dir_del/2017/593/oj).</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27</w:t>
            </w:r>
            <w:r>
              <w:t xml:space="preserve"> </w:t>
            </w:r>
            <w:r>
              <w:rPr>
                <w:b/>
                <w:i/>
              </w:rPr>
              <w:t>Rozporządzenie delegowane Komisji (UE) 2017/2358 z dnia 21 września 2017 r. uzupełniające dyrektywę Parlamentu Europejskiego i Rady (UE) 2016/97 w odniesieniu do wymogów w zakresie nadzoru nad produktem i zarządzania nim dla zakładów ubezpieczeń i dystrybutorów ubezpieczeń (Dz.U.</w:t>
            </w:r>
            <w:r>
              <w:t xml:space="preserve"> </w:t>
            </w:r>
            <w:r>
              <w:rPr>
                <w:b/>
                <w:i/>
              </w:rPr>
              <w:t>L 341 z 20.12.2017, ELI: http://data.europa.eu/eli/reg_del/2017/2358/oj).</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28</w:t>
            </w:r>
            <w:r>
              <w:t xml:space="preserve"> </w:t>
            </w:r>
            <w:r>
              <w:rPr>
                <w:b/>
                <w:i/>
              </w:rPr>
              <w:t>Rozporządzenie delegowane Komisji (UE) 2017/2359 z dnia 21 września 2017 r. uzupełniające dyrektywę Parlamentu Europejskiego i Rady (UE) 2016/97 w odniesieniu do wymogów informacyjnych i zasad prowadzenia działalności mających zastosowanie do dystrybucji ubezpieczeniowych produktów inwestycyjnych (Dz.U.</w:t>
            </w:r>
            <w:r>
              <w:t xml:space="preserve"> </w:t>
            </w:r>
            <w:r>
              <w:rPr>
                <w:b/>
                <w:i/>
              </w:rPr>
              <w:t>L 341 z 20.12.2017, ELI: http://data.europa.eu/eli/reg_del/2017/2359/oj).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Angelika Winzig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Takie kategorie powinny pomóc dystrybutorom w identyfikacji produktów, które odpowiadają preferencjom ich klientów w zakresie zrównoważonego rozwoju, oraz w przeprowadzeniu oceny rynku docelowego, a zatem powinny zostać odzwierciedlone w przepisach mających zastosowanie na podstawie rozporządzenia delegowanego Komisji (UE) 2017/565</w:t>
            </w:r>
            <w:r>
              <w:rPr>
                <w:vertAlign w:val="superscript"/>
              </w:rPr>
              <w:t>25</w:t>
            </w:r>
            <w:r>
              <w:t xml:space="preserve">, </w:t>
            </w:r>
            <w:r>
              <w:rPr>
                <w:b/>
                <w:i/>
              </w:rPr>
              <w:t>rozporządzenia delegowanego</w:t>
            </w:r>
            <w:r>
              <w:t xml:space="preserve"> Komisji (UE) 2017/593</w:t>
            </w:r>
            <w:r>
              <w:rPr>
                <w:vertAlign w:val="superscript"/>
              </w:rPr>
              <w:t>26</w:t>
            </w:r>
            <w:r>
              <w:t>oraz rozporządzeń delegowanych Komisji (UE) 2017/2358</w:t>
            </w:r>
            <w:r>
              <w:rPr>
                <w:vertAlign w:val="superscript"/>
              </w:rPr>
              <w:t>27</w:t>
            </w:r>
            <w:r>
              <w:t>i (UE) 2017/2359</w:t>
            </w:r>
            <w:r>
              <w:rPr>
                <w:vertAlign w:val="superscript"/>
              </w:rPr>
              <w:t>28</w:t>
            </w:r>
            <w:r>
              <w:t>. Zapewni to inwestorom końcowym jasne zrozumienie głównych cech i założeń produktów związanych ze zrównoważonym rozwojem</w:t>
            </w:r>
            <w:r>
              <w:rPr>
                <w:b/>
                <w:i/>
              </w:rPr>
              <w:t>.</w:t>
            </w:r>
          </w:p>
        </w:tc>
        <w:tc>
          <w:tcPr>
            <w:tcW w:w="4876" w:type="dxa"/>
            <w:tcBorders>
              <w:top w:val="nil"/>
              <w:left w:val="nil"/>
              <w:bottom w:val="nil"/>
              <w:right w:val="nil"/>
            </w:tcBorders>
          </w:tcPr>
          <w:p>
            <w:pPr>
              <w:pStyle w:val="Normal6a"/>
            </w:pPr>
            <w:r>
              <w:t>(13)</w:t>
            </w:r>
            <w:r>
              <w:tab/>
            </w:r>
            <w:r>
              <w:t>Takie kategorie powinny pomóc dystrybutorom w identyfikacji produktów, które odpowiadają preferencjom ich klientów w zakresie zrównoważonego rozwoju, oraz w przeprowadzeniu oceny rynku docelowego, a zatem powinny zostać odzwierciedlone w przepisach mających zastosowanie na podstawie rozporządzenia delegowanego Komisji (UE) 2017/565</w:t>
            </w:r>
            <w:r>
              <w:rPr>
                <w:vertAlign w:val="superscript"/>
              </w:rPr>
              <w:t>25</w:t>
            </w:r>
            <w:r>
              <w:t xml:space="preserve">, </w:t>
            </w:r>
            <w:r>
              <w:rPr>
                <w:b/>
                <w:i/>
              </w:rPr>
              <w:t>dyrektywy delegowanej</w:t>
            </w:r>
            <w:r>
              <w:t xml:space="preserve"> Komisji (UE) 2017/593</w:t>
            </w:r>
            <w:r>
              <w:rPr>
                <w:vertAlign w:val="superscript"/>
              </w:rPr>
              <w:t>26</w:t>
            </w:r>
            <w:r>
              <w:t xml:space="preserve"> oraz rozporządzeń delegowanych Komisji (UE) 2017/2358</w:t>
            </w:r>
            <w:r>
              <w:rPr>
                <w:vertAlign w:val="superscript"/>
              </w:rPr>
              <w:t>27</w:t>
            </w:r>
            <w:r>
              <w:t xml:space="preserve"> i (UE) 2017/2359</w:t>
            </w:r>
            <w:r>
              <w:rPr>
                <w:vertAlign w:val="superscript"/>
              </w:rPr>
              <w:t>28</w:t>
            </w:r>
            <w:r>
              <w:t>. Zapewni to inwestorom końcowym jasne zrozumienie głównych cech i założeń produktów związanych ze zrównoważonym rozwojem</w:t>
            </w:r>
            <w:r>
              <w:rPr>
                <w:b/>
                <w:i/>
              </w:rPr>
              <w:t>, bez uszczerbku dla zdolności innych instrumentów finansowych i usług inwestycyjnych do uwzględniania cech związanych ze zrównoważonym rozwojem;</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25</w:t>
            </w:r>
            <w:r>
              <w:t xml:space="preserve"> </w:t>
            </w:r>
            <w:r>
              <w:t>Rozporządzenie delegowane Komisji (UE) 2017/565 z dnia 25 kwietnia 2016 r. uzupełniające dyrektywę Parlamentu Europejskiego i Rady 2014/65/UE w odniesieniu do wymogów organizacyjnych i warunków prowadzenia działalności przez firmy inwestycyjne oraz pojęć zdefiniowanych na potrzeby tej dyrektywy (Dz.U. L 87 z 31.3.2017, ELI: http://data.europa.eu/eli/reg_del/2017/565/oj)</w:t>
            </w:r>
            <w:r>
              <w:rPr>
                <w:b/>
                <w:i/>
              </w:rPr>
              <w:t>.</w:t>
            </w:r>
          </w:p>
        </w:tc>
        <w:tc>
          <w:tcPr>
            <w:tcW w:w="4876" w:type="dxa"/>
            <w:tcBorders>
              <w:top w:val="nil"/>
              <w:left w:val="nil"/>
              <w:bottom w:val="nil"/>
              <w:right w:val="nil"/>
            </w:tcBorders>
          </w:tcPr>
          <w:p>
            <w:pPr>
              <w:pStyle w:val="Normal6a"/>
            </w:pPr>
            <w:r>
              <w:rPr>
                <w:vertAlign w:val="superscript"/>
              </w:rPr>
              <w:t>25</w:t>
            </w:r>
            <w:r>
              <w:t xml:space="preserve"> </w:t>
            </w:r>
            <w:r>
              <w:t>Rozporządzenie delegowane Komisji (UE) 2017/565 z dnia 25 kwietnia 2016 r. uzupełniające dyrektywę Parlamentu Europejskiego i Rady 2014/65/UE w odniesieniu do wymogów organizacyjnych i warunków prowadzenia działalności przez firmy inwestycyjne oraz pojęć zdefiniowanych na potrzeby tej dyrektywy (Dz.U. L 87 z 31.3.2017, ELI: http://data.europa.eu/eli/reg_del/2017/565/oj)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26</w:t>
            </w:r>
            <w:r>
              <w:t xml:space="preserve"> </w:t>
            </w:r>
            <w:r>
              <w:t>Dyrektywa delegowana Komisji (UE) 2017/593 z dnia 7 kwietnia 2016 r. uzupełniająca dyrektywę Parlamentu Europejskiego i Rady 2014/65/UE w odniesieniu do zabezpieczenia instrumentów finansowych i środków pieniężnych należących do klientów, zobowiązań w zakresie zarządzania produktami oraz zasad mających zastosowanie do oferowania lub przyjmowania wynagrodzeń, prowizji bądź innych korzyści pieniężnych lub niepieniężnych (Dz.U. L 87 z 31.3.2017, ELI: http://data.europa.eu/eli/dir_del/2017/593/oj)</w:t>
            </w:r>
            <w:r>
              <w:rPr>
                <w:b/>
                <w:i/>
              </w:rPr>
              <w:t>.</w:t>
            </w:r>
          </w:p>
        </w:tc>
        <w:tc>
          <w:tcPr>
            <w:tcW w:w="4876" w:type="dxa"/>
            <w:tcBorders>
              <w:top w:val="nil"/>
              <w:left w:val="nil"/>
              <w:bottom w:val="nil"/>
              <w:right w:val="nil"/>
            </w:tcBorders>
          </w:tcPr>
          <w:p>
            <w:pPr>
              <w:pStyle w:val="Normal6a"/>
            </w:pPr>
            <w:r>
              <w:rPr>
                <w:vertAlign w:val="superscript"/>
              </w:rPr>
              <w:t>26</w:t>
            </w:r>
            <w:r>
              <w:t xml:space="preserve"> </w:t>
            </w:r>
            <w:r>
              <w:t>Dyrektywa delegowana Komisji (UE) 2017/593 z dnia 7 kwietnia 2016 r. uzupełniająca dyrektywę Parlamentu Europejskiego i Rady 2014/65/UE w odniesieniu do zabezpieczenia instrumentów finansowych i środków pieniężnych należących do klientów, zobowiązań w zakresie zarządzania produktami oraz zasad mających zastosowanie do oferowania lub przyjmowania wynagrodzeń, prowizji bądź innych korzyści pieniężnych lub niepieniężnych (Dz.U. L 87 z 31.3.2017, ELI: http://data.europa.eu/eli/dir_del/2017/593/oj)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27</w:t>
            </w:r>
            <w:r>
              <w:t xml:space="preserve"> </w:t>
            </w:r>
            <w:r>
              <w:t>Rozporządzenie delegowane Komisji (UE) 2017/2358 z dnia 21 września 2017 r. uzupełniające dyrektywę Parlamentu Europejskiego i Rady (UE) 2016/97 w odniesieniu do wymogów w zakresie nadzoru nad produktem i zarządzania nim dla zakładów ubezpieczeń i dystrybutorów ubezpieczeń (Dz.U. L 341 z 20.12.2017, ELI: http://data.europa.eu/eli/reg_del/2017/2358/oj)</w:t>
            </w:r>
            <w:r>
              <w:rPr>
                <w:b/>
                <w:i/>
              </w:rPr>
              <w:t>.</w:t>
            </w:r>
          </w:p>
        </w:tc>
        <w:tc>
          <w:tcPr>
            <w:tcW w:w="4876" w:type="dxa"/>
            <w:tcBorders>
              <w:top w:val="nil"/>
              <w:left w:val="nil"/>
              <w:bottom w:val="nil"/>
              <w:right w:val="nil"/>
            </w:tcBorders>
          </w:tcPr>
          <w:p>
            <w:pPr>
              <w:pStyle w:val="Normal6a"/>
            </w:pPr>
            <w:r>
              <w:rPr>
                <w:vertAlign w:val="superscript"/>
              </w:rPr>
              <w:t>27</w:t>
            </w:r>
            <w:r>
              <w:t xml:space="preserve"> </w:t>
            </w:r>
            <w:r>
              <w:t>Rozporządzenie delegowane Komisji (UE) 2017/2358 z dnia 21 września 2017 r. uzupełniające dyrektywę Parlamentu Europejskiego i Rady (UE) 2016/97 w odniesieniu do wymogów w zakresie nadzoru nad produktem i zarządzania nim dla zakładów ubezpieczeń i dystrybutorów ubezpieczeń (Dz.U. L 341 z 20.12.2017, ELI: http://data.europa.eu/eli/reg_del/2017/2358/oj)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28</w:t>
            </w:r>
            <w:r>
              <w:t xml:space="preserve"> </w:t>
            </w:r>
            <w:r>
              <w:t>Rozporządzenie delegowane Komisji (UE) 2017/2359 z dnia 21 września 2017 r. uzupełniające dyrektywę Parlamentu Europejskiego i Rady (UE) 2016/97 w odniesieniu do wymogów informacyjnych i zasad prowadzenia działalności mających zastosowanie do dystrybucji ubezpieczeniowych produktów inwestycyjnych (Dz.U. L 341 z 20.12.2017, ELI: http://data.europa.eu/eli/reg_del/2017/2359/oj)</w:t>
            </w:r>
            <w:r>
              <w:rPr>
                <w:b/>
                <w:i/>
              </w:rPr>
              <w:t>.</w:t>
            </w:r>
          </w:p>
        </w:tc>
        <w:tc>
          <w:tcPr>
            <w:tcW w:w="4876" w:type="dxa"/>
            <w:tcBorders>
              <w:top w:val="nil"/>
              <w:left w:val="nil"/>
              <w:bottom w:val="nil"/>
              <w:right w:val="nil"/>
            </w:tcBorders>
          </w:tcPr>
          <w:p>
            <w:pPr>
              <w:pStyle w:val="Normal6a"/>
            </w:pPr>
            <w:r>
              <w:rPr>
                <w:vertAlign w:val="superscript"/>
              </w:rPr>
              <w:t>28</w:t>
            </w:r>
            <w:r>
              <w:t xml:space="preserve"> </w:t>
            </w:r>
            <w:r>
              <w:t>Rozporządzenie delegowane Komisji (UE) 2017/2359 z dnia 21 września 2017 r. uzupełniające dyrektywę Parlamentu Europejskiego i Rady (UE) 2016/97 w odniesieniu do wymogów informacyjnych i zasad prowadzenia działalności mających zastosowanie do dystrybucji ubezpieczeniowych produktów inwestycyjnych (Dz.U. L 341 z 20.12.2017, ELI: http://data.europa.eu/eli/reg_del/2017/2359/oj)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Markus Ferber, Janusz Lewandowski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Aby ułatwić porównywalność i zwiększyć spójność, co najmniej </w:t>
            </w:r>
            <w:r>
              <w:rPr>
                <w:b/>
                <w:i/>
              </w:rPr>
              <w:t>70</w:t>
            </w:r>
            <w:r>
              <w:t xml:space="preserve"> % inwestycji realizowanych za pośrednictwem produktów finansowych w każdej kategorii powinno być dokonywane zgodnie z twierdzeniem dotyczącym zrównoważonego rozwoju, tj. zgodnie z realizowanym celem lub stosowanymi kryteriami zrównoważonego rozwoju. Uczestnicy rynku finansowego powinni mieć możliwość swobodnego alokowania pozostałych inwestycji w oparciu o potrzeby w zakresie dywersyfikacji, zabezpieczenia lub płynności. Te pozostałe inwestycje nie powinny być sprzeczne z twierdzeniami dotyczącymi zrównoważonego rozwoju wysuwanymi w odniesieniu do produktu finansowego. Pełne wdrożenie strategii inwestycyjnej dla danego produktu finansowego może zająć pewien czas, zwłaszcza w przypadku aktywów alternatywnych lub prywatnych. Czas ten podaje się w dokumentach poprzedzających zawarcie umowy. Odsetek inwestycji niezbędnych do osiągnięcia celów produktu może nie zostać osiągnięty natychmiast w trakcie tego okresu przejściowego. Odsetek ten powinien zostać osiągnięty najpóźniej w momencie zakończenia okresu przejściowego. Próg </w:t>
            </w:r>
            <w:r>
              <w:rPr>
                <w:b/>
                <w:i/>
              </w:rPr>
              <w:t>70 % oznacza wzrost poziomu ambicji w porównaniu z minimalnym udziałem „zrównoważonych inwestycji” wynoszącym</w:t>
            </w:r>
            <w:r>
              <w:t xml:space="preserve"> 50 %</w:t>
            </w:r>
            <w:r>
              <w:rPr>
                <w:b/>
                <w:i/>
              </w:rPr>
              <w:t>, wymaganym – zgodnie z wytycznymi ESMA dotyczącymi nazw funduszy –</w:t>
            </w:r>
            <w:r>
              <w:t xml:space="preserve"> w przypadku </w:t>
            </w:r>
            <w:r>
              <w:rPr>
                <w:b/>
                <w:i/>
              </w:rPr>
              <w:t>funduszy zawierających w swojej nazwie termin związany ze zrównoważonym rozwojem.</w:t>
            </w:r>
            <w:r>
              <w:t xml:space="preserve"> </w:t>
            </w:r>
            <w:r>
              <w:rPr>
                <w:b/>
                <w:i/>
              </w:rPr>
              <w:t>Uważa się również, że pozwala on na utrzymanie zgodności z zawartą w tych wytycznych zasadą, wedle której 80 % inwestycji ma być dokonywanych zgodnie z twierdzeniem dotyczącym ESG zawartym w nazwie funduszu, biorąc pod uwagę, że warunki dotyczące progu 70 % byłyby bardziej rygorystyczne niż obecne 80 % zgodnie z wytycznymi ESMA (tj. nowe warunki, na jakich inwestycje można uznać za przyczyniające się do realizacji celów związanych ze zrównoważonym rozwojem lub transformacją lub za uwzględniające kwestie związane ze zrównoważonym rozwojem)</w:t>
            </w:r>
            <w:r>
              <w:t xml:space="preserve">. </w:t>
            </w:r>
            <w:r>
              <w:rPr>
                <w:b/>
                <w:i/>
              </w:rPr>
              <w:t>Ponadto</w:t>
            </w:r>
            <w:r>
              <w:t xml:space="preserve"> zapewnia on wystarczający margines na zabezpieczenie inwestycji </w:t>
            </w:r>
            <w:r>
              <w:rPr>
                <w:b/>
                <w:i/>
              </w:rPr>
              <w:t>i jest zgodny z innymi międzynarodowymi oznaczeniami inwestycyjnymi, co ułatwiłoby międzynarodową konwergencję</w:t>
            </w:r>
            <w:r>
              <w:t xml:space="preserve">. Aby zapewnić uczestnikom rynku finansowego wskazówki i pewność, należy określić konkretne podejścia inwestycyjne dla produktów finansowych w każdej kategorii, nie wykluczając jednak innych możliwych podejść w każdym przypadku, pod warunkiem że zapewniają one ten sam poziom ambicji w zakresie zrównoważonego rozwoju. Wyniki ostatnich ocen pokazują, że nie ma jednego uniwersalnego sposobu na szczegółowe określenie, czym powinien być pozytywny wkład w realizację celu zrównoważonego rozwoju lub transformacji. Wynika to głównie z dużej różnorodności aktywów, strategii, celów zrównoważonego rozwoju lub czynników występujących na obecnym rynku. </w:t>
            </w:r>
            <w:r>
              <w:rPr>
                <w:b/>
                <w:i/>
              </w:rPr>
              <w:t>Wprowadzenie zamkniętego wykazu szczegółowych kryteriów dotyczących wkładu ograniczałoby zatem w zbyt dużym stopniu spektrum inwestycji i mogłoby utrudniać stosowanie innowacyjnych praktyk.</w:t>
            </w:r>
            <w:r>
              <w:t xml:space="preserve"> </w:t>
            </w:r>
            <w:r>
              <w:rPr>
                <w:b/>
                <w:i/>
              </w:rPr>
              <w:t>Zamiast tego wykaz możliwych podejść powinien służyć wskazaniu istniejących solidnych norm zrównoważonego rozwoju i zachęcaniu do ich stosowania.</w:t>
            </w:r>
            <w:r>
              <w:t xml:space="preserve"> </w:t>
            </w:r>
            <w:r>
              <w:rPr>
                <w:b/>
                <w:i/>
              </w:rPr>
              <w:t>Próg 70 % powinien zaś służyć zapewnieniu zharmonizowanych poziomów wkładu, a nie szczegółowemu określeniu charakteru wkładu w każdej kategorii.</w:t>
            </w:r>
            <w:r>
              <w:t xml:space="preserve"> </w:t>
            </w:r>
            <w:r>
              <w:rPr>
                <w:b/>
                <w:i/>
              </w:rPr>
              <w:t>Inwestorom końcowym należy ujawniać szczegółowe informacje na temat wybranego podejścia do zapewniania stosownego wkładu.</w:t>
            </w:r>
            <w:r>
              <w:t xml:space="preserve"> </w:t>
            </w:r>
            <w:r>
              <w:rPr>
                <w:b/>
                <w:i/>
              </w:rPr>
              <w:t>Uczestnicy rynku finansowego powinni mierzyć swój wkład, zgodność ze strategią i postępy w realizacji celu zrównoważonego rozwoju za pomocą odpowiednich wskaźników związanych ze zrównoważonym rozwojem oraz powinni ujawniać te wskaźniki.</w:t>
            </w:r>
            <w:r>
              <w:t xml:space="preserve"> </w:t>
            </w:r>
            <w:r>
              <w:rPr>
                <w:b/>
                <w:i/>
              </w:rPr>
              <w:t>W tym celu należy opracować wykaz dobrowolnych wskaźników.</w:t>
            </w:r>
            <w:r>
              <w:t xml:space="preserve"> </w:t>
            </w:r>
            <w:r>
              <w:rPr>
                <w:b/>
                <w:i/>
              </w:rPr>
              <w:t>Takie wskaźniki powinny opierać się na wskaźnikach, o których mowa w załączniku I do rozporządzenia delegowanego Komisji (UE) 2022/1288 i w rozporządzeniu delegowanym Komisji (UE) 2023/2772, oraz na informacjach ujawnianych przez przedsiębiorstwa, z zapewnieniem, w odpowiednim zakresie, ciągłości z obecnymi praktykami rynkowymi wypracowanymi na podstawie niniejszego rozporządzenia.</w:t>
            </w:r>
            <w:r>
              <w:t xml:space="preserve"> </w:t>
            </w:r>
            <w:r>
              <w:rPr>
                <w:b/>
                <w:i/>
              </w:rPr>
              <w:t>Zachęciłoby to do harmonizacji i porównywalności metod, za pomocą których uczestnicy rynku finansowego mierzą i ujawniają swój wkład w realizację danego celu.</w:t>
            </w:r>
          </w:p>
        </w:tc>
        <w:tc>
          <w:tcPr>
            <w:tcW w:w="4876" w:type="dxa"/>
            <w:tcBorders>
              <w:top w:val="nil"/>
              <w:left w:val="nil"/>
              <w:bottom w:val="nil"/>
              <w:right w:val="nil"/>
            </w:tcBorders>
          </w:tcPr>
          <w:p>
            <w:pPr>
              <w:pStyle w:val="Normal6a"/>
            </w:pPr>
            <w:r>
              <w:t>(14)</w:t>
            </w:r>
            <w:r>
              <w:tab/>
            </w:r>
            <w:r>
              <w:t xml:space="preserve">Aby ułatwić porównywalność i zwiększyć spójność, co najmniej </w:t>
            </w:r>
            <w:r>
              <w:rPr>
                <w:b/>
                <w:i/>
              </w:rPr>
              <w:t>50</w:t>
            </w:r>
            <w:r>
              <w:t xml:space="preserve"> % inwestycji realizowanych za pośrednictwem produktów finansowych w każdej kategorii powinno być dokonywane zgodnie z twierdzeniem dotyczącym zrównoważonego rozwoju, tj. zgodnie z realizowanym celem lub stosowanymi kryteriami zrównoważonego rozwoju. Uczestnicy rynku finansowego powinni mieć możliwość swobodnego alokowania pozostałych inwestycji w oparciu o potrzeby w zakresie dywersyfikacji, zabezpieczenia lub płynności. Te pozostałe inwestycje nie powinny być sprzeczne z twierdzeniami dotyczącymi zrównoważonego rozwoju wysuwanymi w odniesieniu do produktu finansowego. Pełne wdrożenie strategii inwestycyjnej dla danego produktu finansowego może zająć pewien czas, zwłaszcza w przypadku aktywów alternatywnych lub prywatnych. Czas ten podaje się w dokumentach poprzedzających zawarcie umowy. Odsetek inwestycji niezbędnych do osiągnięcia celów produktu może nie zostać osiągnięty natychmiast w trakcie tego okresu przejściowego. Odsetek ten powinien zostać osiągnięty najpóźniej w momencie zakończenia okresu przejściowego. Próg 50 % </w:t>
            </w:r>
            <w:r>
              <w:rPr>
                <w:b/>
                <w:i/>
              </w:rPr>
              <w:t>odzwierciedla dużą różnorodność klas aktywów, strategii inwestycyjnych i ekspozycji geograficznych objętych systemem kategoryzacji, w tym mandatów obejmujących wiele aktywów, ubezpieczeniowych kont ogólnych oraz strategii dotyczących aktywów alternatywnych i prywatnych,</w:t>
            </w:r>
            <w:r>
              <w:t xml:space="preserve"> w przypadku </w:t>
            </w:r>
            <w:r>
              <w:rPr>
                <w:b/>
                <w:i/>
              </w:rPr>
              <w:t>których wyższe progi są strukturalnie nieosiągalne ze względu na obecną dostępność danych i niemożność zastosowania unijnych obowiązków sprawozdawczych w zakresie zrównoważonego rozwoju do emitentów spoza Unii</w:t>
            </w:r>
            <w:r>
              <w:t xml:space="preserve">. Zapewnia on wystarczający margines na </w:t>
            </w:r>
            <w:r>
              <w:rPr>
                <w:b/>
                <w:i/>
              </w:rPr>
              <w:t>dywersyfikację,</w:t>
            </w:r>
            <w:r>
              <w:t xml:space="preserve"> zabezpieczenie </w:t>
            </w:r>
            <w:r>
              <w:rPr>
                <w:b/>
                <w:i/>
              </w:rPr>
              <w:t>i alokację płynności, przy jednoczesnym zagwarantowaniu, że wyraźna większość</w:t>
            </w:r>
            <w:r>
              <w:t xml:space="preserve"> inwestycji </w:t>
            </w:r>
            <w:r>
              <w:rPr>
                <w:b/>
                <w:i/>
              </w:rPr>
              <w:t>w ramach każdego produktu jest zgodna z twierdzeniem dotyczącym zrównoważonego rozwoju.</w:t>
            </w:r>
            <w:r>
              <w:t xml:space="preserve"> </w:t>
            </w:r>
            <w:r>
              <w:rPr>
                <w:b/>
                <w:i/>
              </w:rPr>
              <w:t>Próg ten podlega przeglądowi Komisji zgodnie z art. 19, z uwzględnieniem danych dotyczących rzeczywistych wskaźników dostosowania osiągniętych przez produkty finansowe dystrybuowane w całej Unii</w:t>
            </w:r>
            <w:r>
              <w:t>. Aby zapewnić uczestnikom rynku finansowego wskazówki i pewność, należy określić konkretne podejścia inwestycyjne dla produktów finansowych w każdej kategorii, nie wykluczając jednak innych możliwych podejść w każdym przypadku, pod warunkiem że zapewniają one ten sam poziom ambicji w zakresie zrównoważonego rozwoju. Wyniki ostatnich ocen pokazują, że nie ma jednego uniwersalnego sposobu na szczegółowe określenie, czym powinien być pozytywny wkład w realizację celu zrównoważonego rozwoju lub transformacji. Wynika to głównie z dużej różnorodności aktywów, strategii, celów zrównoważonego rozwoju lub czynników występujących na obecnym rynku.</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Próg 70 % jest empirycznie nieosiągalny w przypadku zdywersyfikowanych upoważnień dotyczących wielu aktywów i ubezpieczeń ze względu na obecną dostępność danych, ograniczony zakres CSRD po pakiecie zbiorczym oraz niestosowanie sprawozdawczości w zakresie unijnej systematyki dotyczącej zrównoważonego rozwoju do emitentów spoza UE.</w:t>
      </w:r>
      <w:r>
        <w:t xml:space="preserve"> </w:t>
      </w:r>
      <w:r>
        <w:t>Próg 50 % w połączeniu z obowiązkowym ujawnieniem niekwalifikującej się części i wyłączeń kategorii zapewnia wystarczającą integralność rynku bez strukturalnego wykluczenia wiarygodnych strategii ESG z systemu kategoryzacji.</w:t>
      </w:r>
    </w:p>
    <w:p>
      <w:r>
        <w:rPr>
          <w:rStyle w:val="HideTWBExt"/>
        </w:rPr>
        <w:t>&lt;/Amend&gt;</w:t>
      </w:r>
    </w:p>
    <w:p>
      <w:pPr>
        <w:pStyle w:val="AmNumberTabs"/>
      </w:pPr>
      <w:r>
        <w:rPr>
          <w:rStyle w:val="HideTWBExt"/>
        </w:rPr>
        <w:t>&lt;Amend&gt;</w:t>
      </w:r>
      <w:r>
        <w:t>Poprawka</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Luděk Niedermayer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Aby ułatwić porównywalność i zwiększyć spójność, co najmniej 70 % inwestycji realizowanych za pośrednictwem produktów finansowych w każdej kategorii powinno być dokonywane zgodnie z twierdzeniem dotyczącym zrównoważonego rozwoju, tj. zgodnie z realizowanym celem lub stosowanymi kryteriami zrównoważonego rozwoju. Uczestnicy rynku finansowego powinni mieć możliwość swobodnego alokowania pozostałych inwestycji w oparciu o potrzeby w zakresie dywersyfikacji, zabezpieczenia lub płynności. Te pozostałe inwestycje nie powinny być sprzeczne z twierdzeniami dotyczącymi zrównoważonego rozwoju wysuwanymi w odniesieniu do produktu finansowego. Pełne wdrożenie strategii inwestycyjnej dla danego produktu finansowego może zająć pewien czas, zwłaszcza w przypadku aktywów alternatywnych lub prywatnych. Czas ten podaje się w dokumentach poprzedzających zawarcie umowy. Odsetek inwestycji niezbędnych do osiągnięcia celów produktu może nie zostać osiągnięty natychmiast w trakcie tego okresu przejściowego. Odsetek ten powinien zostać osiągnięty najpóźniej w momencie zakończenia okresu przejściowego. Próg 70 % oznacza wzrost poziomu ambicji w porównaniu z minimalnym udziałem „zrównoważonych inwestycji” wynoszącym 50 %, wymaganym – zgodnie z wytycznymi ESMA dotyczącymi nazw funduszy – w przypadku funduszy zawierających w swojej nazwie termin związany ze zrównoważonym rozwojem. Uważa się również, że pozwala on na utrzymanie zgodności z zawartą w tych wytycznych zasadą, wedle której 80 % inwestycji ma być dokonywanych zgodnie z twierdzeniem dotyczącym ESG zawartym w nazwie funduszu, biorąc pod uwagę, że warunki dotyczące progu 70 % byłyby bardziej rygorystyczne niż obecne 80 % zgodnie z wytycznymi ESMA (tj. nowe warunki, na jakich inwestycje można uznać za przyczyniające się do realizacji celów związanych ze zrównoważonym rozwojem lub transformacją lub za uwzględniające kwestie związane ze zrównoważonym rozwojem). Ponadto zapewnia on wystarczający margines na zabezpieczenie inwestycji i jest zgodny z innymi międzynarodowymi oznaczeniami inwestycyjnymi, co ułatwiłoby międzynarodową konwergencję. Aby zapewnić uczestnikom rynku finansowego wskazówki i pewność, należy określić konkretne podejścia inwestycyjne dla produktów finansowych w każdej kategorii, nie wykluczając jednak innych możliwych podejść w każdym przypadku, pod warunkiem że zapewniają one ten sam poziom ambicji w zakresie zrównoważonego rozwoju. Wyniki ostatnich ocen pokazują, że nie ma jednego uniwersalnego sposobu na szczegółowe określenie, czym powinien być pozytywny wkład w realizację celu zrównoważonego rozwoju lub transformacji. Wynika to głównie z dużej różnorodności aktywów, strategii, celów zrównoważonego rozwoju lub czynników występujących na obecnym rynku. Wprowadzenie zamkniętego wykazu szczegółowych kryteriów dotyczących wkładu ograniczałoby zatem w zbyt dużym stopniu spektrum inwestycji i mogłoby utrudniać stosowanie innowacyjnych praktyk. Zamiast tego wykaz możliwych podejść powinien służyć wskazaniu istniejących solidnych norm zrównoważonego rozwoju i zachęcaniu do ich stosowania. Próg 70 % powinien zaś służyć zapewnieniu zharmonizowanych poziomów wkładu, a nie szczegółowemu określeniu charakteru wkładu w każdej kategorii. Inwestorom końcowym należy ujawniać szczegółowe informacje na temat wybranego podejścia do zapewniania stosownego wkładu. Uczestnicy rynku finansowego powinni mierzyć swój wkład, zgodność ze strategią i postępy w realizacji celu zrównoważonego rozwoju za pomocą odpowiednich wskaźników związanych ze zrównoważonym rozwojem oraz powinni ujawniać te wskaźniki. W tym celu należy opracować wykaz dobrowolnych wskaźników. Takie wskaźniki powinny opierać się na wskaźnikach, o których mowa w załączniku I do rozporządzenia delegowanego Komisji (UE) 2022/1288 i w rozporządzeniu delegowanym Komisji (UE) 2023/2772, oraz na informacjach ujawnianych przez przedsiębiorstwa, z zapewnieniem, w odpowiednim zakresie, ciągłości z obecnymi praktykami rynkowymi wypracowanymi na podstawie niniejszego rozporządzenia. Zachęciłoby to do harmonizacji i porównywalności metod, za pomocą których uczestnicy rynku finansowego mierzą i ujawniają swój wkład w realizację danego celu.</w:t>
            </w:r>
          </w:p>
        </w:tc>
        <w:tc>
          <w:tcPr>
            <w:tcW w:w="4876" w:type="dxa"/>
            <w:tcBorders>
              <w:top w:val="nil"/>
              <w:left w:val="nil"/>
              <w:bottom w:val="nil"/>
              <w:right w:val="nil"/>
            </w:tcBorders>
          </w:tcPr>
          <w:p>
            <w:pPr>
              <w:pStyle w:val="Normal6a"/>
            </w:pPr>
            <w:r>
              <w:t>(14)</w:t>
            </w:r>
            <w:r>
              <w:tab/>
            </w:r>
            <w:r>
              <w:t xml:space="preserve">Aby ułatwić porównywalność i zwiększyć spójność, co najmniej 70 % inwestycji realizowanych za pośrednictwem produktów finansowych w każdej kategorii powinno być dokonywane zgodnie z twierdzeniem dotyczącym zrównoważonego rozwoju, tj. zgodnie z realizowanym celem lub stosowanymi kryteriami zrównoważonego rozwoju. Uczestnicy rynku finansowego powinni mieć możliwość swobodnego alokowania pozostałych inwestycji w oparciu o potrzeby w zakresie dywersyfikacji, zabezpieczenia lub płynności. Te pozostałe inwestycje nie powinny być sprzeczne z twierdzeniami dotyczącymi zrównoważonego rozwoju wysuwanymi w odniesieniu do produktu finansowego. Pełne wdrożenie strategii inwestycyjnej dla danego produktu finansowego może zająć pewien czas, zwłaszcza w przypadku aktywów alternatywnych lub prywatnych. Czas ten podaje się w dokumentach poprzedzających zawarcie umowy. Odsetek inwestycji niezbędnych do osiągnięcia celów produktu może nie zostać osiągnięty natychmiast w trakcie tego okresu przejściowego. Odsetek ten powinien zostać osiągnięty najpóźniej w momencie zakończenia okresu przejściowego. Próg 70 % oznacza wzrost poziomu ambicji w porównaniu z minimalnym udziałem „zrównoważonych inwestycji” wynoszącym 50 %, wymaganym – zgodnie z wytycznymi ESMA dotyczącymi nazw funduszy – w przypadku funduszy zawierających w swojej nazwie termin związany ze zrównoważonym rozwojem. Uważa się również, że pozwala on na utrzymanie zgodności z zawartą w tych wytycznych zasadą, wedle której 80 % inwestycji ma być dokonywanych zgodnie z twierdzeniem dotyczącym ESG zawartym w nazwie funduszu, biorąc pod uwagę, że warunki dotyczące progu 70 % byłyby bardziej rygorystyczne niż obecne 80 % zgodnie z wytycznymi ESMA (tj. nowe warunki, na jakich inwestycje można uznać za przyczyniające się do realizacji celów związanych ze zrównoważonym rozwojem lub transformacją lub za uwzględniające kwestie związane ze zrównoważonym rozwojem). Ponadto zapewnia on wystarczający margines na zabezpieczenie inwestycji i jest zgodny z innymi międzynarodowymi oznaczeniami inwestycyjnymi, co ułatwiłoby międzynarodową konwergencję. Aby zapewnić uczestnikom rynku finansowego wskazówki i pewność, należy określić konkretne podejścia inwestycyjne dla produktów finansowych w każdej kategorii, nie wykluczając jednak innych możliwych podejść w każdym przypadku, pod warunkiem że zapewniają one ten sam poziom ambicji w zakresie zrównoważonego rozwoju. Wyniki ostatnich ocen pokazują, że nie ma jednego uniwersalnego sposobu na szczegółowe określenie, czym powinien być pozytywny wkład w realizację celu zrównoważonego rozwoju lub transformacji. Wynika to głównie z dużej różnorodności aktywów, strategii, celów zrównoważonego rozwoju lub czynników występujących na obecnym rynku. Wprowadzenie zamkniętego wykazu szczegółowych kryteriów dotyczących wkładu ograniczałoby zatem w zbyt dużym stopniu spektrum inwestycji i mogłoby utrudniać stosowanie innowacyjnych praktyk. Zamiast tego wykaz możliwych podejść powinien służyć wskazaniu istniejących solidnych norm zrównoważonego rozwoju i zachęcaniu do ich stosowania. Próg 70 % powinien zaś służyć zapewnieniu zharmonizowanych poziomów wkładu, a nie szczegółowemu określeniu charakteru wkładu w każdej kategorii. Inwestorom końcowym należy ujawniać szczegółowe informacje na temat wybranego podejścia do zapewniania stosownego wkładu. Uczestnicy rynku finansowego powinni mierzyć swój wkład, zgodność ze strategią i postępy w realizacji celu zrównoważonego rozwoju za pomocą odpowiednich wskaźników związanych ze zrównoważonym rozwojem oraz powinni ujawniać te wskaźniki. </w:t>
            </w:r>
            <w:r>
              <w:rPr>
                <w:b/>
                <w:i/>
              </w:rPr>
              <w:t>Do celów ujawniania głównych niekorzystnych wpływów uczestnicy rynku finansowego powinni mieć możliwość stosowania, w całości lub w części, odpowiednich wskaźników związanych ze zrównoważonym rozwojem, w tym wskaźników ustanowionych zgodnie z niniejszym rozporządzeniem, lub innej przejrzystej metodyki, która jest odpowiednia dla strategii inwestycyjnej danego produktu finansowego i która umożliwia inwestorom zrozumienie tych wpływów.</w:t>
            </w:r>
            <w:r>
              <w:t xml:space="preserve"> W tym celu należy opracować wykaz dobrowolnych wskaźników. Takie wskaźniki powinny opierać się na wskaźnikach, o których mowa w załączniku I do rozporządzenia delegowanego Komisji (UE) 2022/1288 i w rozporządzeniu delegowanym Komisji (UE) 2023/2772, oraz na informacjach ujawnianych przez przedsiębiorstwa, z zapewnieniem, w odpowiednim zakresie, ciągłości z obecnymi praktykami rynkowymi wypracowanymi na podstawie niniejszego rozporządzenia. Zachęciłoby to do harmonizacji i porównywalności metod, za pomocą których uczestnicy rynku finansowego mierzą i ujawniają swój wkład w realizację danego celu.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Lara Wolters, Jonás Fernández, Aurore Lalucq, Niels Fuglsang, Evelyn Regner, César Luena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Aby ułatwić porównywalność i zwiększyć spójność, co najmniej </w:t>
            </w:r>
            <w:r>
              <w:rPr>
                <w:b/>
                <w:i/>
              </w:rPr>
              <w:t>70</w:t>
            </w:r>
            <w:r>
              <w:t xml:space="preserve"> % inwestycji realizowanych za pośrednictwem produktów finansowych w każdej kategorii powinno być dokonywane zgodnie z twierdzeniem dotyczącym zrównoważonego rozwoju, tj. zgodnie z realizowanym celem lub stosowanymi kryteriami zrównoważonego rozwoju. Uczestnicy rynku finansowego powinni mieć możliwość swobodnego alokowania pozostałych inwestycji w oparciu o potrzeby w zakresie dywersyfikacji, zabezpieczenia lub płynności. Te pozostałe inwestycje nie powinny być sprzeczne z twierdzeniami dotyczącymi zrównoważonego rozwoju wysuwanymi w odniesieniu do produktu finansowego. Pełne wdrożenie strategii inwestycyjnej dla danego produktu finansowego może zająć pewien czas, zwłaszcza w przypadku aktywów alternatywnych lub prywatnych. Czas ten podaje się w dokumentach poprzedzających zawarcie umowy. Odsetek inwestycji niezbędnych do osiągnięcia celów produktu może nie zostać osiągnięty natychmiast w trakcie tego okresu przejściowego. Odsetek ten powinien zostać osiągnięty najpóźniej w momencie zakończenia okresu przejściowego. Próg </w:t>
            </w:r>
            <w:r>
              <w:rPr>
                <w:b/>
                <w:i/>
              </w:rPr>
              <w:t>70</w:t>
            </w:r>
            <w:r>
              <w:t xml:space="preserve"> % oznacza wzrost poziomu ambicji w porównaniu z minimalnym udziałem „zrównoważonych inwestycji” wynoszącym 50 %, wymaganym – zgodnie z wytycznymi ESMA dotyczącymi nazw funduszy – w przypadku funduszy zawierających w swojej nazwie termin związany ze zrównoważonym rozwojem. Uważa się również, że pozwala on na utrzymanie zgodności z zawartą w tych wytycznych zasadą, wedle której 80 % inwestycji ma być dokonywanych zgodnie z twierdzeniem dotyczącym ESG zawartym w nazwie funduszu</w:t>
            </w:r>
            <w:r>
              <w:rPr>
                <w:b/>
                <w:i/>
              </w:rPr>
              <w:t>, biorąc pod uwagę, że warunki dotyczące progu 70 % byłyby bardziej rygorystyczne niż obecne 80 % zgodnie z wytycznymi ESMA (tj. nowe warunki, na jakich inwestycje można uznać za przyczyniające się do realizacji celów związanych ze zrównoważonym rozwojem lub transformacją lub za uwzględniające kwestie związane ze zrównoważonym rozwojem).</w:t>
            </w:r>
            <w:r>
              <w:t xml:space="preserve"> Ponadto zapewnia on wystarczający margines na zabezpieczenie inwestycji i jest zgodny z innymi międzynarodowymi oznaczeniami inwestycyjnymi, co ułatwiłoby międzynarodową konwergencję. Aby zapewnić uczestnikom rynku finansowego wskazówki i pewność, należy określić konkretne podejścia inwestycyjne dla produktów finansowych w każdej kategorii, nie wykluczając jednak innych możliwych podejść w każdym przypadku, pod warunkiem że zapewniają one ten sam poziom ambicji w zakresie zrównoważonego rozwoju. Wyniki ostatnich ocen pokazują, że nie ma jednego uniwersalnego sposobu na szczegółowe określenie, czym powinien być pozytywny wkład w realizację celu zrównoważonego rozwoju lub transformacji. Wynika to głównie z dużej różnorodności aktywów, strategii, celów zrównoważonego rozwoju lub czynników występujących na obecnym rynku. Wprowadzenie zamkniętego wykazu szczegółowych kryteriów dotyczących wkładu ograniczałoby zatem w zbyt dużym stopniu spektrum inwestycji i mogłoby utrudniać stosowanie innowacyjnych praktyk. Zamiast tego wykaz możliwych podejść powinien służyć wskazaniu istniejących solidnych norm zrównoważonego rozwoju i zachęcaniu do ich stosowania. Próg 70 % powinien zaś służyć zapewnieniu zharmonizowanych poziomów wkładu, a nie szczegółowemu określeniu charakteru wkładu w każdej kategorii. Inwestorom końcowym należy ujawniać szczegółowe informacje na temat wybranego podejścia do zapewniania stosownego wkładu. Uczestnicy rynku finansowego powinni mierzyć swój wkład, zgodność ze strategią i postępy w realizacji celu zrównoważonego rozwoju za pomocą odpowiednich wskaźników związanych ze zrównoważonym rozwojem oraz powinni ujawniać te wskaźniki. W tym celu należy opracować wykaz </w:t>
            </w:r>
            <w:r>
              <w:rPr>
                <w:b/>
                <w:i/>
              </w:rPr>
              <w:t>dobrowolnych</w:t>
            </w:r>
            <w:r>
              <w:t xml:space="preserve"> wskaźników. Takie wskaźniki powinny opierać się na wskaźnikach, o których mowa w załączniku I do rozporządzenia delegowanego Komisji (UE) 2022/1288 i w rozporządzeniu delegowanym Komisji (UE) 2023/2772, oraz na informacjach ujawnianych przez przedsiębiorstwa, z zapewnieniem, w odpowiednim zakresie, ciągłości z obecnymi praktykami rynkowymi wypracowanymi na podstawie niniejszego rozporządzenia. Zachęciłoby to do harmonizacji i porównywalności metod, za pomocą których uczestnicy rynku finansowego mierzą i ujawniają swój wkład w realizację danego celu.</w:t>
            </w:r>
          </w:p>
        </w:tc>
        <w:tc>
          <w:tcPr>
            <w:tcW w:w="4876" w:type="dxa"/>
            <w:tcBorders>
              <w:top w:val="nil"/>
              <w:left w:val="nil"/>
              <w:bottom w:val="nil"/>
              <w:right w:val="nil"/>
            </w:tcBorders>
          </w:tcPr>
          <w:p>
            <w:pPr>
              <w:pStyle w:val="Normal6a"/>
            </w:pPr>
            <w:r>
              <w:t>(14)</w:t>
            </w:r>
            <w:r>
              <w:tab/>
            </w:r>
            <w:r>
              <w:t xml:space="preserve">Aby ułatwić porównywalność i zwiększyć spójność, co najmniej </w:t>
            </w:r>
            <w:r>
              <w:rPr>
                <w:b/>
                <w:i/>
              </w:rPr>
              <w:t>80</w:t>
            </w:r>
            <w:r>
              <w:t xml:space="preserve"> % inwestycji realizowanych za pośrednictwem produktów finansowych w każdej kategorii powinno być dokonywane zgodnie z twierdzeniem dotyczącym zrównoważonego rozwoju, tj. zgodnie z realizowanym celem lub stosowanymi kryteriami zrównoważonego rozwoju. Uczestnicy rynku finansowego powinni mieć możliwość swobodnego alokowania pozostałych inwestycji w oparciu o potrzeby w zakresie dywersyfikacji, zabezpieczenia lub płynności. Te pozostałe inwestycje nie powinny być sprzeczne z twierdzeniami dotyczącymi zrównoważonego rozwoju wysuwanymi w odniesieniu do produktu finansowego. Pełne wdrożenie strategii inwestycyjnej dla danego produktu finansowego może zająć pewien czas, zwłaszcza w przypadku aktywów alternatywnych lub prywatnych. Czas ten podaje się w dokumentach poprzedzających zawarcie umowy. Odsetek inwestycji niezbędnych do osiągnięcia celów produktu może nie zostać osiągnięty natychmiast w trakcie tego okresu przejściowego. Odsetek ten powinien zostać osiągnięty najpóźniej w momencie zakończenia okresu przejściowego. Próg </w:t>
            </w:r>
            <w:r>
              <w:rPr>
                <w:b/>
                <w:i/>
              </w:rPr>
              <w:t>80</w:t>
            </w:r>
            <w:r>
              <w:t xml:space="preserve"> % oznacza wzrost poziomu ambicji w porównaniu z minimalnym udziałem „zrównoważonych inwestycji” wynoszącym 50 %, wymaganym – zgodnie z wytycznymi ESMA dotyczącymi nazw funduszy – w przypadku funduszy zawierających w swojej nazwie termin związany ze zrównoważonym rozwojem. Uważa się również, że pozwala on na utrzymanie zgodności z zawartą w tych wytycznych zasadą, wedle której 80 % inwestycji ma być dokonywanych zgodnie z twierdzeniem dotyczącym ESG zawartym w nazwie funduszu Ponadto zapewnia on wystarczający margines na zabezpieczenie inwestycji i jest zgodny z innymi międzynarodowymi oznaczeniami inwestycyjnymi, co ułatwiłoby międzynarodową konwergencję. Aby zapewnić uczestnikom rynku finansowego wskazówki i pewność, należy określić konkretne podejścia inwestycyjne dla produktów finansowych w każdej kategorii, nie wykluczając jednak innych możliwych podejść w każdym przypadku, pod warunkiem że zapewniają one ten sam poziom ambicji w zakresie zrównoważonego rozwoju. Wyniki ostatnich ocen pokazują, że nie ma jednego uniwersalnego sposobu na szczegółowe określenie, czym powinien być pozytywny wkład w realizację celu zrównoważonego rozwoju lub transformacji. Wynika to głównie z dużej różnorodności aktywów, strategii, celów zrównoważonego rozwoju lub czynników występujących na obecnym rynku. Wprowadzenie zamkniętego wykazu szczegółowych kryteriów dotyczących wkładu ograniczałoby zatem w zbyt dużym stopniu spektrum inwestycji i mogłoby utrudniać stosowanie innowacyjnych praktyk. Zamiast tego wykaz możliwych podejść powinien służyć wskazaniu istniejących solidnych norm zrównoważonego rozwoju i zachęcaniu do ich stosowania. Próg 70 % powinien zaś służyć zapewnieniu zharmonizowanych poziomów wkładu, a nie szczegółowemu określeniu charakteru wkładu w każdej kategorii. Inwestorom końcowym należy ujawniać szczegółowe informacje na temat wybranego podejścia do zapewniania stosownego wkładu. Uczestnicy rynku finansowego powinni mierzyć swój wkład, zgodność ze strategią i postępy w realizacji celu zrównoważonego rozwoju za pomocą odpowiednich wskaźników związanych ze zrównoważonym rozwojem oraz powinni ujawniać te wskaźniki. W tym celu należy opracować wykaz </w:t>
            </w:r>
            <w:r>
              <w:rPr>
                <w:b/>
                <w:i/>
              </w:rPr>
              <w:t>obowiązkowych ujawnień głównych niekorzystnych wpływów umożliwiający porównywanie produktów finansowych, uzupełniony wykazem istotnych</w:t>
            </w:r>
            <w:r>
              <w:t xml:space="preserve"> wskaźników. Takie wskaźniki powinny opierać się na wskaźnikach, o których mowa w załączniku I do rozporządzenia delegowanego Komisji (UE) 2022/1288 i w rozporządzeniu delegowanym Komisji (UE) 2023/2772, oraz na informacjach ujawnianych przez przedsiębiorstwa, z zapewnieniem, w odpowiednim zakresie, ciągłości z obecnymi praktykami rynkowymi wypracowanymi na podstawie niniejszego rozporządzenia. Zachęciłoby to do harmonizacji i porównywalności metod, za pomocą których uczestnicy rynku finansowego mierzą i ujawniają swój wkład w realizację danego celu.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Aby ułatwić porównywalność i zwiększyć spójność, co najmniej 70 % inwestycji realizowanych za pośrednictwem produktów finansowych w każdej kategorii powinno być dokonywane zgodnie z twierdzeniem dotyczącym zrównoważonego rozwoju, tj. zgodnie z realizowanym celem lub stosowanymi kryteriami zrównoważonego rozwoju. Uczestnicy rynku finansowego powinni mieć możliwość swobodnego alokowania pozostałych inwestycji w oparciu o potrzeby w zakresie dywersyfikacji, zabezpieczenia lub płynności</w:t>
            </w:r>
            <w:r>
              <w:rPr>
                <w:b/>
                <w:i/>
              </w:rPr>
              <w:t>.</w:t>
            </w:r>
            <w:r>
              <w:t xml:space="preserve"> </w:t>
            </w:r>
            <w:r>
              <w:rPr>
                <w:b/>
                <w:i/>
              </w:rPr>
              <w:t>Te pozostałe inwestycje nie powinny być sprzeczne z twierdzeniami dotyczącymi zrównoważonego rozwoju wysuwanymi w odniesieniu do produktu finansowego</w:t>
            </w:r>
            <w:r>
              <w:t>. Pełne wdrożenie strategii inwestycyjnej dla danego produktu finansowego może zająć pewien czas, zwłaszcza w przypadku aktywów alternatywnych lub prywatnych. Czas ten podaje się w dokumentach poprzedzających zawarcie umowy. Odsetek inwestycji niezbędnych do osiągnięcia celów produktu może nie zostać osiągnięty natychmiast w trakcie tego okresu przejściowego. Odsetek ten powinien zostać osiągnięty najpóźniej w momencie zakończenia okresu przejściowego. Próg 70 % oznacza wzrost poziomu ambicji w porównaniu z minimalnym udziałem „zrównoważonych inwestycji” wynoszącym 50 %, wymaganym – zgodnie z wytycznymi ESMA dotyczącymi nazw funduszy – w przypadku funduszy zawierających w swojej nazwie termin związany ze zrównoważonym rozwojem. Uważa się również, że pozwala on na utrzymanie zgodności z zawartą w tych wytycznych zasadą, wedle której 80 % inwestycji ma być dokonywanych zgodnie z twierdzeniem dotyczącym ESG zawartym w nazwie funduszu, biorąc pod uwagę, że warunki dotyczące progu 70 % byłyby bardziej rygorystyczne niż obecne 80 % zgodnie z wytycznymi ESMA (tj. nowe warunki, na jakich inwestycje można uznać za przyczyniające się do realizacji celów związanych ze zrównoważonym rozwojem lub transformacją lub za uwzględniające kwestie związane ze zrównoważonym rozwojem). Ponadto zapewnia on wystarczający margines na zabezpieczenie inwestycji i jest zgodny z innymi międzynarodowymi oznaczeniami inwestycyjnymi, co ułatwiłoby międzynarodową konwergencję. Aby zapewnić uczestnikom rynku finansowego wskazówki i pewność, należy określić konkretne podejścia inwestycyjne dla produktów finansowych w każdej kategorii, nie wykluczając jednak innych możliwych podejść w każdym przypadku, pod warunkiem że zapewniają one ten sam poziom ambicji w zakresie zrównoważonego rozwoju. Wyniki ostatnich ocen pokazują, że nie ma jednego uniwersalnego sposobu na szczegółowe określenie, czym powinien być pozytywny wkład w realizację celu zrównoważonego rozwoju lub transformacji. Wynika to głównie z dużej różnorodności aktywów, strategii, celów zrównoważonego rozwoju lub czynników występujących na obecnym rynku. Wprowadzenie zamkniętego wykazu szczegółowych kryteriów dotyczących wkładu ograniczałoby zatem w zbyt dużym stopniu spektrum inwestycji i mogłoby utrudniać stosowanie innowacyjnych praktyk. Zamiast tego wykaz możliwych podejść powinien służyć wskazaniu istniejących solidnych norm zrównoważonego rozwoju i zachęcaniu do ich stosowania. Próg 70 % powinien zaś służyć zapewnieniu zharmonizowanych poziomów wkładu, a nie szczegółowemu określeniu charakteru wkładu w każdej kategorii. Inwestorom końcowym należy ujawniać szczegółowe informacje na temat wybranego podejścia do zapewniania stosownego wkładu. Uczestnicy rynku finansowego powinni mierzyć swój wkład, zgodność ze strategią i postępy w realizacji celu zrównoważonego rozwoju za pomocą odpowiednich wskaźników związanych ze zrównoważonym rozwojem oraz powinni ujawniać te wskaźniki. W tym celu należy opracować wykaz dobrowolnych wskaźników. Takie wskaźniki powinny opierać się na wskaźnikach, o których mowa w załączniku I do rozporządzenia delegowanego Komisji (UE) 2022/1288 i w rozporządzeniu delegowanym Komisji (UE) 2023/2772, oraz na informacjach ujawnianych przez przedsiębiorstwa, z zapewnieniem, w odpowiednim zakresie, ciągłości z obecnymi praktykami rynkowymi wypracowanymi na podstawie niniejszego rozporządzenia. Zachęciłoby to do harmonizacji i porównywalności metod, za pomocą których uczestnicy rynku finansowego mierzą i ujawniają swój wkład w realizację danego celu.</w:t>
            </w:r>
          </w:p>
        </w:tc>
        <w:tc>
          <w:tcPr>
            <w:tcW w:w="4876" w:type="dxa"/>
            <w:tcBorders>
              <w:top w:val="nil"/>
              <w:left w:val="nil"/>
              <w:bottom w:val="nil"/>
              <w:right w:val="nil"/>
            </w:tcBorders>
          </w:tcPr>
          <w:p>
            <w:pPr>
              <w:pStyle w:val="Normal6a"/>
            </w:pPr>
            <w:r>
              <w:t>(14)</w:t>
            </w:r>
            <w:r>
              <w:tab/>
            </w:r>
            <w:r>
              <w:t>Aby ułatwić porównywalność i zwiększyć spójność, co najmniej 70 % inwestycji realizowanych za pośrednictwem produktów finansowych w każdej kategorii powinno być dokonywane zgodnie z twierdzeniem dotyczącym zrównoważonego rozwoju, tj. zgodnie z realizowanym celem lub stosowanymi kryteriami zrównoważonego rozwoju. Uczestnicy rynku finansowego powinni mieć możliwość swobodnego alokowania pozostałych inwestycji w oparciu o potrzeby w zakresie dywersyfikacji, zabezpieczenia lub płynności. Pełne wdrożenie strategii inwestycyjnej dla danego produktu finansowego może zająć pewien czas, zwłaszcza w przypadku aktywów alternatywnych lub prywatnych. Czas ten podaje się w dokumentach poprzedzających zawarcie umowy. Odsetek inwestycji niezbędnych do osiągnięcia celów produktu może nie zostać osiągnięty natychmiast w trakcie tego okresu przejściowego. Odsetek ten powinien zostać osiągnięty najpóźniej w momencie zakończenia okresu przejściowego. Próg 70 % oznacza wzrost poziomu ambicji w porównaniu z minimalnym udziałem „zrównoważonych inwestycji” wynoszącym 50 %, wymaganym – zgodnie z wytycznymi ESMA dotyczącymi nazw funduszy – w przypadku funduszy zawierających w swojej nazwie termin związany ze zrównoważonym rozwojem. Uważa się również, że pozwala on na utrzymanie zgodności z zawartą w tych wytycznych zasadą, wedle której 80 % inwestycji ma być dokonywanych zgodnie z twierdzeniem dotyczącym ESG zawartym w nazwie funduszu, biorąc pod uwagę, że warunki dotyczące progu 70 % byłyby bardziej rygorystyczne niż obecne 80 % zgodnie z wytycznymi ESMA (tj. nowe warunki, na jakich inwestycje można uznać za przyczyniające się do realizacji celów związanych ze zrównoważonym rozwojem lub transformacją lub za uwzględniające kwestie związane ze zrównoważonym rozwojem). Ponadto zapewnia on wystarczający margines na zabezpieczenie inwestycji i jest zgodny z innymi międzynarodowymi oznaczeniami inwestycyjnymi, co ułatwiłoby międzynarodową konwergencję. Aby zapewnić uczestnikom rynku finansowego wskazówki i pewność, należy określić konkretne podejścia inwestycyjne dla produktów finansowych w każdej kategorii, nie wykluczając jednak innych możliwych podejść w każdym przypadku, pod warunkiem że zapewniają one ten sam poziom ambicji w zakresie zrównoważonego rozwoju. Wyniki ostatnich ocen pokazują, że nie ma jednego uniwersalnego sposobu na szczegółowe określenie, czym powinien być pozytywny wkład w realizację celu zrównoważonego rozwoju lub transformacji. Wynika to głównie z dużej różnorodności aktywów, strategii, celów zrównoważonego rozwoju lub czynników występujących na obecnym rynku. Wprowadzenie zamkniętego wykazu szczegółowych kryteriów dotyczących wkładu ograniczałoby zatem w zbyt dużym stopniu spektrum inwestycji i mogłoby utrudniać stosowanie innowacyjnych praktyk. Zamiast tego wykaz możliwych podejść powinien służyć wskazaniu istniejących solidnych norm zrównoważonego rozwoju i zachęcaniu do ich stosowania. Próg 70 % powinien zaś służyć zapewnieniu zharmonizowanych poziomów wkładu, a nie szczegółowemu określeniu charakteru wkładu w każdej kategorii. Inwestorom końcowym należy ujawniać szczegółowe informacje na temat wybranego podejścia do zapewniania stosownego wkładu. Uczestnicy rynku finansowego powinni mierzyć swój wkład, zgodność ze strategią i postępy w realizacji celu zrównoważonego rozwoju za pomocą odpowiednich wskaźników związanych ze zrównoważonym rozwojem oraz powinni ujawniać te wskaźniki. W tym celu należy opracować wykaz dobrowolnych wskaźników. Takie wskaźniki powinny opierać się na wskaźnikach, o których mowa w załączniku I do rozporządzenia delegowanego Komisji (UE) 2022/1288 i w rozporządzeniu delegowanym Komisji (UE) 2023/2772, oraz na informacjach ujawnianych przez przedsiębiorstwa, z zapewnieniem, w odpowiednim zakresie, ciągłości z obecnymi praktykami rynkowymi wypracowanymi na podstawie niniejszego rozporządzenia. Zachęciłoby to do harmonizacji i porównywalności metod, za pomocą których uczestnicy rynku finansowego mierzą i ujawniają swój wkład w realizację danego celu.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Jaroslava Pokorná Jermanová, Jaroslav Knot, Pierre Pimpie, 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14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Aby ułatwić porównywalność i zwiększyć spójność, co najmniej 70 % inwestycji realizowanych za pośrednictwem produktów finansowych w każdej kategorii powinno być dokonywane zgodnie z twierdzeniem dotyczącym zrównoważonego rozwoju, tj. zgodnie z realizowanym celem lub stosowanymi kryteriami zrównoważonego rozwoju.</w:t>
            </w:r>
            <w:r>
              <w:t xml:space="preserve"> </w:t>
            </w:r>
            <w:r>
              <w:rPr>
                <w:b/>
                <w:i/>
              </w:rPr>
              <w:t>Uczestnicy rynku finansowego powinni mieć możliwość swobodnego alokowania pozostałych inwestycji w oparciu o potrzeby w zakresie dywersyfikacji, zabezpieczenia lub płynności.</w:t>
            </w:r>
            <w:r>
              <w:t xml:space="preserve"> </w:t>
            </w:r>
            <w:r>
              <w:rPr>
                <w:b/>
                <w:i/>
              </w:rPr>
              <w:t>Te pozostałe inwestycje nie powinny być sprzeczne z twierdzeniami dotyczącymi zrównoważonego rozwoju wysuwanymi w odniesieniu do produktu finansowego.</w:t>
            </w:r>
            <w:r>
              <w:t xml:space="preserve"> </w:t>
            </w:r>
            <w:r>
              <w:rPr>
                <w:b/>
                <w:i/>
              </w:rPr>
              <w:t>Pełne wdrożenie strategii inwestycyjnej dla danego produktu finansowego może zająć pewien czas, zwłaszcza w przypadku aktywów alternatywnych lub prywatnych.</w:t>
            </w:r>
            <w:r>
              <w:t xml:space="preserve"> </w:t>
            </w:r>
            <w:r>
              <w:rPr>
                <w:b/>
                <w:i/>
              </w:rPr>
              <w:t>Czas ten podaje się w dokumentach poprzedzających zawarcie umowy.</w:t>
            </w:r>
            <w:r>
              <w:t xml:space="preserve"> </w:t>
            </w:r>
            <w:r>
              <w:rPr>
                <w:b/>
                <w:i/>
              </w:rPr>
              <w:t>Odsetek inwestycji niezbędnych do osiągnięcia celów produktu może nie zostać osiągnięty natychmiast w trakcie tego okresu przejściowego.</w:t>
            </w:r>
            <w:r>
              <w:t xml:space="preserve"> </w:t>
            </w:r>
            <w:r>
              <w:rPr>
                <w:b/>
                <w:i/>
              </w:rPr>
              <w:t>Odsetek ten powinien zostać osiągnięty najpóźniej w momencie zakończenia okresu przejściowego.</w:t>
            </w:r>
            <w:r>
              <w:t xml:space="preserve"> </w:t>
            </w:r>
            <w:r>
              <w:rPr>
                <w:b/>
                <w:i/>
              </w:rPr>
              <w:t>Próg 70 % oznacza wzrost poziomu ambicji w porównaniu z minimalnym udziałem „zrównoważonych inwestycji” wynoszącym 50 %, wymaganym – zgodnie z wytycznymi ESMA dotyczącymi nazw funduszy – w przypadku funduszy zawierających w swojej nazwie termin związany ze zrównoważonym rozwojem.</w:t>
            </w:r>
            <w:r>
              <w:t xml:space="preserve"> </w:t>
            </w:r>
            <w:r>
              <w:rPr>
                <w:b/>
                <w:i/>
              </w:rPr>
              <w:t>Uważa się również, że pozwala on na utrzymanie zgodności z zawartą w tych wytycznych zasadą, wedle której 80 % inwestycji ma być dokonywanych zgodnie z twierdzeniem dotyczącym ESG zawartym w nazwie funduszu, biorąc pod uwagę, że warunki dotyczące progu 70 % byłyby bardziej rygorystyczne niż obecne 80 % zgodnie z wytycznymi ESMA (tj. nowe warunki, na jakich inwestycje można uznać za przyczyniające się do realizacji celów związanych ze zrównoważonym rozwojem lub transformacją lub za uwzględniające kwestie związane ze zrównoważonym rozwojem).</w:t>
            </w:r>
            <w:r>
              <w:t xml:space="preserve"> </w:t>
            </w:r>
            <w:r>
              <w:rPr>
                <w:b/>
                <w:i/>
              </w:rPr>
              <w:t>Ponadto zapewnia on wystarczający margines na zabezpieczenie inwestycji i jest zgodny z innymi międzynarodowymi oznaczeniami inwestycyjnymi, co ułatwiłoby międzynarodową konwergencję.</w:t>
            </w:r>
            <w:r>
              <w:t xml:space="preserve"> </w:t>
            </w:r>
            <w:r>
              <w:rPr>
                <w:b/>
                <w:i/>
              </w:rPr>
              <w:t>Aby zapewnić uczestnikom rynku finansowego wskazówki i pewność, należy określić konkretne podejścia inwestycyjne dla produktów finansowych w każdej kategorii, nie wykluczając jednak innych możliwych podejść w każdym przypadku, pod warunkiem że zapewniają one ten sam poziom ambicji w zakresie zrównoważonego rozwoju. Wyniki ostatnich ocen pokazują, że nie ma jednego uniwersalnego sposobu na szczegółowe określenie, czym powinien być pozytywny wkład w realizację celu zrównoważonego rozwoju lub transformacji.</w:t>
            </w:r>
            <w:r>
              <w:t xml:space="preserve"> </w:t>
            </w:r>
            <w:r>
              <w:rPr>
                <w:b/>
                <w:i/>
              </w:rPr>
              <w:t>Wynika to głównie z dużej różnorodności aktywów, strategii, celów zrównoważonego rozwoju lub czynników występujących na obecnym rynku.</w:t>
            </w:r>
            <w:r>
              <w:t xml:space="preserve"> </w:t>
            </w:r>
            <w:r>
              <w:rPr>
                <w:b/>
                <w:i/>
              </w:rPr>
              <w:t>Wprowadzenie zamkniętego wykazu szczegółowych kryteriów dotyczących wkładu ograniczałoby zatem w zbyt dużym stopniu spektrum inwestycji i mogłoby utrudniać stosowanie innowacyjnych praktyk.</w:t>
            </w:r>
            <w:r>
              <w:t xml:space="preserve"> </w:t>
            </w:r>
            <w:r>
              <w:rPr>
                <w:b/>
                <w:i/>
              </w:rPr>
              <w:t>Zamiast tego wykaz możliwych podejść powinien służyć wskazaniu istniejących solidnych norm zrównoważonego rozwoju i zachęcaniu do ich stosowania.</w:t>
            </w:r>
            <w:r>
              <w:t xml:space="preserve"> </w:t>
            </w:r>
            <w:r>
              <w:rPr>
                <w:b/>
                <w:i/>
              </w:rPr>
              <w:t>Próg 70 % powinien zaś służyć zapewnieniu zharmonizowanych poziomów wkładu, a nie szczegółowemu określeniu charakteru wkładu w każdej kategorii.</w:t>
            </w:r>
            <w:r>
              <w:t xml:space="preserve"> </w:t>
            </w:r>
            <w:r>
              <w:rPr>
                <w:b/>
                <w:i/>
              </w:rPr>
              <w:t>Inwestorom końcowym należy ujawniać szczegółowe informacje na temat wybranego podejścia do zapewniania stosownego wkładu.</w:t>
            </w:r>
            <w:r>
              <w:t xml:space="preserve"> </w:t>
            </w:r>
            <w:r>
              <w:rPr>
                <w:b/>
                <w:i/>
              </w:rPr>
              <w:t>Uczestnicy rynku finansowego powinni mierzyć swój wkład, zgodność ze strategią i postępy w realizacji celu zrównoważonego rozwoju za pomocą odpowiednich wskaźników związanych ze zrównoważonym rozwojem oraz powinni ujawniać te wskaźniki.</w:t>
            </w:r>
            <w:r>
              <w:t xml:space="preserve"> </w:t>
            </w:r>
            <w:r>
              <w:rPr>
                <w:b/>
                <w:i/>
              </w:rPr>
              <w:t>W tym celu należy opracować wskaźniki.</w:t>
            </w:r>
            <w:r>
              <w:t xml:space="preserve"> </w:t>
            </w:r>
            <w:r>
              <w:rPr>
                <w:b/>
                <w:i/>
              </w:rPr>
              <w:t>Takie wskaźniki powinny opierać się na wskaźnikach, o których mowa w załączniku I do rozporządzenia delegowanego Komisji (UE) 2022/1288 i w rozporządzeniu delegowanym Komisji (UE) 2023/2772, oraz na informacjach ujawnianych przez przedsiębiorstwa, z zapewnieniem, w odpowiednim zakresie, ciągłości z obecnymi praktykami rynkowymi wypracowanymi na podstawie niniejszego rozporządzenia.</w:t>
            </w:r>
            <w:r>
              <w:t xml:space="preserve"> </w:t>
            </w:r>
            <w:r>
              <w:rPr>
                <w:b/>
                <w:i/>
              </w:rPr>
              <w:t>Zachęciłoby to do harmonizacji i porównywalności metod, za pomocą których uczestnicy rynku finansowego mierzą i ujawniają swój wkład w realizację danego celu.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14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Uczestnicy rynku finansowego, tacy jak instytucje pracowniczych programów emerytalnych (IORP) i alternatywne fundusze inwestycyjne, są często zobowiązani na mocy ram ostrożnościowych, zasad dopasowania zobowiązań lub należytych praktyk zarządzania portfelem do utrzymywania znacznej części swoich aktywów do celów zarządzania środkami finansowymi, zabezpieczenia lub zarządzania płynnością.</w:t>
            </w:r>
            <w:r>
              <w:t xml:space="preserve"> </w:t>
            </w:r>
            <w:r>
              <w:rPr>
                <w:b/>
                <w:i/>
              </w:rPr>
              <w:t>Aktywa te obejmują środki pieniężne, ekwiwalenty środków pieniężnych, fundusze rynku pieniężnego i pochodne instrumenty finansowe.</w:t>
            </w:r>
            <w:r>
              <w:t xml:space="preserve"> </w:t>
            </w:r>
            <w:r>
              <w:rPr>
                <w:b/>
                <w:i/>
              </w:rPr>
              <w:t>Uwzględnienie tych strukturalnych i często obowiązkowych aktywów płynnych przy obliczaniu minimalnych progów zrównoważonego rozwoju stworzyłoby nieuzasadnioną karę matematyczną, która nie odzwierciedla rzeczywistych ambicji produktu finansowego w zakresie zrównoważonego rozwoju.</w:t>
            </w:r>
            <w:r>
              <w:t xml:space="preserve"> </w:t>
            </w:r>
            <w:r>
              <w:rPr>
                <w:b/>
                <w:i/>
              </w:rPr>
              <w:t>Prawdziwa ocena zgodności produktu finansowego z progiem 70 % powinna opierać się na rzeczywistych, aktywnych inwestycjach dokonanych w gospodarce realnej.</w:t>
            </w:r>
            <w:r>
              <w:t xml:space="preserve"> </w:t>
            </w:r>
            <w:r>
              <w:rPr>
                <w:b/>
                <w:i/>
              </w:rPr>
              <w:t>W związku z tym, aby zagwarantować, że próg dokładnie mierzy rzeczywisty wysiłek w zakresie transformacji lub zrównoważonych inwestycji, aktywa utrzymywane wyłącznie do celów zarządzania płynnością i zabezpieczenia powinny być całkowicie wyłączone zarówno z licznika, jak i z mianownika przy obliczaniu udziału inwestycji w kategoriach transformacji i zrównoważonego rozwoju.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Markus Ferber, Janusz Lewandowski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14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Minimalny udział inwestycji, o których mowa w art. 7, 8 i 9, należy obliczać na podstawie portfela inwestycyjnego netto produktu finansowego.</w:t>
            </w:r>
            <w:r>
              <w:t xml:space="preserve"> </w:t>
            </w:r>
            <w:r>
              <w:rPr>
                <w:b/>
                <w:i/>
              </w:rPr>
              <w:t>Inwestycje utrzymywane do celów zarządzania płynnością, inwestycje utrzymywane do celów zabezpieczenia oraz inwestycje w instrumenty długu państwowego ogólnego przeznaczenia emitowane przez rządy centralne lub banki centralne powinny być wyłączone zarówno z licznika, jak i z mianownika tego obliczenia.</w:t>
            </w:r>
            <w:r>
              <w:t xml:space="preserve"> </w:t>
            </w:r>
            <w:r>
              <w:rPr>
                <w:b/>
                <w:i/>
              </w:rPr>
              <w:t>Uwzględnienie takich inwestycji w mianowniku przy jednoczesnym wyłączeniu ich z licznika zawyżyłoby faktycznie wymagany wskaźnik powyżej ustalonego progu, podważając integralność systemu kategoryzacji i tworząc nieuzasadnione bariery dla uczestnictwa w szerokim zakresie strategii inwestycyjnych i klas aktywów.</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We wniosku nie określono mianownika obliczania progu.</w:t>
      </w:r>
      <w:r>
        <w:t xml:space="preserve"> </w:t>
      </w:r>
      <w:r>
        <w:t>Obowiązkowe instrumenty w zakresie płynności i zabezpieczenia oraz instrumenty długu państwowego nie mogą kwalifikować się do licznika, ale zawyżają mianownik, jeżeli są w nim uwzględnione, podnosząc faktycznie wymagany wskaźnik powyżej określonego progu.</w:t>
      </w:r>
      <w:r>
        <w:t xml:space="preserve"> </w:t>
      </w:r>
      <w:r>
        <w:t>Niniejszy motyw ustanawia zasadę portfela netto na poziomie 1.</w:t>
      </w:r>
    </w:p>
    <w:p>
      <w:r>
        <w:rPr>
          <w:rStyle w:val="HideTWBExt"/>
        </w:rPr>
        <w:t>&lt;/Amend&gt;</w:t>
      </w:r>
    </w:p>
    <w:p>
      <w:pPr>
        <w:pStyle w:val="AmNumberTabs"/>
      </w:pPr>
      <w:r>
        <w:rPr>
          <w:rStyle w:val="HideTWBExt"/>
        </w:rPr>
        <w:t>&lt;Amend&gt;</w:t>
      </w:r>
      <w:r>
        <w:t>Poprawka</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14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Po dokonaniu inwestycji wszelkie późniejsze zmiany, które skutkują tym, że inwestycja przestaje spełniać wymogi kwalifikowalności danej kategorii produktu i pozostaje poza kontrolą uczestnika rynku finansowego, nie powinny oznaczać naruszenia progu 70 %, ale powinny być zgłaszane inwestorom jako naruszenia bierne.</w:t>
            </w:r>
            <w:r>
              <w:t xml:space="preserve"> </w:t>
            </w:r>
            <w:r>
              <w:rPr>
                <w:b/>
                <w:i/>
              </w:rPr>
              <w:t>Powinno to mieć również zastosowanie do produktów finansowych, które inwestują w aktywa niepłynne.</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Lara Wolters, Jonás Fernández, Aurore Lalucq, Niels Fuglsang, Evelyn Regner, César Luena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W przypadku produktów finansowych wykorzystujących obecnie definicję zrównoważonej inwestycji kryteria dotyczące tych kategorii powinny również uprościć sposób, w jaki w ramach tych produktów należy zarządzać głównymi niekorzystnymi wpływami na cele środowiskowe lub społeczne. W ramach obecnego podejścia uczestnicy rynku finansowego mają obowiązek uwzględniać wskaźniki głównych niekorzystnych wpływów na czynniki zrównoważonego rozwoju, określone obecnie w rozporządzeniu delegowanym Komisji (UE) 2022/1288</w:t>
            </w:r>
            <w:r>
              <w:rPr>
                <w:vertAlign w:val="superscript"/>
              </w:rPr>
              <w:t>29</w:t>
            </w:r>
            <w:r>
              <w:t>. Z informacji zwrotnych od zainteresowanych stron wynika, że podejście to nie doprowadziło do stworzenia solidnego lub porównywalnego mechanizmu zapewniającego brak szkód. W związku z tym obecne podejście należy zastąpić zobowiązaniem uczestników rynku finansowego do stosowania wspólnego zestawu jasnych wyłączeń obejmujących praktyki i sektory, które są powszechnie uznawane za najbardziej szkodliwe, oraz do identyfikowania i ujawniania głównych niekorzystnych wpływów swoich inwestycji na czynniki zrównoważonego rozwoju. Powinny one obejmować, w stosownych przypadkach, niekorzystne wpływy na łagodzenie zmian klimatu i adaptację do zmian klimatu, zrównoważone wykorzystywanie i ochronę zasobów wodnych i morskich, przejście na gospodarkę o obiegu zamkniętym, zapobieganie zanieczyszczeniu i jego kontrolę oraz ochronę i odbudowę bioróżnorodności i ekosystemów. Uczestnicy rynku finansowego powinni również ujawniać informacje na temat wszelkich działań podjętych w celu zaradzenia stwierdzonym głównym niekorzystnym wpływom. W szczególnym kontekście niniejszych ram zapewniłoby to porównywalne i jasne podejście do kwestii zapewniania braku szkód. Takie podejście okazało się udane i skuteczne w ramach wdrażania rozporządzenia delegowanego Komisji (UE) 2020/1818. Wspomniane wyłączenia powinny również zapewniać, w miarę możliwości, ciągłość z istniejącymi ramami regulacyjnymi, w tym z wyłączeniami określonymi w rozporządzeniu delegowanym Komisji (UE) 2020/1818 oraz w wytycznych ESMA dotyczących nazw funduszy, a także powinny opierać się na danych dostępnych od spółek, w które dokonano inwestycji, lub danych, które mogą być racjonalnie oszacowane przez uczestników rynku finansowego. Wyłączenia te powinny odzwierciedlać uzgodnione politycznie cele środowiskowe i społeczne.</w:t>
            </w:r>
          </w:p>
        </w:tc>
        <w:tc>
          <w:tcPr>
            <w:tcW w:w="4876" w:type="dxa"/>
            <w:tcBorders>
              <w:top w:val="nil"/>
              <w:left w:val="nil"/>
              <w:bottom w:val="nil"/>
              <w:right w:val="nil"/>
            </w:tcBorders>
          </w:tcPr>
          <w:p>
            <w:pPr>
              <w:pStyle w:val="Normal6a"/>
            </w:pPr>
            <w:r>
              <w:t>(15)</w:t>
            </w:r>
            <w:r>
              <w:tab/>
            </w:r>
            <w:r>
              <w:t>W przypadku produktów finansowych wykorzystujących obecnie definicję zrównoważonej inwestycji kryteria dotyczące tych kategorii powinny również uprościć sposób, w jaki w ramach tych produktów należy zarządzać głównymi niekorzystnymi wpływami na cele środowiskowe lub społeczne. W ramach obecnego podejścia uczestnicy rynku finansowego mają obowiązek uwzględniać wskaźniki głównych niekorzystnych wpływów na czynniki zrównoważonego rozwoju, określone obecnie w rozporządzeniu delegowanym Komisji (UE) 2022/1288</w:t>
            </w:r>
            <w:r>
              <w:rPr>
                <w:vertAlign w:val="superscript"/>
              </w:rPr>
              <w:t>29</w:t>
            </w:r>
            <w:r>
              <w:t xml:space="preserve">. Z informacji zwrotnych od zainteresowanych stron wynika, że podejście to nie doprowadziło do stworzenia solidnego lub porównywalnego mechanizmu zapewniającego brak szkód. W związku z tym obecne podejście należy zastąpić zobowiązaniem uczestników rynku finansowego do stosowania wspólnego zestawu jasnych wyłączeń obejmujących praktyki i sektory, które są powszechnie uznawane za najbardziej szkodliwe, oraz do identyfikowania i ujawniania głównych niekorzystnych wpływów swoich inwestycji na czynniki zrównoważonego rozwoju. Powinny one obejmować, w stosownych przypadkach, niekorzystne wpływy na łagodzenie zmian klimatu i adaptację do zmian klimatu, zrównoważone wykorzystywanie i ochronę zasobów wodnych i morskich, przejście na gospodarkę o obiegu zamkniętym, zapobieganie zanieczyszczeniu i jego kontrolę oraz ochronę i odbudowę bioróżnorodności i ekosystemów. Uczestnicy rynku finansowego powinni również ujawniać informacje na temat wszelkich działań podjętych w celu zaradzenia stwierdzonym głównym niekorzystnym wpływom. W szczególnym kontekście niniejszych ram zapewniłoby to porównywalne i jasne podejście do kwestii zapewniania braku szkód. Takie podejście okazało się udane i skuteczne w ramach wdrażania rozporządzenia delegowanego Komisji (UE) 2020/1818. Wspomniane wyłączenia powinny również zapewniać, w miarę możliwości, ciągłość z istniejącymi ramami regulacyjnymi, w tym z wyłączeniami określonymi w rozporządzeniu delegowanym Komisji (UE) 2020/1818 oraz w wytycznych ESMA dotyczących nazw funduszy, a także powinny opierać się na danych dostępnych od spółek, w które dokonano inwestycji, lub danych, które mogą być racjonalnie oszacowane przez uczestników rynku finansowego. Wyłączenia te powinny odzwierciedlać uzgodnione politycznie cele środowiskowe i społeczne. </w:t>
            </w:r>
            <w:r>
              <w:rPr>
                <w:b/>
                <w:i/>
              </w:rPr>
              <w:t>Aby zapewnić interoperacyjność, uczestnicy rynku finansowego mogą wykazać zgodność z takimi wyłączeniami poprzez odniesienie do powszechnie przyjętych norm międzynarodowych, w tym Wytycznych ONZ dotyczących biznesu i praw człowieka, Wytycznych OECD dla przedsiębiorstw wielonarodowych, o których mowa w tych wytycznych, oraz poprzez równoważne ramy międzynarodowe, takie jak normy efektywności Międzynarodowej Korporacji Finansowej (IFC), wytyczne Banku Światowego dotyczące przestrzegania zasad etyki zawodowej oraz ramy rozwoju ładu korporacyjnego IFC.</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29</w:t>
            </w:r>
            <w:r>
              <w:t xml:space="preserve"> </w:t>
            </w:r>
            <w:r>
              <w:t>Rozporządzenie delegowane Komisji (UE) 2022/1288 z dnia 6 kwietnia 2022 r. uzupełniające rozporządzenie Parlamentu Europejskiego i Rady (UE) 2019/2088 w zakresie regulacyjnych standardów technicznych określających szczegóły dotyczące treści i sposobu prezentacji informacji w odniesieniu do zasady „nie czyń poważnych szkód”, określających treść, metody i sposób prezentacji informacji w odniesieniu do wskaźników zrównoważonego rozwoju i niekorzystnych skutków dla zrównoważonego rozwoju, a także określających treść i sposób prezentacji informacji w odniesieniu do promowania aspektów środowiskowych lub społecznych i celów dotyczących zrównoważonych inwestycji w dokumentach udostępnianych przed zawarciem umowy, na stronach internetowych i w sprawozdaniach okresowych (Dz.U. L 332 z 27.12.2022, s. 1, ELI: http://data.europa.eu/eli/reg_del/2022/1288/oj)</w:t>
            </w:r>
            <w:r>
              <w:rPr>
                <w:b/>
                <w:i/>
              </w:rPr>
              <w:t>.</w:t>
            </w:r>
          </w:p>
        </w:tc>
        <w:tc>
          <w:tcPr>
            <w:tcW w:w="4876" w:type="dxa"/>
            <w:tcBorders>
              <w:top w:val="nil"/>
              <w:left w:val="nil"/>
              <w:bottom w:val="nil"/>
              <w:right w:val="nil"/>
            </w:tcBorders>
          </w:tcPr>
          <w:p>
            <w:pPr>
              <w:pStyle w:val="Normal6a"/>
            </w:pPr>
            <w:r>
              <w:rPr>
                <w:vertAlign w:val="superscript"/>
              </w:rPr>
              <w:t>29</w:t>
            </w:r>
            <w:r>
              <w:t xml:space="preserve"> </w:t>
            </w:r>
            <w:r>
              <w:t>Rozporządzenie delegowane Komisji (UE) 2022/1288 z dnia 6 kwietnia 2022 r. uzupełniające rozporządzenie Parlamentu Europejskiego i Rady (UE) 2019/2088 w zakresie regulacyjnych standardów technicznych określających szczegóły dotyczące treści i sposobu prezentacji informacji w odniesieniu do zasady „nie czyń poważnych szkód”, określających treść, metody i sposób prezentacji informacji w odniesieniu do wskaźników zrównoważonego rozwoju i niekorzystnych skutków dla zrównoważonego rozwoju, a także określających treść i sposób prezentacji informacji w odniesieniu do promowania aspektów środowiskowych lub społecznych i celów dotyczących zrównoważonych inwestycji w dokumentach udostępnianych przed zawarciem umowy, na stronach internetowych i w sprawozdaniach okresowych (Dz.U. L 332 z 27.12.2022, s. 1, ELI: http://data.europa.eu/eli/reg_del/2022/1288/oj)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Markus Ferber, Janusz Lewandowski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Kategoria inwestycji w transformację powinna obejmować produkty finansowe, które mają na celu wspieranie transformacji przedsiębiorstw, działalności gospodarczej i innych aktywów w kierunku zrównoważonego rozwoju lub przyczynianie się do takiej transformacji. Kategoria ta ma zapewnić dla tych produktów wymogi dotyczące ujawniania informacji i kryteria, które dokładnie odzwierciedlają strategie transformacji i uwzględniają obecne wyzwania związane z wdrażaniem wynikające z nieujęcia finansowania transformacji w definicji zrównoważonych inwestycji zawartej w art. 2 pkt 17 rozporządzenia (UE) 2019/2088. Wyzwania te obejmują trudności dla uczestników rynku finansowego, którzy chcą realizować strategie związane z transformacją i ujawniać informacje na ich temat, a także niejasności i brak odpowiednich informacji dla inwestorów końcowych zainteresowanych inwestowaniem w produkty wspierające transformację. Kategoria ta powinna zatem zwiększyć widoczność, przejrzystość i integralność produktów finansowych, które stanowią inwestycję w transformację przedsiębiorstw, działalności gospodarczej lub innych aktywów w kierunku lepszej efektywności środowiskowej lub społecznej lub które przyczyniają się do transformacji środowiskowej lub społecznej. Kategoria ta powinna zatem obejmować produkty finansowe o wysokim poziomie ambicji w zakresie transformacji, przy czym należy wybierać w szczególności inwestycje oparte na sprawdzonych standardach i narzędziach, w tym na strategiach naśladujących lub powielających unijne wskaźniki referencyjne transformacji klimatycznej lub unijne wskaźniki referencyjne dostosowane do porozumienia paryskiego zgodnie z rozporządzeniem (UE) 2016/1011 Parlamentu Europejskiego i Rady</w:t>
            </w:r>
            <w:r>
              <w:rPr>
                <w:b/>
                <w:i/>
                <w:vertAlign w:val="superscript"/>
              </w:rPr>
              <w:t>30</w:t>
            </w:r>
            <w:r>
              <w:t xml:space="preserve">, oparte na inwestowaniu w działalność gospodarczą na rzecz przejścia lub w przedsiębiorstwa inwestujące swoje nakłady inwestycyjne w rozumieniu rozporządzenia (UE) 2020/852 lub na inwestowaniu w przedsiębiorstwa bądź działalność gospodarczą, co do których podjęto zobowiązania dotyczące przyszłych ulepszeń poprzez wiarygodne plany transformacji lub cele oparte na podstawach naukowych. Kategoria ta powinna również obejmować produkty finansowe, w przypadku których wyniki związane z transformacją określono na poziomie portfela, np. zmniejszenie w czasie emisji finansowanych przez portfel, pod warunkiem że inwestycje bazowe są spójne z celem produktów związanym z transformacją. Aby zapewnić znaczący wkład w realizację międzynarodowych i europejskich celów klimatycznych, produkty finansowe, które służą realizacji celu polegającego na łagodzeniu zmiany klimatu, powinny być dostosowane pod względem ambicji do ambicji określonych w porozumieniu paryskim i w rozporządzeniu (UE) 2021/1119, w szczególności w odniesieniu do uczestników rynku finansowego polegających na planach transformacji i celach opartych na podstawach naukowych dostarczonych przez przedsiębiorstwa lub projekty lub realizujących strategię zaangażowania w zrównoważony rozwój ze spółkami, w które dokonano inwestycji. </w:t>
            </w:r>
            <w:r>
              <w:rPr>
                <w:b/>
                <w:i/>
              </w:rPr>
              <w:t>Z</w:t>
            </w:r>
            <w:r>
              <w:t xml:space="preserve"> kategorii </w:t>
            </w:r>
            <w:r>
              <w:rPr>
                <w:b/>
                <w:i/>
              </w:rPr>
              <w:t>tej należy również wyłączyć działania</w:t>
            </w:r>
            <w:r>
              <w:t xml:space="preserve">, które </w:t>
            </w:r>
            <w:r>
              <w:rPr>
                <w:b/>
                <w:i/>
              </w:rPr>
              <w:t>są powszechnie uznawane za szkodliwe dla środowiska i społeczeństwa, dając jednocześnie</w:t>
            </w:r>
            <w:r>
              <w:t xml:space="preserve"> inwestorom </w:t>
            </w:r>
            <w:r>
              <w:rPr>
                <w:b/>
                <w:i/>
              </w:rPr>
              <w:t>możliwość inwestowania w przedsiębiorstwa znajdujące się na różnych etapach transformacji.</w:t>
            </w:r>
            <w:r>
              <w:t xml:space="preserve"> </w:t>
            </w:r>
            <w:r>
              <w:rPr>
                <w:b/>
                <w:i/>
              </w:rPr>
              <w:t>Wyłączenia te powinny być w wystarczającym stopniu dostosowane do wyłączeń określonych w unijnych klimatycznych wskaźnikach referencyjnych i przyjętych w wytycznych ESMA dotyczących nazw funduszy w odniesieniu do wszystkich funduszy stosujących w swoich nazwach określone terminy ESG, w tym terminy związane z transformacją.</w:t>
            </w:r>
            <w:r>
              <w:t xml:space="preserve"> </w:t>
            </w:r>
            <w:r>
              <w:rPr>
                <w:b/>
                <w:i/>
              </w:rPr>
              <w:t>Powinny one obejmować działalność związaną z bronią zakazaną zdefiniowaną w planowanej nowelizacji rozporządzenia (UE) 2020/1818</w:t>
            </w:r>
            <w:r>
              <w:rPr>
                <w:b/>
                <w:i/>
                <w:vertAlign w:val="superscript"/>
              </w:rPr>
              <w:t>31</w:t>
            </w:r>
            <w:r>
              <w:rPr>
                <w:b/>
                <w:i/>
              </w:rPr>
              <w:t>, uprawą i produkcją tytoniu, naruszeniami zasad inicjatywy ONZ Global Compact lub Wytycznych OECD dla przedsiębiorstw międzynarodowych oraz z węglem kamiennym i brunatnym.</w:t>
            </w:r>
            <w:r>
              <w:t xml:space="preserve"> </w:t>
            </w:r>
            <w:r>
              <w:rPr>
                <w:b/>
                <w:i/>
              </w:rPr>
              <w:t>Z</w:t>
            </w:r>
            <w:r>
              <w:t xml:space="preserve"> kategorii </w:t>
            </w:r>
            <w:r>
              <w:rPr>
                <w:b/>
                <w:i/>
              </w:rPr>
              <w:t>tej należy również wyłączyć przedsiębiorstwa opracowujące nowe projekty związane z ropą naftową lub paliwami gazowymi oraz przedsiębiorstwa opracowujące nowe projekty dotyczące wykorzystania węgla kamiennego lub brunatnego do wytwarzania energii elektrycznej bądź nieposiadające planów wycofania się z tego rodzaju działalności</w:t>
            </w:r>
            <w:r>
              <w:t>. Ponadto, podobnie jak w przypadku produktów należących do kategorii inwestycji w zrównoważony rozwój, produkty należące do kategorii inwestycji w transformację powinny identyfikować i ujawniać główne niekorzystne wpływy swoich inwestycji na czynniki zrównoważonego rozwoju oraz wyjaśniać wszelkie działania podjęte w celu przeciwdziałania tym wpływom.</w:t>
            </w:r>
          </w:p>
        </w:tc>
        <w:tc>
          <w:tcPr>
            <w:tcW w:w="4876" w:type="dxa"/>
            <w:tcBorders>
              <w:top w:val="nil"/>
              <w:left w:val="nil"/>
              <w:bottom w:val="nil"/>
              <w:right w:val="nil"/>
            </w:tcBorders>
          </w:tcPr>
          <w:p>
            <w:pPr>
              <w:pStyle w:val="Normal6a"/>
            </w:pPr>
            <w:r>
              <w:t>(16)</w:t>
            </w:r>
            <w:r>
              <w:tab/>
            </w:r>
            <w:r>
              <w:t xml:space="preserve">Kategoria inwestycji w transformację powinna obejmować produkty finansowe, które mają na celu wspieranie transformacji przedsiębiorstw, działalności gospodarczej i innych aktywów w kierunku zrównoważonego rozwoju lub przyczynianie się do takiej transformacji. Kategoria ta ma zapewnić dla tych produktów wymogi dotyczące ujawniania informacji i kryteria, które dokładnie odzwierciedlają strategie transformacji i uwzględniają obecne wyzwania związane z wdrażaniem wynikające z nieujęcia finansowania transformacji w definicji zrównoważonych inwestycji zawartej w art. 2 pkt 17 rozporządzenia (UE) 2019/2088. Wyzwania te obejmują trudności dla uczestników rynku finansowego, którzy chcą realizować strategie związane z transformacją i ujawniać informacje na ich temat, a także niejasności i brak odpowiednich informacji dla inwestorów końcowych zainteresowanych inwestowaniem w produkty wspierające transformację. Kategoria ta powinna zatem zwiększyć widoczność, przejrzystość i integralność produktów finansowych, które stanowią inwestycję w transformację przedsiębiorstw, działalności gospodarczej lub innych aktywów w kierunku lepszej efektywności środowiskowej lub społecznej lub które przyczyniają się do transformacji środowiskowej lub społecznej. Kategoria ta powinna zatem obejmować produkty finansowe o wysokim poziomie ambicji w zakresie transformacji, przy czym należy wybierać w szczególności inwestycje oparte na sprawdzonych standardach i narzędziach, w tym na strategiach naśladujących lub powielających unijne wskaźniki referencyjne transformacji klimatycznej lub unijne wskaźniki referencyjne dostosowane do porozumienia paryskiego zgodnie z rozporządzeniem (UE) 2016/1011 Parlamentu Europejskiego i Rady, oparte na inwestowaniu w działalność gospodarczą na rzecz przejścia lub w przedsiębiorstwa inwestujące swoje nakłady inwestycyjne w rozumieniu rozporządzenia (UE) 2020/852 lub na inwestowaniu w przedsiębiorstwa bądź działalność gospodarczą, co do których podjęto zobowiązania dotyczące przyszłych ulepszeń poprzez wiarygodne plany transformacji lub cele oparte na podstawach naukowych. Kategoria ta powinna również obejmować produkty finansowe, w przypadku których wyniki związane z transformacją określono na poziomie portfela, np. zmniejszenie w czasie emisji finansowanych przez portfel, pod warunkiem że inwestycje bazowe są spójne z celem produktów związanym z transformacją. Aby zapewnić znaczący wkład w realizację międzynarodowych i europejskich celów klimatycznych, produkty finansowe, które służą realizacji celu polegającego na łagodzeniu zmiany klimatu, powinny być dostosowane pod względem ambicji do ambicji określonych w porozumieniu paryskim i w rozporządzeniu (UE) 2021/1119, w szczególności w odniesieniu do uczestników rynku finansowego polegających na planach transformacji i celach opartych na podstawach naukowych dostarczonych przez przedsiębiorstwa lub projekty lub realizujących strategię zaangażowania w zrównoważony rozwój ze spółkami, w które dokonano inwestycji. </w:t>
            </w:r>
            <w:r>
              <w:rPr>
                <w:b/>
                <w:i/>
              </w:rPr>
              <w:t>Uczestnicy rynku finansowego, którzy oferują produkty należące do</w:t>
            </w:r>
            <w:r>
              <w:t xml:space="preserve"> kategorii </w:t>
            </w:r>
            <w:r>
              <w:rPr>
                <w:b/>
                <w:i/>
              </w:rPr>
              <w:t>inwestycji w transformację powinni mieć swobodę stosowania wszelkich wyłączeń</w:t>
            </w:r>
            <w:r>
              <w:t xml:space="preserve">, które </w:t>
            </w:r>
            <w:r>
              <w:rPr>
                <w:b/>
                <w:i/>
              </w:rPr>
              <w:t>uznają za odpowiednie dla swojej strategii inwestycyjnej, oraz ujawniania tych wyłączeń</w:t>
            </w:r>
            <w:r>
              <w:t xml:space="preserve"> inwestorom</w:t>
            </w:r>
            <w:r>
              <w:rPr>
                <w:b/>
                <w:i/>
              </w:rPr>
              <w:t>.</w:t>
            </w:r>
            <w:r>
              <w:t xml:space="preserve"> </w:t>
            </w:r>
            <w:r>
              <w:rPr>
                <w:b/>
                <w:i/>
              </w:rPr>
              <w:t>Integralność</w:t>
            </w:r>
            <w:r>
              <w:t xml:space="preserve"> kategorii </w:t>
            </w:r>
            <w:r>
              <w:rPr>
                <w:b/>
                <w:i/>
              </w:rPr>
              <w:t>inwestycji w transformację gwarantuje próg wkładu określony w ust. 1 lit. a)</w:t>
            </w:r>
            <w:r>
              <w:t>. Ponadto, podobnie jak w przypadku produktów należących do kategorii inwestycji w zrównoważony rozwój, produkty należące do kategorii inwestycji w transformację powinny identyfikować i ujawniać główne niekorzystne wpływy swoich inwestycji na czynniki zrównoważonego rozwoju oraz wyjaśniać wszelkie działania podjęte w celu przeciwdziałania tym wpływom.</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30</w:t>
            </w:r>
            <w:r>
              <w:t xml:space="preserve"> </w:t>
            </w:r>
            <w:r>
              <w:rPr>
                <w:b/>
                <w:i/>
              </w:rPr>
              <w:t>Rozporządzenie Parlamentu Europejskiego i Rady (UE) 2016/1011 z dnia 8 czerwca 2016 r. w sprawie indeksów stosowanych jako wskaźniki referencyjne w instrumentach finansowych i umowach finansowych lub do pomiaru wyników funduszy inwestycyjnych i zmieniające dyrektywy 2008/48/WE i 2014/17/UE oraz rozporządzenie (UE) nr 596/2014 (Dz.U.</w:t>
            </w:r>
            <w:r>
              <w:t xml:space="preserve"> </w:t>
            </w:r>
            <w:r>
              <w:rPr>
                <w:b/>
                <w:i/>
              </w:rPr>
              <w:t>L 171 z 29.6.2016, s.</w:t>
            </w:r>
            <w:r>
              <w:t xml:space="preserve"> </w:t>
            </w:r>
            <w:r>
              <w:rPr>
                <w:b/>
                <w:i/>
              </w:rPr>
              <w:t>1, ELI: http://data.europa.eu/eli/reg/2016/1011/oj).</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31</w:t>
            </w:r>
            <w:r>
              <w:t xml:space="preserve"> </w:t>
            </w:r>
            <w:r>
              <w:rPr>
                <w:b/>
                <w:i/>
              </w:rPr>
              <w:t>Rozporządzenie delegowane Komisji (UE).../... zmieniające rozporządzenie delegowane (UE) 2020/1818 w odniesieniu do definicji broni zakazanej C(2025)3801 Szczegóły dotyczące aktu delegowanego – Rejestr aktów delegowanych.</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Uczestnicy rynku finansowego, którzy oferują produkty należące do kategorii inwestycji w transformację mają swobodę stosowania wszelkich wyłączeń, które uznają za odpowiednie dla swojej strategii inwestycyjnej, oraz ujawniania tych wyłączeń inwestorom.</w:t>
      </w:r>
      <w:r>
        <w:t xml:space="preserve"> </w:t>
      </w:r>
      <w:r>
        <w:t>Integralność kategorii inwestycji w transformację gwarantuje próg wkładu określony w ust. 1 lit. a).</w:t>
      </w:r>
    </w:p>
    <w:p>
      <w:r>
        <w:rPr>
          <w:rStyle w:val="HideTWBExt"/>
        </w:rPr>
        <w:t>&lt;/Amend&gt;</w:t>
      </w:r>
    </w:p>
    <w:p>
      <w:pPr>
        <w:pStyle w:val="AmNumberTabs"/>
      </w:pPr>
      <w:r>
        <w:rPr>
          <w:rStyle w:val="HideTWBExt"/>
        </w:rPr>
        <w:t>&lt;Amend&gt;</w:t>
      </w:r>
      <w:r>
        <w:t>Poprawka</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Denis Nesci, Francesco Ventola, Mariateresa Vivaldini, Marco Falcone, Marco Squarta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Kategoria inwestycji w transformację powinna obejmować produkty finansowe, które mają na celu wspieranie transformacji przedsiębiorstw, działalności gospodarczej i innych aktywów w kierunku zrównoważonego rozwoju lub przyczynianie się do takiej transformacji. Kategoria ta ma zapewnić dla tych produktów wymogi dotyczące ujawniania informacji i kryteria, które dokładnie odzwierciedlają strategie transformacji i uwzględniają obecne wyzwania związane z wdrażaniem wynikające z nieujęcia finansowania transformacji w definicji zrównoważonych inwestycji zawartej w art. 2 pkt 17 rozporządzenia (UE) 2019/2088. Wyzwania te obejmują trudności dla uczestników rynku finansowego, którzy chcą realizować strategie związane z transformacją i ujawniać informacje na ich temat, a także niejasności i brak odpowiednich informacji dla inwestorów końcowych zainteresowanych inwestowaniem w produkty wspierające transformację. Kategoria ta powinna zatem zwiększyć widoczność, przejrzystość i integralność produktów finansowych, które stanowią inwestycję w transformację przedsiębiorstw, działalności gospodarczej lub innych aktywów w kierunku lepszej efektywności środowiskowej lub społecznej lub które przyczyniają się do transformacji środowiskowej lub społecznej. Kategoria ta powinna zatem obejmować produkty finansowe o wysokim poziomie ambicji w zakresie transformacji, przy czym należy wybierać w szczególności inwestycje oparte na sprawdzonych standardach i narzędziach, w tym na strategiach naśladujących lub powielających unijne wskaźniki referencyjne transformacji klimatycznej lub unijne wskaźniki referencyjne dostosowane do porozumienia paryskiego zgodnie z rozporządzeniem (UE) 2016/1011 Parlamentu Europejskiego i Rady</w:t>
            </w:r>
            <w:r>
              <w:rPr>
                <w:vertAlign w:val="superscript"/>
              </w:rPr>
              <w:t>30</w:t>
            </w:r>
            <w:r>
              <w:t xml:space="preserve">, oparte na inwestowaniu w działalność gospodarczą na rzecz przejścia lub w przedsiębiorstwa inwestujące swoje nakłady inwestycyjne w rozumieniu rozporządzenia (UE) 2020/852 lub na inwestowaniu w przedsiębiorstwa bądź działalność gospodarczą, co do których podjęto zobowiązania dotyczące przyszłych ulepszeń poprzez wiarygodne plany transformacji lub cele oparte na podstawach naukowych. Kategoria ta powinna również obejmować produkty finansowe, w przypadku których wyniki związane z transformacją określono na poziomie portfela, np. zmniejszenie w czasie emisji finansowanych przez portfel, pod warunkiem że inwestycje bazowe są spójne z celem produktów związanym z transformacją. Aby zapewnić znaczący wkład w realizację międzynarodowych i europejskich celów klimatycznych, produkty finansowe, które służą realizacji celu polegającego na łagodzeniu zmiany klimatu, powinny być dostosowane pod względem ambicji do ambicji określonych w porozumieniu paryskim i w rozporządzeniu (UE) 2021/1119, w szczególności w odniesieniu do uczestników rynku finansowego polegających na planach transformacji i celach opartych na podstawach naukowych dostarczonych przez przedsiębiorstwa lub projekty lub realizujących strategię zaangażowania w zrównoważony rozwój ze spółkami, w które dokonano inwestycji. Z kategorii tej należy również wyłączyć działania, które są powszechnie uznawane za szkodliwe dla środowiska i społeczeństwa, dając jednocześnie inwestorom możliwość inwestowania w przedsiębiorstwa znajdujące się na różnych etapach transformacji. Wyłączenia te powinny być </w:t>
            </w:r>
            <w:r>
              <w:rPr>
                <w:b/>
                <w:i/>
              </w:rPr>
              <w:t>w wystarczającym stopniu</w:t>
            </w:r>
            <w:r>
              <w:t xml:space="preserve"> dostosowane do wyłączeń określonych w unijnych klimatycznych wskaźnikach referencyjnych i przyjętych w wytycznych ESMA dotyczących nazw funduszy w odniesieniu do wszystkich funduszy stosujących w swoich nazwach określone terminy ESG, w tym terminy związane z transformacją. Powinny one obejmować działalność związaną z bronią zakazaną zdefiniowaną w planowanej nowelizacji rozporządzenia (UE) 2020/1818</w:t>
            </w:r>
            <w:r>
              <w:rPr>
                <w:vertAlign w:val="superscript"/>
              </w:rPr>
              <w:t>31</w:t>
            </w:r>
            <w:r>
              <w:t>, uprawą i produkcją tytoniu</w:t>
            </w:r>
            <w:r>
              <w:rPr>
                <w:b/>
                <w:i/>
              </w:rPr>
              <w:t>,</w:t>
            </w:r>
            <w:r>
              <w:t xml:space="preserve"> naruszeniami zasad inicjatywy ONZ Global Compact lub Wytycznych OECD </w:t>
            </w:r>
            <w:r>
              <w:rPr>
                <w:b/>
                <w:i/>
              </w:rPr>
              <w:t>dla przedsiębiorstw międzynarodowych oraz z węglem kamiennym i brunatnym</w:t>
            </w:r>
            <w:r>
              <w:t xml:space="preserve">. </w:t>
            </w:r>
            <w:r>
              <w:rPr>
                <w:b/>
                <w:i/>
              </w:rPr>
              <w:t>Z kategorii tej należy również wyłączyć przedsiębiorstwa opracowujące nowe projekty związane z ropą naftową lub paliwami gazowymi oraz przedsiębiorstwa opracowujące nowe projekty dotyczące wykorzystania węgla kamiennego lub brunatnego do wytwarzania energii elektrycznej bądź nieposiadające planów wycofania się z tego rodzaju działalności.</w:t>
            </w:r>
            <w:r>
              <w:t xml:space="preserve"> </w:t>
            </w:r>
            <w:r>
              <w:rPr>
                <w:b/>
                <w:i/>
              </w:rPr>
              <w:t>Ponadto, podobnie jak w przypadku produktów należących do kategorii inwestycji w zrównoważony rozwój, produkty należące do kategorii inwestycji w transformację powinny identyfikować i ujawniać główne niekorzystne wpływy swoich inwestycji na czynniki zrównoważonego rozwoju oraz wyjaśniać wszelkie działania podjęte w celu przeciwdziałania tym wpływom.</w:t>
            </w:r>
          </w:p>
        </w:tc>
        <w:tc>
          <w:tcPr>
            <w:tcW w:w="4876" w:type="dxa"/>
            <w:tcBorders>
              <w:top w:val="nil"/>
              <w:left w:val="nil"/>
              <w:bottom w:val="nil"/>
              <w:right w:val="nil"/>
            </w:tcBorders>
          </w:tcPr>
          <w:p>
            <w:pPr>
              <w:pStyle w:val="Normal6a"/>
            </w:pPr>
            <w:r>
              <w:t>(16)</w:t>
            </w:r>
            <w:r>
              <w:tab/>
            </w:r>
            <w:r>
              <w:t>Kategoria inwestycji w transformację powinna obejmować produkty finansowe, które mają na celu wspieranie transformacji przedsiębiorstw, działalności gospodarczej i innych aktywów w kierunku zrównoważonego rozwoju lub przyczynianie się do takiej transformacji. Kategoria ta ma zapewnić dla tych produktów wymogi dotyczące ujawniania informacji i kryteria, które dokładnie odzwierciedlają strategie transformacji i uwzględniają obecne wyzwania związane z wdrażaniem wynikające z nieujęcia finansowania transformacji w definicji zrównoważonych inwestycji zawartej w art. 2 pkt 17 rozporządzenia (UE) 2019/2088. Wyzwania te obejmują trudności dla uczestników rynku finansowego, którzy chcą realizować strategie związane z transformacją i ujawniać informacje na ich temat, a także niejasności i brak odpowiednich informacji dla inwestorów końcowych zainteresowanych inwestowaniem w produkty wspierające transformację. Kategoria ta powinna zatem zwiększyć widoczność, przejrzystość i integralność produktów finansowych, które stanowią inwestycję w transformację przedsiębiorstw, działalności gospodarczej lub innych aktywów w kierunku lepszej efektywności środowiskowej lub społecznej lub które przyczyniają się do transformacji środowiskowej lub społecznej. Kategoria ta powinna zatem obejmować produkty finansowe o wysokim poziomie ambicji w zakresie transformacji, przy czym należy wybierać w szczególności inwestycje oparte na sprawdzonych standardach i narzędziach, w tym na strategiach naśladujących lub powielających unijne wskaźniki referencyjne transformacji klimatycznej lub unijne wskaźniki referencyjne dostosowane do porozumienia paryskiego zgodnie z rozporządzeniem (UE) 2016/1011 Parlamentu Europejskiego i Rady</w:t>
            </w:r>
            <w:r>
              <w:rPr>
                <w:vertAlign w:val="superscript"/>
              </w:rPr>
              <w:t>30</w:t>
            </w:r>
            <w:r>
              <w:t>, oparte na inwestowaniu w działalność gospodarczą na rzecz przejścia lub w przedsiębiorstwa inwestujące swoje nakłady inwestycyjne w rozumieniu rozporządzenia (UE) 2020/852 lub na inwestowaniu w przedsiębiorstwa bądź działalność gospodarczą, co do których podjęto zobowiązania dotyczące przyszłych ulepszeń poprzez wiarygodne plany transformacji lub cele oparte na podstawach naukowych. Kategoria ta powinna również obejmować produkty finansowe, w przypadku których wyniki związane z transformacją określono na poziomie portfela, np. zmniejszenie w czasie emisji finansowanych przez portfel, pod warunkiem że inwestycje bazowe są spójne z celem produktów związanym z transformacją. Aby zapewnić znaczący wkład w realizację międzynarodowych i europejskich celów klimatycznych, produkty finansowe, które służą realizacji celu polegającego na łagodzeniu zmiany klimatu, powinny być dostosowane pod względem ambicji do ambicji określonych w porozumieniu paryskim i w rozporządzeniu (UE) 2021/1119, w szczególności w odniesieniu do uczestników rynku finansowego polegających na planach transformacji i celach opartych na podstawach naukowych dostarczonych przez przedsiębiorstwa lub projekty lub realizujących strategię zaangażowania w zrównoważony rozwój ze spółkami, w które dokonano inwestycji. Z kategorii tej należy również wyłączyć działania, które są powszechnie uznawane za szkodliwe dla środowiska i społeczeństwa, dając jednocześnie inwestorom możliwość inwestowania w przedsiębiorstwa znajdujące się na różnych etapach transformacji. Wyłączenia te powinny być dostosowane do wyłączeń określonych w unijnych klimatycznych wskaźnikach referencyjnych i przyjętych w wytycznych ESMA dotyczących nazw funduszy w odniesieniu do wszystkich funduszy stosujących w swoich nazwach określone terminy ESG, w tym terminy związane z transformacją. Powinny one obejmować działalność związaną z bronią zakazaną zdefiniowaną w planowanej nowelizacji rozporządzenia (UE) 2020/1818</w:t>
            </w:r>
            <w:r>
              <w:rPr>
                <w:vertAlign w:val="superscript"/>
              </w:rPr>
              <w:t>31</w:t>
            </w:r>
            <w:r>
              <w:t xml:space="preserve">, uprawą i produkcją tytoniu </w:t>
            </w:r>
            <w:r>
              <w:rPr>
                <w:b/>
                <w:i/>
              </w:rPr>
              <w:t>oraz</w:t>
            </w:r>
            <w:r>
              <w:t> naruszeniami zasad inicjatywy ONZ Global Compact lub Wytycznych OECD.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30</w:t>
            </w:r>
            <w:r>
              <w:t xml:space="preserve"> </w:t>
            </w:r>
            <w:r>
              <w:t xml:space="preserve">Rozporządzenie Parlamentu Europejskiego i Rady (UE) 2016/1011 z dnia 8 czerwca 2016 r. w sprawie indeksów stosowanych jako wskaźniki referencyjne w instrumentach finansowych i umowach finansowych lub do pomiaru wyników funduszy inwestycyjnych i zmieniające dyrektywy 2008/48/WE i 2014/17/UE oraz rozporządzenie (UE) nr 596/2014 </w:t>
            </w:r>
            <w:r>
              <w:rPr>
                <w:b/>
                <w:i/>
              </w:rPr>
              <w:t>(</w:t>
            </w:r>
            <w:r>
              <w:t>Dz.U. L 171 z 29.6.2016, s. 1, ELI: http://data.europa.eu/eli/reg/2016/1011/oj).</w:t>
            </w:r>
          </w:p>
        </w:tc>
        <w:tc>
          <w:tcPr>
            <w:tcW w:w="4876" w:type="dxa"/>
            <w:tcBorders>
              <w:top w:val="nil"/>
              <w:left w:val="nil"/>
              <w:bottom w:val="nil"/>
              <w:right w:val="nil"/>
            </w:tcBorders>
          </w:tcPr>
          <w:p>
            <w:pPr>
              <w:pStyle w:val="Normal6a"/>
            </w:pPr>
            <w:r>
              <w:rPr>
                <w:vertAlign w:val="superscript"/>
              </w:rPr>
              <w:t>30</w:t>
            </w:r>
            <w:r>
              <w:t xml:space="preserve"> </w:t>
            </w:r>
            <w:r>
              <w:t>Rozporządzenie Parlamentu Europejskiego i Rady (UE) 2016/1011 z dnia 8 czerwca 2016 r. w sprawie indeksów stosowanych jako wskaźniki referencyjne w instrumentach finansowych i umowach finansowych lub do pomiaru wyników funduszy inwestycyjnych i zmieniające dyrektywy 2008/48/WE i 2014/17/UE oraz rozporządzenie (UE) nr 596/2014</w:t>
            </w:r>
            <w:r>
              <w:rPr>
                <w:b/>
                <w:i/>
              </w:rPr>
              <w:t>.</w:t>
            </w:r>
            <w:r>
              <w:t xml:space="preserve"> Dz.U. L 171 z 29.6.2016, s. 1, ELI: http://data.europa.eu/eli/reg/2016/1011/oj).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31</w:t>
            </w:r>
            <w:r>
              <w:t xml:space="preserve"> </w:t>
            </w:r>
            <w:r>
              <w:t>Rozporządzenie delegowane Komisji (UE).../... zmieniające rozporządzenie delegowane (UE) 2020/1818 w odniesieniu do definicji broni zakazanej C(2025)3801 Szczegóły dotyczące aktu delegowanego – Rejestr aktów delegowanych.</w:t>
            </w:r>
          </w:p>
        </w:tc>
        <w:tc>
          <w:tcPr>
            <w:tcW w:w="4876" w:type="dxa"/>
            <w:tcBorders>
              <w:top w:val="nil"/>
              <w:left w:val="nil"/>
              <w:bottom w:val="nil"/>
              <w:right w:val="nil"/>
            </w:tcBorders>
          </w:tcPr>
          <w:p>
            <w:pPr>
              <w:pStyle w:val="Normal6a"/>
            </w:pPr>
            <w:r>
              <w:rPr>
                <w:vertAlign w:val="superscript"/>
              </w:rPr>
              <w:t>31</w:t>
            </w:r>
            <w:r>
              <w:t xml:space="preserve"> </w:t>
            </w:r>
            <w:r>
              <w:t>Rozporządzenie delegowane Komisji (UE) .../... zmieniające rozporządzenie delegowane (UE) 2020/1818 w odniesieniu do definicji broni zakazanej C(2025)3801 Szczegóły dotyczące aktu delegowanego – Rejestr aktów delegowanych.</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Luděk Niedermayer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Kategoria inwestycji w transformację powinna obejmować produkty finansowe, które mają na celu </w:t>
            </w:r>
            <w:r>
              <w:rPr>
                <w:b/>
                <w:i/>
              </w:rPr>
              <w:t>wspieranie transformacji</w:t>
            </w:r>
            <w:r>
              <w:t xml:space="preserve"> przedsiębiorstw, działalności gospodarczej i innych aktywów w kierunku zrównoważonego rozwoju lub przyczynianie się do takiej transformacji. Kategoria ta ma zapewnić dla tych produktów wymogi dotyczące ujawniania informacji i kryteria, które dokładnie odzwierciedlają strategie transformacji i uwzględniają obecne wyzwania związane z wdrażaniem wynikające z nieujęcia finansowania transformacji w definicji zrównoważonych inwestycji zawartej w art. 2 pkt 17 rozporządzenia (UE) 2019/2088. Wyzwania te obejmują trudności dla uczestników rynku finansowego, którzy chcą realizować strategie związane z transformacją i ujawniać informacje na ich temat, a także niejasności i brak odpowiednich informacji dla inwestorów końcowych zainteresowanych inwestowaniem w produkty wspierające transformację. Kategoria ta powinna zatem zwiększyć widoczność, przejrzystość i integralność produktów finansowych, które stanowią inwestycję w transformację przedsiębiorstw, działalności gospodarczej lub innych aktywów w kierunku lepszej efektywności środowiskowej lub społecznej lub które przyczyniają się do transformacji środowiskowej lub społecznej. Kategoria ta powinna zatem obejmować produkty finansowe o wysokim poziomie ambicji w zakresie transformacji, przy czym należy wybierać w szczególności inwestycje oparte na sprawdzonych standardach i narzędziach, w tym na strategiach naśladujących lub powielających unijne wskaźniki referencyjne transformacji klimatycznej lub unijne wskaźniki referencyjne dostosowane do porozumienia paryskiego zgodnie z rozporządzeniem (UE) 2016/1011 Parlamentu Europejskiego i Rady</w:t>
            </w:r>
            <w:r>
              <w:rPr>
                <w:vertAlign w:val="superscript"/>
              </w:rPr>
              <w:t>30</w:t>
            </w:r>
            <w:r>
              <w:t>, oparte na inwestowaniu w działalność gospodarczą na rzecz przejścia lub w przedsiębiorstwa inwestujące swoje nakłady inwestycyjne w rozumieniu rozporządzenia (UE) 2020/852 lub na inwestowaniu w przedsiębiorstwa bądź działalność gospodarczą, co do których podjęto zobowiązania dotyczące przyszłych ulepszeń poprzez wiarygodne plany transformacji lub cele oparte na podstawach naukowych. Kategoria ta powinna również obejmować produkty finansowe, w przypadku których wyniki związane z transformacją określono na poziomie portfela, np. zmniejszenie w czasie emisji finansowanych przez portfel, pod warunkiem że inwestycje bazowe są spójne z celem produktów związanym z transformacją. Aby zapewnić znaczący wkład w realizację międzynarodowych i europejskich celów klimatycznych, produkty finansowe, które służą realizacji celu polegającego na łagodzeniu zmiany klimatu, powinny być dostosowane pod względem ambicji do ambicji określonych w porozumieniu paryskim i w rozporządzeniu (UE) 2021/1119, w szczególności w odniesieniu do uczestników rynku finansowego polegających na planach transformacji i celach opartych na podstawach naukowych dostarczonych przez przedsiębiorstwa lub projekty lub realizujących strategię zaangażowania w zrównoważony rozwój ze spółkami, w które dokonano inwestycji. Z kategorii tej należy również wyłączyć działania, które są powszechnie uznawane za szkodliwe dla środowiska i społeczeństwa, dając jednocześnie inwestorom możliwość inwestowania w przedsiębiorstwa znajdujące się na różnych etapach transformacji. Wyłączenia te powinny być w wystarczającym stopniu dostosowane do wyłączeń określonych w unijnych klimatycznych wskaźnikach referencyjnych i przyjętych w wytycznych ESMA dotyczących nazw funduszy w odniesieniu do wszystkich funduszy stosujących w swoich nazwach określone terminy ESG, w tym terminy związane z transformacją. Powinny one obejmować działalność związaną z bronią zakazaną zdefiniowaną w planowanej nowelizacji rozporządzenia (UE) 2020/1818</w:t>
            </w:r>
            <w:r>
              <w:rPr>
                <w:vertAlign w:val="superscript"/>
              </w:rPr>
              <w:t>31</w:t>
            </w:r>
            <w:r>
              <w:t xml:space="preserve">, uprawą i produkcją tytoniu, naruszeniami zasad inicjatywy ONZ Global Compact lub Wytycznych OECD dla przedsiębiorstw międzynarodowych oraz z węglem kamiennym i brunatnym. Z kategorii tej należy również wyłączyć przedsiębiorstwa opracowujące nowe projekty </w:t>
            </w:r>
            <w:r>
              <w:rPr>
                <w:b/>
                <w:i/>
              </w:rPr>
              <w:t>związane z ropą naftową lub paliwami gazowymi oraz przedsiębiorstwa opracowujące nowe projekty dotyczące wykorzystania</w:t>
            </w:r>
            <w:r>
              <w:t xml:space="preserve"> węgla kamiennego lub brunatnego do wytwarzania energii elektrycznej </w:t>
            </w:r>
            <w:r>
              <w:rPr>
                <w:b/>
                <w:i/>
              </w:rPr>
              <w:t>bądź nieposiadające planów wycofania</w:t>
            </w:r>
            <w:r>
              <w:t xml:space="preserve"> się z </w:t>
            </w:r>
            <w:r>
              <w:rPr>
                <w:b/>
                <w:i/>
              </w:rPr>
              <w:t>tego rodzaju</w:t>
            </w:r>
            <w:r>
              <w:t xml:space="preserve"> działalności. Ponadto, podobnie jak w przypadku produktów należących do kategorii inwestycji w zrównoważony rozwój, produkty należące do kategorii inwestycji w transformację powinny identyfikować i ujawniać główne niekorzystne wpływy swoich inwestycji na czynniki zrównoważonego rozwoju oraz wyjaśniać wszelkie działania podjęte w celu przeciwdziałania tym wpływom.</w:t>
            </w:r>
          </w:p>
        </w:tc>
        <w:tc>
          <w:tcPr>
            <w:tcW w:w="4876" w:type="dxa"/>
            <w:tcBorders>
              <w:top w:val="nil"/>
              <w:left w:val="nil"/>
              <w:bottom w:val="nil"/>
              <w:right w:val="nil"/>
            </w:tcBorders>
          </w:tcPr>
          <w:p>
            <w:pPr>
              <w:pStyle w:val="Normal6a"/>
            </w:pPr>
            <w:r>
              <w:t>(16)</w:t>
            </w:r>
            <w:r>
              <w:tab/>
            </w:r>
            <w:r>
              <w:t xml:space="preserve">Kategoria inwestycji w transformację powinna obejmować produkty finansowe, które mają na celu </w:t>
            </w:r>
            <w:r>
              <w:rPr>
                <w:b/>
                <w:i/>
              </w:rPr>
              <w:t>zachęcanie</w:t>
            </w:r>
            <w:r>
              <w:t xml:space="preserve"> przedsiębiorstw, działalności gospodarczej i innych aktywów </w:t>
            </w:r>
            <w:r>
              <w:rPr>
                <w:b/>
                <w:i/>
              </w:rPr>
              <w:t>do transformacji</w:t>
            </w:r>
            <w:r>
              <w:t xml:space="preserve"> w kierunku zrównoważonego rozwoju </w:t>
            </w:r>
            <w:r>
              <w:rPr>
                <w:b/>
                <w:i/>
              </w:rPr>
              <w:t>i wspieranie ich w tym procesie,</w:t>
            </w:r>
            <w:r>
              <w:t xml:space="preserve"> lub przyczynianie się do takiej transformacji </w:t>
            </w:r>
            <w:r>
              <w:rPr>
                <w:b/>
                <w:i/>
              </w:rPr>
              <w:t>w inny sposób</w:t>
            </w:r>
            <w:r>
              <w:t>. Kategoria ta ma zapewnić dla tych produktów wymogi dotyczące ujawniania informacji i kryteria, które dokładnie odzwierciedlają strategie transformacji i uwzględniają obecne wyzwania związane z wdrażaniem wynikające z nieujęcia finansowania transformacji w definicji zrównoważonych inwestycji zawartej w art. 2 pkt 17 rozporządzenia (UE) 2019/2088. Wyzwania te obejmują trudności dla uczestników rynku finansowego, którzy chcą realizować strategie związane z transformacją i ujawniać informacje na ich temat, a także niejasności i brak odpowiednich informacji dla inwestorów końcowych zainteresowanych inwestowaniem w produkty wspierające transformację. Kategoria ta powinna zatem zwiększyć widoczność, przejrzystość i integralność produktów finansowych, które stanowią inwestycję w transformację przedsiębiorstw, działalności gospodarczej lub innych aktywów w kierunku lepszej efektywności środowiskowej lub społecznej lub które przyczyniają się do transformacji środowiskowej lub społecznej. Kategoria ta powinna zatem obejmować produkty finansowe o wysokim poziomie ambicji w zakresie transformacji, przy czym należy wybierać w szczególności inwestycje oparte na sprawdzonych standardach i narzędziach, w tym na strategiach naśladujących lub powielających unijne wskaźniki referencyjne transformacji klimatycznej lub unijne wskaźniki referencyjne dostosowane do porozumienia paryskiego zgodnie z rozporządzeniem (UE) 2016/1011 Parlamentu Europejskiego i Rady</w:t>
            </w:r>
            <w:r>
              <w:rPr>
                <w:vertAlign w:val="superscript"/>
              </w:rPr>
              <w:t>30</w:t>
            </w:r>
            <w:r>
              <w:t>, oparte na inwestowaniu w działalność gospodarczą na rzecz przejścia lub w przedsiębiorstwa inwestujące swoje nakłady inwestycyjne w rozumieniu rozporządzenia (UE) 2020/852 lub na inwestowaniu w przedsiębiorstwa bądź działalność gospodarczą, co do których podjęto zobowiązania dotyczące przyszłych ulepszeń poprzez wiarygodne plany transformacji lub cele oparte na podstawach naukowych. Kategoria ta powinna również obejmować produkty finansowe, w przypadku których wyniki związane z transformacją określono na poziomie portfela, np. zmniejszenie w czasie emisji finansowanych przez portfel, pod warunkiem że inwestycje bazowe są spójne z celem produktów związanym z transformacją. Aby zapewnić znaczący wkład w realizację międzynarodowych i europejskich celów klimatycznych, produkty finansowe, które służą realizacji celu polegającego na łagodzeniu zmiany klimatu, powinny być dostosowane pod względem ambicji do ambicji określonych w porozumieniu paryskim i w rozporządzeniu (UE) 2021/1119, w szczególności w odniesieniu do uczestników rynku finansowego polegających na planach transformacji i celach opartych na podstawach naukowych dostarczonych przez przedsiębiorstwa lub projekty lub realizujących strategię zaangażowania w zrównoważony rozwój ze spółkami, w które dokonano inwestycji. Z kategorii tej należy również wyłączyć działania, które są powszechnie uznawane za szkodliwe dla środowiska i społeczeństwa, dając jednocześnie inwestorom możliwość inwestowania w przedsiębiorstwa znajdujące się na różnych etapach transformacji. Wyłączenia te powinny być w wystarczającym stopniu dostosowane do wyłączeń określonych w unijnych klimatycznych wskaźnikach referencyjnych i przyjętych w wytycznych ESMA dotyczących nazw funduszy w odniesieniu do wszystkich funduszy stosujących w swoich nazwach określone terminy ESG, w tym terminy związane z transformacją. Powinny one obejmować działalność związaną z bronią zakazaną zdefiniowaną w planowanej nowelizacji rozporządzenia (UE) 2020/1818</w:t>
            </w:r>
            <w:r>
              <w:rPr>
                <w:vertAlign w:val="superscript"/>
              </w:rPr>
              <w:t>31</w:t>
            </w:r>
            <w:r>
              <w:t xml:space="preserve">, uprawą i produkcją tytoniu, naruszeniami zasad inicjatywy ONZ Global Compact lub Wytycznych OECD dla przedsiębiorstw międzynarodowych oraz z węglem kamiennym i brunatnym. Z kategorii tej należy również wyłączyć przedsiębiorstwa opracowujące nowe projekty </w:t>
            </w:r>
            <w:r>
              <w:rPr>
                <w:b/>
                <w:i/>
              </w:rPr>
              <w:t>w zakresie poszukiwania, wydobycia, dystrybucji, rafinacji lub eksploatacji</w:t>
            </w:r>
            <w:r>
              <w:t xml:space="preserve"> węgla kamiennego lub brunatnego</w:t>
            </w:r>
            <w:r>
              <w:rPr>
                <w:b/>
                <w:i/>
              </w:rPr>
              <w:t>, paliw ropopochodnych lub paliw gazowych, a także przedsiębiorstwa wykorzystujące węgiel kamienny lub brunatny</w:t>
            </w:r>
            <w:r>
              <w:t xml:space="preserve"> do wytwarzania energii elektrycznej</w:t>
            </w:r>
            <w:r>
              <w:rPr>
                <w:b/>
                <w:i/>
              </w:rPr>
              <w:t>, które nie mają określonego w czasie i wymiernego planu stopniowego wycofywania</w:t>
            </w:r>
            <w:r>
              <w:t xml:space="preserve"> się z </w:t>
            </w:r>
            <w:r>
              <w:rPr>
                <w:b/>
                <w:i/>
              </w:rPr>
              <w:t>takiej</w:t>
            </w:r>
            <w:r>
              <w:t xml:space="preserve"> działalności</w:t>
            </w:r>
            <w:r>
              <w:rPr>
                <w:b/>
                <w:i/>
              </w:rPr>
              <w:t>.</w:t>
            </w:r>
            <w:r>
              <w:t xml:space="preserve"> </w:t>
            </w:r>
            <w:r>
              <w:rPr>
                <w:b/>
                <w:i/>
              </w:rPr>
              <w:t>Należy wyłączyć przedsiębiorstwa uzyskujące przychody z poszukiwania, wydobycia lub rafinacji paliw ropopochodnych lub paliw gazowych, chyba że wykażą one wiarygodne przesunięcie nakładów inwestycyjnych w kierunku działań wspierających transformację, w szczególności działań zgodnych z systematyką, oraz posiadają określoną w czasie i wymierną strategię na rzecz ograniczenia emisji gazów cieplarnianych zakresu 1 i 2</w:t>
            </w:r>
            <w:r>
              <w:t>. Ponadto, podobnie jak w przypadku produktów należących do kategorii inwestycji w zrównoważony rozwój, produkty należące do kategorii inwestycji w transformację powinny identyfikować i ujawniać główne niekorzystne wpływy swoich inwestycji na czynniki zrównoważonego rozwoju oraz wyjaśniać wszelkie działania podjęte w celu przeciwdziałania tym wpływom.</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30</w:t>
            </w:r>
            <w:r>
              <w:t xml:space="preserve"> </w:t>
            </w:r>
            <w:r>
              <w:t>Rozporządzenie Parlamentu Europejskiego i Rady (UE) 2016/1011 z dnia 8 czerwca 2016 r. w sprawie indeksów stosowanych jako wskaźniki referencyjne w instrumentach finansowych i umowach finansowych lub do pomiaru wyników funduszy inwestycyjnych i zmieniające dyrektywy 2008/48/WE i 2014/17/UE oraz rozporządzenie (UE) nr 596/2014 (Dz.U. L 171 z 29.6.2016, s. 1, ELI: http://data.europa.eu/eli/reg/2016/1011/oj).</w:t>
            </w:r>
          </w:p>
        </w:tc>
        <w:tc>
          <w:tcPr>
            <w:tcW w:w="4876" w:type="dxa"/>
            <w:tcBorders>
              <w:top w:val="nil"/>
              <w:left w:val="nil"/>
              <w:bottom w:val="nil"/>
              <w:right w:val="nil"/>
            </w:tcBorders>
          </w:tcPr>
          <w:p>
            <w:pPr>
              <w:pStyle w:val="Normal6a"/>
            </w:pPr>
            <w:r>
              <w:rPr>
                <w:vertAlign w:val="superscript"/>
              </w:rPr>
              <w:t>30</w:t>
            </w:r>
            <w:r>
              <w:t xml:space="preserve"> </w:t>
            </w:r>
            <w:r>
              <w:t>Rozporządzenie Parlamentu Europejskiego i Rady (UE) 2016/1011 z dnia 8 czerwca 2016 r. w sprawie indeksów stosowanych jako wskaźniki referencyjne w instrumentach finansowych i umowach finansowych lub do pomiaru wyników funduszy inwestycyjnych i zmieniające dyrektywy 2008/48/WE i 2014/17/UE oraz rozporządzenie (UE) nr 596/2014 (Dz.U. L 171 z 29.6.2016, s. 1, ELI: http://data.europa.eu/eli/reg/2016/1011/oj).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31</w:t>
            </w:r>
            <w:r>
              <w:t xml:space="preserve"> </w:t>
            </w:r>
            <w:r>
              <w:t>Rozporządzenie delegowane Komisji (UE).../... zmieniające rozporządzenie delegowane (UE) 2020/1818 w odniesieniu do definicji broni zakazanej C(2025)3801 Szczegóły dotyczące aktu delegowanego – Rejestr aktów delegowanych.</w:t>
            </w:r>
          </w:p>
        </w:tc>
        <w:tc>
          <w:tcPr>
            <w:tcW w:w="4876" w:type="dxa"/>
            <w:tcBorders>
              <w:top w:val="nil"/>
              <w:left w:val="nil"/>
              <w:bottom w:val="nil"/>
              <w:right w:val="nil"/>
            </w:tcBorders>
          </w:tcPr>
          <w:p>
            <w:pPr>
              <w:pStyle w:val="Normal6a"/>
            </w:pPr>
            <w:r>
              <w:rPr>
                <w:vertAlign w:val="superscript"/>
              </w:rPr>
              <w:t>31</w:t>
            </w:r>
            <w:r>
              <w:t xml:space="preserve"> </w:t>
            </w:r>
            <w:r>
              <w:t>Rozporządzenie delegowane Komisji (UE) .../... zmieniające rozporządzenie delegowane (UE) 2020/1818 w odniesieniu do definicji broni zakazanej C(2025)3801 Szczegóły dotyczące aktu delegowanego – Rejestr aktów delegowanych.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Pascal Canfin,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Kategoria inwestycji w transformację powinna obejmować produkty finansowe, które mają na celu wspieranie transformacji przedsiębiorstw, działalności gospodarczej i innych aktywów w kierunku zrównoważonego rozwoju lub przyczynianie się do takiej transformacji. Kategoria ta ma zapewnić dla tych produktów wymogi dotyczące ujawniania informacji i kryteria, które dokładnie odzwierciedlają strategie transformacji i uwzględniają obecne wyzwania związane z wdrażaniem wynikające z nieujęcia finansowania transformacji w definicji zrównoważonych inwestycji zawartej w art. 2 pkt 17 rozporządzenia (UE) 2019/2088. Wyzwania te obejmują trudności dla uczestników rynku finansowego, którzy chcą realizować strategie związane z transformacją i ujawniać informacje na ich temat, a także niejasności i brak odpowiednich informacji dla inwestorów końcowych zainteresowanych inwestowaniem w produkty wspierające transformację. Kategoria ta powinna zatem zwiększyć widoczność, przejrzystość i integralność produktów finansowych, które stanowią inwestycję w transformację przedsiębiorstw, działalności gospodarczej lub innych aktywów w kierunku lepszej efektywności środowiskowej lub społecznej lub które przyczyniają się do transformacji środowiskowej lub społecznej. Kategoria ta powinna zatem obejmować produkty finansowe o wysokim poziomie ambicji w zakresie transformacji, przy czym należy wybierać w szczególności inwestycje oparte na sprawdzonych standardach i narzędziach, w tym na strategiach naśladujących lub powielających unijne wskaźniki referencyjne transformacji klimatycznej lub unijne wskaźniki referencyjne dostosowane do porozumienia paryskiego zgodnie z rozporządzeniem (UE) 2016/1011 Parlamentu Europejskiego i Rady</w:t>
            </w:r>
            <w:r>
              <w:rPr>
                <w:b/>
                <w:i/>
                <w:vertAlign w:val="superscript"/>
              </w:rPr>
              <w:t>30</w:t>
            </w:r>
            <w:r>
              <w:t>, oparte na inwestowaniu w działalność gospodarczą na rzecz przejścia lub w przedsiębiorstwa inwestujące swoje nakłady inwestycyjne w rozumieniu rozporządzenia (UE) 2020/852 lub na inwestowaniu w przedsiębiorstwa bądź działalność gospodarczą, co do których podjęto zobowiązania dotyczące przyszłych ulepszeń poprzez wiarygodne plany transformacji lub cele oparte na podstawach naukowych. Kategoria ta powinna również obejmować produkty finansowe, w przypadku których wyniki związane z transformacją określono na poziomie portfela, np. zmniejszenie w czasie emisji finansowanych przez portfel, pod warunkiem że inwestycje bazowe są spójne z celem produktów związanym z transformacją. Aby zapewnić znaczący wkład w realizację międzynarodowych i europejskich celów klimatycznych, produkty finansowe, które służą realizacji celu polegającego na łagodzeniu zmiany klimatu, powinny być dostosowane pod względem ambicji do ambicji określonych w porozumieniu paryskim i w rozporządzeniu (UE) 2021/1119, w szczególności w odniesieniu do uczestników rynku finansowego polegających na planach transformacji i celach opartych na podstawach naukowych dostarczonych przez przedsiębiorstwa lub projekty lub realizujących strategię zaangażowania w zrównoważony rozwój ze spółkami, w które dokonano inwestycji. Z kategorii tej należy również wyłączyć działania, które są powszechnie uznawane za szkodliwe dla środowiska i społeczeństwa, dając jednocześnie inwestorom możliwość inwestowania w przedsiębiorstwa znajdujące się na różnych etapach transformacji. Wyłączenia te powinny być w wystarczającym stopniu dostosowane do wyłączeń określonych w unijnych klimatycznych wskaźnikach referencyjnych i przyjętych w wytycznych ESMA dotyczących nazw funduszy w odniesieniu do wszystkich funduszy stosujących w swoich nazwach określone terminy ESG, w tym terminy związane z transformacją. Powinny one obejmować działalność związaną z bronią zakazaną zdefiniowaną w planowanej nowelizacji rozporządzenia (UE) 2020/1818</w:t>
            </w:r>
            <w:r>
              <w:rPr>
                <w:b/>
                <w:i/>
                <w:vertAlign w:val="superscript"/>
              </w:rPr>
              <w:t>31</w:t>
            </w:r>
            <w:r>
              <w:t>, uprawą i produkcją tytoniu, naruszeniami zasad inicjatywy ONZ Global Compact lub Wytycznych OECD dla przedsiębiorstw międzynarodowych oraz z węglem kamiennym i brunatnym. Z kategorii tej należy również wyłączyć przedsiębiorstwa opracowujące nowe projekty związane z ropą naftową lub paliwami gazowymi oraz przedsiębiorstwa opracowujące nowe projekty dotyczące wykorzystania węgla kamiennego lub brunatnego do wytwarzania energii elektrycznej bądź nieposiadające planów wycofania się z tego rodzaju działalności. Ponadto, podobnie jak w przypadku produktów należących do kategorii inwestycji w zrównoważony rozwój, produkty należące do kategorii inwestycji w transformację powinny identyfikować i ujawniać główne niekorzystne wpływy swoich inwestycji na czynniki zrównoważonego rozwoju oraz wyjaśniać wszelkie działania podjęte w celu przeciwdziałania tym wpływom.</w:t>
            </w:r>
          </w:p>
        </w:tc>
        <w:tc>
          <w:tcPr>
            <w:tcW w:w="4876" w:type="dxa"/>
            <w:tcBorders>
              <w:top w:val="nil"/>
              <w:left w:val="nil"/>
              <w:bottom w:val="nil"/>
              <w:right w:val="nil"/>
            </w:tcBorders>
          </w:tcPr>
          <w:p>
            <w:pPr>
              <w:pStyle w:val="Normal6a"/>
            </w:pPr>
            <w:r>
              <w:t>(16)</w:t>
            </w:r>
            <w:r>
              <w:tab/>
            </w:r>
            <w:r>
              <w:t>Kategoria inwestycji w transformację powinna obejmować produkty finansowe, które mają na celu wspieranie transformacji przedsiębiorstw, działalności gospodarczej i innych aktywów w kierunku zrównoważonego rozwoju lub przyczynianie się do takiej transformacji. Kategoria ta ma zapewnić dla tych produktów wymogi dotyczące ujawniania informacji i kryteria, które dokładnie odzwierciedlają strategie transformacji i uwzględniają obecne wyzwania związane z wdrażaniem wynikające z nieujęcia finansowania transformacji w definicji zrównoważonych inwestycji zawartej w art. 2 pkt 17 rozporządzenia (UE) 2019/2088. Wyzwania te obejmują trudności dla uczestników rynku finansowego, którzy chcą realizować strategie związane z transformacją i ujawniać informacje na ich temat, a także niejasności i brak odpowiednich informacji dla inwestorów końcowych zainteresowanych inwestowaniem w produkty wspierające transformację. Kategoria ta powinna zatem zwiększyć widoczność, przejrzystość i integralność produktów finansowych, które stanowią inwestycję w transformację przedsiębiorstw, działalności gospodarczej lub innych aktywów w kierunku lepszej efektywności środowiskowej lub społecznej lub które przyczyniają się do transformacji środowiskowej lub społecznej. Kategoria ta powinna zatem obejmować produkty finansowe o wysokim poziomie ambicji w zakresie transformacji, przy czym należy wybierać w szczególności inwestycje oparte na sprawdzonych standardach i narzędziach, w tym na strategiach naśladujących lub powielających unijne wskaźniki referencyjne transformacji klimatycznej lub unijne wskaźniki referencyjne dostosowane do porozumienia paryskiego zgodnie z rozporządzeniem (UE) 2016/1011 Parlamentu Europejskiego i Rady, oparte na inwestowaniu w działalność gospodarczą na rzecz przejścia lub w przedsiębiorstwa inwestujące swoje nakłady inwestycyjne w rozumieniu rozporządzenia (UE) 2020/852 lub na inwestowaniu w przedsiębiorstwa bądź działalność gospodarczą, co do których podjęto zobowiązania dotyczące przyszłych ulepszeń poprzez wiarygodne plany transformacji</w:t>
            </w:r>
            <w:r>
              <w:rPr>
                <w:b/>
                <w:i/>
              </w:rPr>
              <w:t>, takie jak plany wyszczególnione w dyrektywie (UE) 2013/34</w:t>
            </w:r>
            <w:r>
              <w:t xml:space="preserve"> lub cele oparte na podstawach naukowych. Kategoria ta powinna również obejmować produkty finansowe, w przypadku których wyniki związane z transformacją określono na poziomie portfela, np. zmniejszenie w czasie emisji finansowanych przez portfel, pod warunkiem że inwestycje bazowe są spójne z celem produktów związanym z transformacją. Aby zapewnić znaczący wkład w realizację międzynarodowych i europejskich celów klimatycznych, produkty finansowe, które służą realizacji celu polegającego na łagodzeniu zmiany klimatu, powinny być dostosowane pod względem ambicji do ambicji określonych w porozumieniu paryskim i w rozporządzeniu (UE) 2021/1119, w szczególności w odniesieniu do uczestników rynku finansowego polegających na planach transformacji i celach opartych na podstawach naukowych dostarczonych przez przedsiębiorstwa lub projekty lub realizujących strategię zaangażowania w zrównoważony rozwój ze spółkami, w które dokonano inwestycji. Z kategorii tej należy również wyłączyć działania, które są powszechnie uznawane za szkodliwe dla środowiska i społeczeństwa, dając jednocześnie inwestorom możliwość inwestowania w przedsiębiorstwa znajdujące się na różnych etapach transformacji. Wyłączenia te powinny być w wystarczającym stopniu dostosowane do wyłączeń określonych w unijnych klimatycznych wskaźnikach referencyjnych i przyjętych w wytycznych ESMA dotyczących nazw funduszy w odniesieniu do wszystkich funduszy stosujących w swoich nazwach określone terminy ESG, w tym terminy związane z transformacją. Powinny one obejmować działalność związaną z bronią zakazaną zdefiniowaną w planowanej nowelizacji rozporządzenia (UE) 2020/1818, uprawą i produkcją tytoniu, naruszeniami zasad inicjatywy ONZ Global Compact lub Wytycznych OECD dla przedsiębiorstw międzynarodowych oraz z węglem kamiennym i brunatnym. Z kategorii tej należy również wyłączyć przedsiębiorstwa opracowujące nowe projekty związane z ropą naftową lub paliwami gazowymi oraz przedsiębiorstwa opracowujące nowe projekty dotyczące wykorzystania węgla kamiennego lub brunatnego do wytwarzania energii elektrycznej bądź nieposiadające planów wycofania się z tego rodzaju działalności. Ponadto, podobnie jak w przypadku produktów należących do kategorii inwestycji w zrównoważony rozwój, produkty należące do kategorii inwestycji w transformację powinny identyfikować i ujawniać główne niekorzystne wpływy swoich inwestycji na czynniki zrównoważonego rozwoju oraz wyjaśniać wszelkie działania podjęte w celu przeciwdziałania tym wpływom.</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30</w:t>
            </w:r>
            <w:r>
              <w:t xml:space="preserve"> </w:t>
            </w:r>
            <w:r>
              <w:rPr>
                <w:b/>
                <w:i/>
              </w:rPr>
              <w:t>Rozporządzenie Parlamentu Europejskiego i Rady (UE) 2016/1011 z dnia 8 czerwca 2016 r. w sprawie indeksów stosowanych jako wskaźniki referencyjne w instrumentach finansowych i umowach finansowych lub do pomiaru wyników funduszy inwestycyjnych i zmieniające dyrektywy 2008/48/WE i 2014/17/UE oraz rozporządzenie (UE) nr 596/2014 (Dz.U.</w:t>
            </w:r>
            <w:r>
              <w:t xml:space="preserve"> </w:t>
            </w:r>
            <w:r>
              <w:rPr>
                <w:b/>
                <w:i/>
              </w:rPr>
              <w:t>L 171 z 29.6.2016, s.</w:t>
            </w:r>
            <w:r>
              <w:t xml:space="preserve"> </w:t>
            </w:r>
            <w:r>
              <w:rPr>
                <w:b/>
                <w:i/>
              </w:rPr>
              <w:t>1, ELI: http://data.europa.eu/eli/reg/2016/1011/oj).</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31</w:t>
            </w:r>
            <w:r>
              <w:t xml:space="preserve"> </w:t>
            </w:r>
            <w:r>
              <w:rPr>
                <w:b/>
                <w:i/>
              </w:rPr>
              <w:t>Rozporządzenie delegowane Komisji (UE).../... zmieniające rozporządzenie delegowane (UE) 2020/1818 w odniesieniu do definicji broni zakazanej C(2025)3801 Szczegóły dotyczące aktu delegowanego – Rejestr aktów delegowanych.</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Poprawka ta wzmacnia związek między wiarygodnym planem transformacji a planami, o których mowa w CSRD.</w:t>
      </w:r>
    </w:p>
    <w:p>
      <w:r>
        <w:rPr>
          <w:rStyle w:val="HideTWBExt"/>
        </w:rPr>
        <w:t>&lt;/Amend&gt;</w:t>
      </w:r>
    </w:p>
    <w:p>
      <w:pPr>
        <w:pStyle w:val="AmNumberTabs"/>
      </w:pPr>
      <w:r>
        <w:rPr>
          <w:rStyle w:val="HideTWBExt"/>
        </w:rPr>
        <w:t>&lt;Amend&gt;</w:t>
      </w:r>
      <w:r>
        <w:t>Poprawka</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Lara Wolters, Jonás Fernández, Aurore Lalucq, Niels Fuglsang, Evelyn Regner, César Luena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Kategoria inwestycji w transformację powinna obejmować produkty finansowe, które mają na celu wspieranie transformacji przedsiębiorstw, działalności gospodarczej i innych aktywów w kierunku zrównoważonego rozwoju lub przyczynianie się do takiej transformacji. Kategoria ta ma zapewnić dla tych produktów wymogi dotyczące ujawniania informacji i kryteria, które dokładnie odzwierciedlają strategie transformacji i uwzględniają obecne wyzwania związane z wdrażaniem wynikające z nieujęcia finansowania transformacji w definicji zrównoważonych inwestycji zawartej w art. 2 pkt 17 rozporządzenia (UE) 2019/2088. Wyzwania te obejmują trudności dla uczestników rynku finansowego, którzy chcą realizować strategie związane z transformacją i ujawniać informacje na ich temat, a także niejasności i brak odpowiednich informacji dla inwestorów końcowych zainteresowanych inwestowaniem w produkty wspierające transformację. Kategoria ta powinna zatem zwiększyć widoczność, przejrzystość i integralność produktów finansowych, które stanowią inwestycję w transformację przedsiębiorstw, działalności gospodarczej lub innych aktywów w kierunku lepszej efektywności środowiskowej lub społecznej lub które przyczyniają się do transformacji środowiskowej lub społecznej. Kategoria ta powinna zatem obejmować produkty finansowe o wysokim poziomie ambicji w zakresie transformacji, przy czym należy wybierać w szczególności inwestycje oparte na sprawdzonych standardach i narzędziach, w tym na strategiach naśladujących lub powielających unijne wskaźniki referencyjne transformacji klimatycznej lub unijne wskaźniki referencyjne dostosowane do porozumienia paryskiego zgodnie z rozporządzeniem (UE) 2016/1011 Parlamentu Europejskiego i Rady</w:t>
            </w:r>
            <w:r>
              <w:rPr>
                <w:vertAlign w:val="superscript"/>
              </w:rPr>
              <w:t>30</w:t>
            </w:r>
            <w:r>
              <w:t>, oparte na inwestowaniu w działalność gospodarczą na rzecz przejścia lub w przedsiębiorstwa inwestujące swoje nakłady inwestycyjne w rozumieniu rozporządzenia (UE) 2020/852 lub na inwestowaniu w przedsiębiorstwa bądź działalność gospodarczą, co do których podjęto zobowiązania dotyczące przyszłych ulepszeń poprzez wiarygodne plany transformacji lub cele oparte na podstawach naukowych. Kategoria ta powinna również obejmować produkty finansowe, w przypadku których wyniki związane z transformacją określono na poziomie portfela, np. zmniejszenie w czasie emisji finansowanych przez portfel, pod warunkiem że inwestycje bazowe są spójne z celem produktów związanym z transformacją. Aby zapewnić znaczący wkład w realizację międzynarodowych i europejskich celów klimatycznych, produkty finansowe, które służą realizacji celu polegającego na łagodzeniu zmiany klimatu, powinny być dostosowane pod względem ambicji do ambicji określonych w porozumieniu paryskim i w rozporządzeniu (UE) 2021/1119, w szczególności w odniesieniu do uczestników rynku finansowego polegających na planach transformacji i celach opartych na podstawach naukowych dostarczonych przez przedsiębiorstwa lub projekty lub realizujących strategię zaangażowania w zrównoważony rozwój ze spółkami, w które dokonano inwestycji. Z kategorii tej należy również wyłączyć działania, które są powszechnie uznawane za szkodliwe dla środowiska i społeczeństwa, dając jednocześnie inwestorom możliwość inwestowania w przedsiębiorstwa znajdujące się na różnych etapach transformacji. Wyłączenia te powinny być w wystarczającym stopniu dostosowane do wyłączeń określonych w unijnych klimatycznych wskaźnikach referencyjnych i przyjętych w wytycznych ESMA dotyczących nazw funduszy w odniesieniu do wszystkich funduszy stosujących w swoich nazwach określone terminy ESG, w tym terminy związane z transformacją. Powinny one obejmować działalność związaną z bronią zakazaną zdefiniowaną w planowanej nowelizacji rozporządzenia (UE) 2020/1818</w:t>
            </w:r>
            <w:r>
              <w:rPr>
                <w:vertAlign w:val="superscript"/>
              </w:rPr>
              <w:t>31</w:t>
            </w:r>
            <w:r>
              <w:t xml:space="preserve">, uprawą i produkcją tytoniu, naruszeniami </w:t>
            </w:r>
            <w:r>
              <w:rPr>
                <w:b/>
                <w:i/>
              </w:rPr>
              <w:t>zasad inicjatywy ONZ Global Compact</w:t>
            </w:r>
            <w:r>
              <w:t xml:space="preserve"> lub Wytycznych OECD dla przedsiębiorstw międzynarodowych oraz z węglem kamiennym i brunatnym. Z kategorii tej należy również wyłączyć przedsiębiorstwa opracowujące nowe projekty związane z ropą naftową lub paliwami gazowymi oraz przedsiębiorstwa opracowujące nowe projekty dotyczące wykorzystania węgla kamiennego lub brunatnego do wytwarzania energii elektrycznej bądź nieposiadające planów wycofania się z tego rodzaju działalności. Ponadto, podobnie jak w przypadku produktów należących do kategorii inwestycji w zrównoważony rozwój, produkty należące do kategorii inwestycji w transformację powinny identyfikować i ujawniać główne niekorzystne wpływy swoich inwestycji na czynniki zrównoważonego rozwoju oraz wyjaśniać wszelkie działania podjęte w celu przeciwdziałania tym wpływom.</w:t>
            </w:r>
          </w:p>
        </w:tc>
        <w:tc>
          <w:tcPr>
            <w:tcW w:w="4876" w:type="dxa"/>
            <w:tcBorders>
              <w:top w:val="nil"/>
              <w:left w:val="nil"/>
              <w:bottom w:val="nil"/>
              <w:right w:val="nil"/>
            </w:tcBorders>
          </w:tcPr>
          <w:p>
            <w:pPr>
              <w:pStyle w:val="Normal6a"/>
            </w:pPr>
            <w:r>
              <w:t>(16)</w:t>
            </w:r>
            <w:r>
              <w:tab/>
            </w:r>
            <w:r>
              <w:t>Kategoria inwestycji w transformację powinna obejmować produkty finansowe, które mają na celu wspieranie transformacji przedsiębiorstw, działalności gospodarczej i innych aktywów w kierunku zrównoważonego rozwoju lub przyczynianie się do takiej transformacji. Kategoria ta ma zapewnić dla tych produktów wymogi dotyczące ujawniania informacji i kryteria, które dokładnie odzwierciedlają strategie transformacji i uwzględniają obecne wyzwania związane z wdrażaniem wynikające z nieujęcia finansowania transformacji w definicji zrównoważonych inwestycji zawartej w art. 2 pkt 17 rozporządzenia (UE) 2019/2088. Wyzwania te obejmują trudności dla uczestników rynku finansowego, którzy chcą realizować strategie związane z transformacją i ujawniać informacje na ich temat, a także niejasności i brak odpowiednich informacji dla inwestorów końcowych zainteresowanych inwestowaniem w produkty wspierające transformację. Kategoria ta powinna zatem zwiększyć widoczność, przejrzystość i integralność produktów finansowych, które stanowią inwestycję w transformację przedsiębiorstw, działalności gospodarczej lub innych aktywów w kierunku lepszej efektywności środowiskowej lub społecznej lub które przyczyniają się do transformacji środowiskowej lub społecznej. Kategoria ta powinna zatem obejmować produkty finansowe o wysokim poziomie ambicji w zakresie transformacji, przy czym należy wybierać w szczególności inwestycje oparte na sprawdzonych standardach i narzędziach, w tym na strategiach naśladujących lub powielających unijne wskaźniki referencyjne transformacji klimatycznej lub unijne wskaźniki referencyjne dostosowane do porozumienia paryskiego zgodnie z rozporządzeniem (UE) 2016/1011 Parlamentu Europejskiego i Rady</w:t>
            </w:r>
            <w:r>
              <w:rPr>
                <w:vertAlign w:val="superscript"/>
              </w:rPr>
              <w:t>30</w:t>
            </w:r>
            <w:r>
              <w:t>, oparte na inwestowaniu w działalność gospodarczą na rzecz przejścia lub w przedsiębiorstwa inwestujące swoje nakłady inwestycyjne w rozumieniu rozporządzenia (UE) 2020/852 lub na inwestowaniu w przedsiębiorstwa bądź działalność gospodarczą, co do których podjęto zobowiązania dotyczące przyszłych ulepszeń poprzez wiarygodne plany transformacji lub cele oparte na podstawach naukowych. Kategoria ta powinna również obejmować produkty finansowe, w przypadku których wyniki związane z transformacją określono na poziomie portfela, np. zmniejszenie w czasie emisji finansowanych przez portfel, pod warunkiem że inwestycje bazowe są spójne z celem produktów związanym z transformacją. Aby zapewnić znaczący wkład w realizację międzynarodowych i europejskich celów klimatycznych, produkty finansowe, które służą realizacji celu polegającego na łagodzeniu zmiany klimatu, powinny być dostosowane pod względem ambicji do ambicji określonych w porozumieniu paryskim i w rozporządzeniu (UE) 2021/1119, w szczególności w odniesieniu do uczestników rynku finansowego polegających na planach transformacji i celach opartych na podstawach naukowych dostarczonych przez przedsiębiorstwa lub projekty lub realizujących strategię zaangażowania w zrównoważony rozwój ze spółkami, w które dokonano inwestycji. Z kategorii tej należy również wyłączyć działania, które są powszechnie uznawane za szkodliwe dla środowiska i społeczeństwa, dając jednocześnie inwestorom możliwość inwestowania w przedsiębiorstwa znajdujące się na różnych etapach transformacji. Wyłączenia te powinny być w wystarczającym stopniu dostosowane do wyłączeń określonych w unijnych klimatycznych wskaźnikach referencyjnych i przyjętych w wytycznych ESMA dotyczących nazw funduszy w odniesieniu do wszystkich funduszy stosujących w swoich nazwach określone terminy ESG, w tym terminy związane z transformacją. Powinny one obejmować działalność związaną z bronią zakazaną zdefiniowaną w planowanej nowelizacji rozporządzenia (UE) 2020/1818</w:t>
            </w:r>
            <w:r>
              <w:rPr>
                <w:vertAlign w:val="superscript"/>
              </w:rPr>
              <w:t>31</w:t>
            </w:r>
            <w:r>
              <w:t xml:space="preserve">, uprawą i produkcją tytoniu, naruszeniami </w:t>
            </w:r>
            <w:r>
              <w:rPr>
                <w:b/>
                <w:i/>
              </w:rPr>
              <w:t>Wytycznych ONZ dotyczących biznesu i praw człowieka</w:t>
            </w:r>
            <w:r>
              <w:t xml:space="preserve"> lub Wytycznych OECD dla przedsiębiorstw międzynarodowych oraz z węglem kamiennym i brunatnym. Z kategorii tej należy również wyłączyć przedsiębiorstwa opracowujące nowe projekty związane z ropą naftową lub paliwami gazowymi oraz przedsiębiorstwa opracowujące nowe projekty dotyczące wykorzystania węgla kamiennego lub brunatnego do wytwarzania energii elektrycznej bądź nieposiadające planów wycofania się z tego rodzaju działalności. Ponadto, podobnie jak w przypadku produktów należących do kategorii inwestycji w zrównoważony rozwój, produkty należące do kategorii inwestycji w transformację powinny identyfikować i ujawniać główne niekorzystne wpływy swoich inwestycji na czynniki zrównoważonego rozwoju oraz wyjaśniać wszelkie działania podjęte w celu przeciwdziałania tym wpływom.</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30</w:t>
            </w:r>
            <w:r>
              <w:t xml:space="preserve"> </w:t>
            </w:r>
            <w:r>
              <w:t>Rozporządzenie Parlamentu Europejskiego i Rady (UE) 2016/1011 z dnia 8 czerwca 2016 r. w sprawie indeksów stosowanych jako wskaźniki referencyjne w instrumentach finansowych i umowach finansowych lub do pomiaru wyników funduszy inwestycyjnych i zmieniające dyrektywy 2008/48/WE i 2014/17/UE oraz rozporządzenie (UE) nr 596/2014 (Dz.U. L 171 z 29.6.2016, s. 1, ELI: http://data.europa.eu/eli/reg/2016/1011/oj).</w:t>
            </w:r>
          </w:p>
        </w:tc>
        <w:tc>
          <w:tcPr>
            <w:tcW w:w="4876" w:type="dxa"/>
            <w:tcBorders>
              <w:top w:val="nil"/>
              <w:left w:val="nil"/>
              <w:bottom w:val="nil"/>
              <w:right w:val="nil"/>
            </w:tcBorders>
          </w:tcPr>
          <w:p>
            <w:pPr>
              <w:pStyle w:val="Normal6a"/>
            </w:pPr>
            <w:r>
              <w:rPr>
                <w:vertAlign w:val="superscript"/>
              </w:rPr>
              <w:t>30</w:t>
            </w:r>
            <w:r>
              <w:t xml:space="preserve"> </w:t>
            </w:r>
            <w:r>
              <w:t>Rozporządzenie Parlamentu Europejskiego i Rady (UE) 2016/1011 z dnia 8 czerwca 2016 r. w sprawie indeksów stosowanych jako wskaźniki referencyjne w instrumentach finansowych i umowach finansowych lub do pomiaru wyników funduszy inwestycyjnych i zmieniające dyrektywy 2008/48/WE i 2014/17/UE oraz rozporządzenie (UE) nr 596/2014 (Dz.U. L 171 z 29.6.2016, s. 1, ELI: http://data.europa.eu/eli/reg/2016/1011/oj).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31</w:t>
            </w:r>
            <w:r>
              <w:t xml:space="preserve"> </w:t>
            </w:r>
            <w:r>
              <w:t>Rozporządzenie delegowane Komisji (UE).../... zmieniające rozporządzenie delegowane (UE) 2020/1818 w odniesieniu do definicji broni zakazanej C(2025)3801 Szczegóły dotyczące aktu delegowanego – Rejestr aktów delegowanych.</w:t>
            </w:r>
          </w:p>
        </w:tc>
        <w:tc>
          <w:tcPr>
            <w:tcW w:w="4876" w:type="dxa"/>
            <w:tcBorders>
              <w:top w:val="nil"/>
              <w:left w:val="nil"/>
              <w:bottom w:val="nil"/>
              <w:right w:val="nil"/>
            </w:tcBorders>
          </w:tcPr>
          <w:p>
            <w:pPr>
              <w:pStyle w:val="Normal6a"/>
            </w:pPr>
            <w:r>
              <w:rPr>
                <w:vertAlign w:val="superscript"/>
              </w:rPr>
              <w:t>31</w:t>
            </w:r>
            <w:r>
              <w:t xml:space="preserve"> </w:t>
            </w:r>
            <w:r>
              <w:t>Rozporządzenie delegowane Komisji (UE) .../... zmieniające rozporządzenie delegowane (UE) 2020/1818 w odniesieniu do definicji broni zakazanej C(2025)3801 Szczegóły dotyczące aktu delegowanego – Rejestr aktów delegowanych.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Martin Günther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Kategoria inwestycji w transformację powinna obejmować produkty finansowe, które mają na celu wspieranie transformacji przedsiębiorstw, działalności gospodarczej i innych aktywów w kierunku zrównoważonego rozwoju lub przyczynianie się do takiej transformacji. Kategoria ta ma zapewnić dla tych produktów wymogi dotyczące ujawniania informacji i kryteria, które dokładnie odzwierciedlają strategie transformacji i uwzględniają obecne wyzwania związane z wdrażaniem wynikające z nieujęcia finansowania transformacji w definicji zrównoważonych inwestycji zawartej w art. 2 pkt 17 rozporządzenia (UE) 2019/2088. Wyzwania te obejmują trudności dla uczestników rynku finansowego, którzy chcą realizować strategie związane z transformacją i ujawniać informacje na ich temat, a także niejasności i brak odpowiednich informacji dla inwestorów końcowych zainteresowanych inwestowaniem w produkty wspierające transformację. Kategoria ta powinna zatem zwiększyć widoczność, przejrzystość i integralność produktów finansowych, które stanowią inwestycję w transformację przedsiębiorstw, działalności gospodarczej lub innych aktywów w kierunku lepszej efektywności środowiskowej lub społecznej lub które przyczyniają się do transformacji środowiskowej lub społecznej. Kategoria ta powinna zatem obejmować produkty finansowe o wysokim poziomie ambicji w zakresie transformacji, przy czym należy wybierać w szczególności inwestycje oparte na sprawdzonych standardach i narzędziach, w tym na strategiach naśladujących lub powielających unijne wskaźniki referencyjne transformacji klimatycznej lub unijne wskaźniki referencyjne dostosowane do porozumienia paryskiego zgodnie z rozporządzeniem (UE) 2016/1011 Parlamentu Europejskiego i Rady</w:t>
            </w:r>
            <w:r>
              <w:rPr>
                <w:vertAlign w:val="superscript"/>
              </w:rPr>
              <w:t>30</w:t>
            </w:r>
            <w:r>
              <w:t>, oparte na inwestowaniu w działalność gospodarczą na rzecz przejścia lub w przedsiębiorstwa inwestujące swoje nakłady inwestycyjne w rozumieniu rozporządzenia (UE) 2020/852 lub na inwestowaniu w przedsiębiorstwa bądź działalność gospodarczą, co do których podjęto zobowiązania dotyczące przyszłych ulepszeń poprzez wiarygodne plany transformacji lub cele oparte na podstawach naukowych. Kategoria ta powinna również obejmować produkty finansowe, w przypadku których wyniki związane z transformacją określono na poziomie portfela, np. zmniejszenie w czasie emisji finansowanych przez portfel, pod warunkiem że inwestycje bazowe są spójne z celem produktów związanym z transformacją. Aby zapewnić znaczący wkład w realizację międzynarodowych i europejskich celów klimatycznych, produkty finansowe, które służą realizacji celu polegającego na łagodzeniu zmiany klimatu, powinny być dostosowane pod względem ambicji do ambicji określonych w porozumieniu paryskim i w rozporządzeniu (UE) 2021/1119, w szczególności w odniesieniu do uczestników rynku finansowego polegających na planach transformacji i celach opartych na podstawach naukowych dostarczonych przez przedsiębiorstwa lub projekty lub realizujących strategię zaangażowania w zrównoważony rozwój ze spółkami, w które dokonano inwestycji. Z kategorii tej należy również wyłączyć działania, które są powszechnie uznawane za szkodliwe dla środowiska i społeczeństwa, dając jednocześnie inwestorom możliwość inwestowania w przedsiębiorstwa znajdujące się na różnych etapach transformacji. Wyłączenia te powinny być w wystarczającym stopniu dostosowane do wyłączeń określonych w unijnych klimatycznych wskaźnikach referencyjnych i przyjętych w wytycznych ESMA dotyczących nazw funduszy w odniesieniu do wszystkich funduszy stosujących w swoich nazwach określone terminy ESG, w tym terminy związane z transformacją. Powinny one obejmować działalność związaną z bronią zakazaną zdefiniowaną w planowanej nowelizacji rozporządzenia (UE) 2020/1818</w:t>
            </w:r>
            <w:r>
              <w:rPr>
                <w:vertAlign w:val="superscript"/>
              </w:rPr>
              <w:t>31</w:t>
            </w:r>
            <w:r>
              <w:t xml:space="preserve">, uprawą i produkcją tytoniu, naruszeniami </w:t>
            </w:r>
            <w:r>
              <w:rPr>
                <w:b/>
                <w:i/>
              </w:rPr>
              <w:t>zasad inicjatywy ONZ Global Compact</w:t>
            </w:r>
            <w:r>
              <w:t xml:space="preserve"> lub Wytycznych OECD dla przedsiębiorstw międzynarodowych oraz z węglem kamiennym i brunatnym. Z kategorii tej należy również wyłączyć przedsiębiorstwa opracowujące nowe projekty związane z ropą naftową lub paliwami gazowymi oraz przedsiębiorstwa opracowujące nowe projekty dotyczące wykorzystania węgla kamiennego lub brunatnego do wytwarzania energii elektrycznej bądź nieposiadające planów wycofania się z tego rodzaju działalności. Ponadto, podobnie jak w przypadku produktów należących do kategorii inwestycji w zrównoważony rozwój, produkty należące do kategorii inwestycji w transformację powinny identyfikować i ujawniać główne niekorzystne wpływy swoich inwestycji na czynniki zrównoważonego rozwoju oraz wyjaśniać wszelkie działania podjęte w celu przeciwdziałania tym wpływom.</w:t>
            </w:r>
          </w:p>
        </w:tc>
        <w:tc>
          <w:tcPr>
            <w:tcW w:w="4876" w:type="dxa"/>
            <w:tcBorders>
              <w:top w:val="nil"/>
              <w:left w:val="nil"/>
              <w:bottom w:val="nil"/>
              <w:right w:val="nil"/>
            </w:tcBorders>
          </w:tcPr>
          <w:p>
            <w:pPr>
              <w:pStyle w:val="Normal6a"/>
            </w:pPr>
            <w:r>
              <w:t>(16)</w:t>
            </w:r>
            <w:r>
              <w:tab/>
            </w:r>
            <w:r>
              <w:t>Kategoria inwestycji w transformację powinna obejmować produkty finansowe, które mają na celu wspieranie transformacji przedsiębiorstw, działalności gospodarczej i innych aktywów w kierunku zrównoważonego rozwoju lub przyczynianie się do takiej transformacji. Kategoria ta ma zapewnić dla tych produktów wymogi dotyczące ujawniania informacji i kryteria, które dokładnie odzwierciedlają strategie transformacji i uwzględniają obecne wyzwania związane z wdrażaniem wynikające z nieujęcia finansowania transformacji w definicji zrównoważonych inwestycji zawartej w art. 2 pkt 17 rozporządzenia (UE) 2019/2088. Wyzwania te obejmują trudności dla uczestników rynku finansowego, którzy chcą realizować strategie związane z transformacją i ujawniać informacje na ich temat, a także niejasności i brak odpowiednich informacji dla inwestorów końcowych zainteresowanych inwestowaniem w produkty wspierające transformację. Kategoria ta powinna zatem zwiększyć widoczność, przejrzystość i integralność produktów finansowych, które stanowią inwestycję w transformację przedsiębiorstw, działalności gospodarczej lub innych aktywów w kierunku lepszej efektywności środowiskowej lub społecznej lub które przyczyniają się do transformacji środowiskowej lub społecznej. Kategoria ta powinna zatem obejmować produkty finansowe o wysokim poziomie ambicji w zakresie transformacji, przy czym należy wybierać w szczególności inwestycje oparte na sprawdzonych standardach i narzędziach, w tym na strategiach naśladujących lub powielających unijne wskaźniki referencyjne transformacji klimatycznej lub unijne wskaźniki referencyjne dostosowane do porozumienia paryskiego zgodnie z rozporządzeniem (UE) 2016/1011 Parlamentu Europejskiego i Rady</w:t>
            </w:r>
            <w:r>
              <w:rPr>
                <w:vertAlign w:val="superscript"/>
              </w:rPr>
              <w:t>30</w:t>
            </w:r>
            <w:r>
              <w:t>, oparte na inwestowaniu w działalność gospodarczą na rzecz przejścia lub w przedsiębiorstwa inwestujące swoje nakłady inwestycyjne w rozumieniu rozporządzenia (UE) 2020/852 lub na inwestowaniu w przedsiębiorstwa bądź działalność gospodarczą, co do których podjęto zobowiązania dotyczące przyszłych ulepszeń poprzez wiarygodne plany transformacji lub cele oparte na podstawach naukowych. Kategoria ta powinna również obejmować produkty finansowe, w przypadku których wyniki związane z transformacją określono na poziomie portfela, np. zmniejszenie w czasie emisji finansowanych przez portfel, pod warunkiem że inwestycje bazowe są spójne z celem produktów związanym z transformacją. Aby zapewnić znaczący wkład w realizację międzynarodowych i europejskich celów klimatycznych, produkty finansowe, które służą realizacji celu polegającego na łagodzeniu zmiany klimatu, powinny być dostosowane pod względem ambicji do ambicji określonych w porozumieniu paryskim i w rozporządzeniu (UE) 2021/1119, w szczególności w odniesieniu do uczestników rynku finansowego polegających na planach transformacji i celach opartych na podstawach naukowych dostarczonych przez przedsiębiorstwa lub projekty lub realizujących strategię zaangażowania w zrównoważony rozwój ze spółkami, w które dokonano inwestycji. Z kategorii tej należy również wyłączyć działania, które są powszechnie uznawane za szkodliwe dla środowiska i społeczeństwa, dając jednocześnie inwestorom możliwość inwestowania w przedsiębiorstwa znajdujące się na różnych etapach transformacji. Wyłączenia te powinny być w wystarczającym stopniu dostosowane do wyłączeń określonych w unijnych klimatycznych wskaźnikach referencyjnych i przyjętych w wytycznych ESMA dotyczących nazw funduszy w odniesieniu do wszystkich funduszy stosujących w swoich nazwach określone terminy ESG, w tym terminy związane z transformacją. Powinny one obejmować działalność związaną z bronią zakazaną zdefiniowaną w planowanej nowelizacji rozporządzenia (UE) 2020/1818</w:t>
            </w:r>
            <w:r>
              <w:rPr>
                <w:vertAlign w:val="superscript"/>
              </w:rPr>
              <w:t>31</w:t>
            </w:r>
            <w:r>
              <w:t xml:space="preserve">, uprawą i produkcją tytoniu, naruszeniami </w:t>
            </w:r>
            <w:r>
              <w:rPr>
                <w:b/>
                <w:i/>
              </w:rPr>
              <w:t>Wytycznych ONZ dotyczących biznesu i praw człowieka</w:t>
            </w:r>
            <w:r>
              <w:t xml:space="preserve"> lub Wytycznych OECD dla przedsiębiorstw międzynarodowych oraz z węglem kamiennym i brunatnym. Z kategorii tej należy również wyłączyć przedsiębiorstwa opracowujące nowe projekty związane z ropą naftową lub paliwami gazowymi oraz przedsiębiorstwa opracowujące nowe projekty dotyczące wykorzystania węgla kamiennego lub brunatnego do wytwarzania energii elektrycznej bądź nieposiadające planów wycofania się z tego rodzaju działalności. Ponadto, podobnie jak w przypadku produktów należących do kategorii inwestycji w zrównoważony rozwój, produkty należące do kategorii inwestycji w transformację powinny identyfikować i ujawniać główne niekorzystne wpływy swoich inwestycji na czynniki zrównoważonego rozwoju oraz wyjaśniać wszelkie działania podjęte w celu przeciwdziałania tym wpływom.</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30</w:t>
            </w:r>
            <w:r>
              <w:t xml:space="preserve"> </w:t>
            </w:r>
            <w:r>
              <w:t>Rozporządzenie Parlamentu Europejskiego i Rady (UE) 2016/1011 z dnia 8 czerwca 2016 r. w sprawie indeksów stosowanych jako wskaźniki referencyjne w instrumentach finansowych i umowach finansowych lub do pomiaru wyników funduszy inwestycyjnych i zmieniające dyrektywy 2008/48/WE i 2014/17/UE oraz rozporządzenie (UE) nr 596/2014 (Dz.U. L 171 z 29.6.2016, s. 1, ELI: http://data.europa.eu/eli/reg/2016/1011/oj).</w:t>
            </w:r>
          </w:p>
        </w:tc>
        <w:tc>
          <w:tcPr>
            <w:tcW w:w="4876" w:type="dxa"/>
            <w:tcBorders>
              <w:top w:val="nil"/>
              <w:left w:val="nil"/>
              <w:bottom w:val="nil"/>
              <w:right w:val="nil"/>
            </w:tcBorders>
          </w:tcPr>
          <w:p>
            <w:pPr>
              <w:pStyle w:val="Normal6a"/>
            </w:pPr>
            <w:r>
              <w:rPr>
                <w:vertAlign w:val="superscript"/>
              </w:rPr>
              <w:t>30</w:t>
            </w:r>
            <w:r>
              <w:t xml:space="preserve"> </w:t>
            </w:r>
            <w:r>
              <w:t>Rozporządzenie Parlamentu Europejskiego i Rady (UE) 2016/1011 z dnia 8 czerwca 2016 r. w sprawie indeksów stosowanych jako wskaźniki referencyjne w instrumentach finansowych i umowach finansowych lub do pomiaru wyników funduszy inwestycyjnych i zmieniające dyrektywy 2008/48/WE i 2014/17/UE oraz rozporządzenie (UE) nr 596/2014 (Dz.U. L 171 z 29.6.2016, s. 1, ELI: http://data.europa.eu/eli/reg/2016/1011/oj).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31</w:t>
            </w:r>
            <w:r>
              <w:t xml:space="preserve"> </w:t>
            </w:r>
            <w:r>
              <w:t>Rozporządzenie delegowane Komisji (UE).../... zmieniające rozporządzenie delegowane (UE) 2020/1818 w odniesieniu do definicji broni zakazanej C(2025)3801 Szczegóły dotyczące aktu delegowanego – Rejestr aktów delegowanych.</w:t>
            </w:r>
          </w:p>
        </w:tc>
        <w:tc>
          <w:tcPr>
            <w:tcW w:w="4876" w:type="dxa"/>
            <w:tcBorders>
              <w:top w:val="nil"/>
              <w:left w:val="nil"/>
              <w:bottom w:val="nil"/>
              <w:right w:val="nil"/>
            </w:tcBorders>
          </w:tcPr>
          <w:p>
            <w:pPr>
              <w:pStyle w:val="Normal6a"/>
            </w:pPr>
            <w:r>
              <w:rPr>
                <w:vertAlign w:val="superscript"/>
              </w:rPr>
              <w:t>31</w:t>
            </w:r>
            <w:r>
              <w:t xml:space="preserve"> </w:t>
            </w:r>
            <w:r>
              <w:t>Rozporządzenie delegowane Komisji (UE) .../... zmieniające rozporządzenie delegowane (UE) 2020/1818 w odniesieniu do definicji broni zakazanej C(2025)3801 Szczegóły dotyczące aktu delegowanego – Rejestr aktów delegowanych.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Janusz Lewandowski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Kategoria inwestycji w transformację powinna obejmować produkty finansowe, które mają na celu wspieranie transformacji przedsiębiorstw, działalności gospodarczej i innych aktywów w kierunku zrównoważonego rozwoju lub przyczynianie się do takiej transformacji. Kategoria ta ma zapewnić dla tych produktów wymogi dotyczące ujawniania informacji i kryteria, które dokładnie odzwierciedlają strategie transformacji i uwzględniają obecne wyzwania związane z wdrażaniem wynikające z nieujęcia finansowania transformacji w definicji zrównoważonych inwestycji zawartej w art. 2 pkt 17 rozporządzenia (UE) 2019/2088. Wyzwania te obejmują trudności dla uczestników rynku finansowego, którzy chcą realizować strategie związane z transformacją i ujawniać informacje na ich temat, a także niejasności i brak odpowiednich informacji dla inwestorów końcowych zainteresowanych inwestowaniem w produkty wspierające transformację. Kategoria ta powinna zatem zwiększyć widoczność, przejrzystość i integralność produktów finansowych, które stanowią inwestycję w transformację przedsiębiorstw, działalności gospodarczej lub innych aktywów w kierunku lepszej efektywności środowiskowej lub społecznej lub które przyczyniają się do transformacji środowiskowej lub społecznej. Kategoria ta powinna zatem obejmować produkty finansowe o wysokim poziomie ambicji w zakresie transformacji, przy czym należy wybierać w szczególności inwestycje oparte na sprawdzonych standardach i narzędziach, w tym na strategiach naśladujących lub powielających unijne wskaźniki referencyjne transformacji klimatycznej lub unijne wskaźniki referencyjne dostosowane do porozumienia paryskiego zgodnie z rozporządzeniem (UE) 2016/1011 Parlamentu Europejskiego i Rady</w:t>
            </w:r>
            <w:r>
              <w:rPr>
                <w:vertAlign w:val="superscript"/>
              </w:rPr>
              <w:t>30</w:t>
            </w:r>
            <w:r>
              <w:t>, oparte na inwestowaniu w działalność gospodarczą na rzecz przejścia lub w przedsiębiorstwa inwestujące swoje nakłady inwestycyjne w rozumieniu rozporządzenia (UE) 2020/852 lub na inwestowaniu w przedsiębiorstwa bądź działalność gospodarczą, co do których podjęto zobowiązania dotyczące przyszłych ulepszeń poprzez wiarygodne plany transformacji lub cele oparte na podstawach naukowych. Kategoria ta powinna również obejmować produkty finansowe, w przypadku których wyniki związane z transformacją określono na poziomie portfela, np. zmniejszenie w czasie emisji finansowanych przez portfel, pod warunkiem że inwestycje bazowe są spójne z celem produktów związanym z transformacją. Aby zapewnić znaczący wkład w realizację międzynarodowych i europejskich celów klimatycznych, produkty finansowe, które służą realizacji celu polegającego na łagodzeniu zmiany klimatu, powinny być dostosowane pod względem ambicji do ambicji określonych w porozumieniu paryskim i w rozporządzeniu (UE) 2021/1119, w szczególności w odniesieniu do uczestników rynku finansowego polegających na planach transformacji i celach opartych na podstawach naukowych dostarczonych przez przedsiębiorstwa lub projekty lub realizujących strategię zaangażowania w zrównoważony rozwój ze spółkami, w które dokonano inwestycji. Z kategorii tej należy również wyłączyć działania, które są powszechnie uznawane za szkodliwe dla środowiska i społeczeństwa, dając jednocześnie inwestorom możliwość inwestowania w przedsiębiorstwa znajdujące się na różnych etapach transformacji. Wyłączenia te powinny być w wystarczającym stopniu dostosowane do wyłączeń określonych w unijnych klimatycznych wskaźnikach referencyjnych i przyjętych w wytycznych ESMA dotyczących nazw funduszy w odniesieniu do wszystkich funduszy stosujących w swoich nazwach określone terminy ESG, w tym terminy związane z transformacją. Powinny one obejmować działalność związaną z bronią zakazaną zdefiniowaną w planowanej nowelizacji rozporządzenia (UE) 2020/1818</w:t>
            </w:r>
            <w:r>
              <w:rPr>
                <w:vertAlign w:val="superscript"/>
              </w:rPr>
              <w:t>31</w:t>
            </w:r>
            <w:r>
              <w:t xml:space="preserve">, </w:t>
            </w:r>
            <w:r>
              <w:rPr>
                <w:b/>
                <w:i/>
              </w:rPr>
              <w:t>uprawą i</w:t>
            </w:r>
            <w:r>
              <w:t xml:space="preserve"> produkcją tytoniu, naruszeniami zasad inicjatywy ONZ Global Compact lub Wytycznych OECD dla przedsiębiorstw międzynarodowych oraz z węglem kamiennym i brunatnym. Z kategorii tej należy również wyłączyć przedsiębiorstwa opracowujące nowe projekty związane z ropą naftową lub paliwami gazowymi oraz przedsiębiorstwa opracowujące nowe projekty dotyczące wykorzystania węgla kamiennego lub brunatnego do wytwarzania energii elektrycznej bądź nieposiadające planów wycofania się z tego rodzaju działalności. Ponadto, podobnie jak w przypadku produktów należących do kategorii inwestycji w zrównoważony rozwój, produkty należące do kategorii inwestycji w transformację powinny identyfikować i ujawniać główne niekorzystne wpływy swoich inwestycji na czynniki zrównoważonego rozwoju oraz wyjaśniać wszelkie działania podjęte w celu przeciwdziałania tym wpływom.</w:t>
            </w:r>
          </w:p>
        </w:tc>
        <w:tc>
          <w:tcPr>
            <w:tcW w:w="4876" w:type="dxa"/>
            <w:tcBorders>
              <w:top w:val="nil"/>
              <w:left w:val="nil"/>
              <w:bottom w:val="nil"/>
              <w:right w:val="nil"/>
            </w:tcBorders>
          </w:tcPr>
          <w:p>
            <w:pPr>
              <w:pStyle w:val="Normal6a"/>
            </w:pPr>
            <w:r>
              <w:t>(16)</w:t>
            </w:r>
            <w:r>
              <w:tab/>
            </w:r>
            <w:r>
              <w:t>Kategoria inwestycji w transformację powinna obejmować produkty finansowe, które mają na celu wspieranie transformacji przedsiębiorstw, działalności gospodarczej i innych aktywów w kierunku zrównoważonego rozwoju lub przyczynianie się do takiej transformacji. Kategoria ta ma zapewnić dla tych produktów wymogi dotyczące ujawniania informacji i kryteria, które dokładnie odzwierciedlają strategie transformacji i uwzględniają obecne wyzwania związane z wdrażaniem wynikające z nieujęcia finansowania transformacji w definicji zrównoważonych inwestycji zawartej w art. 2 pkt 17 rozporządzenia (UE) 2019/2088. Wyzwania te obejmują trudności dla uczestników rynku finansowego, którzy chcą realizować strategie związane z transformacją i ujawniać informacje na ich temat, a także niejasności i brak odpowiednich informacji dla inwestorów końcowych zainteresowanych inwestowaniem w produkty wspierające transformację. Kategoria ta powinna zatem zwiększyć widoczność, przejrzystość i integralność produktów finansowych, które stanowią inwestycję w transformację przedsiębiorstw, działalności gospodarczej lub innych aktywów w kierunku lepszej efektywności środowiskowej lub społecznej lub które przyczyniają się do transformacji środowiskowej lub społecznej. Kategoria ta powinna zatem obejmować produkty finansowe o wysokim poziomie ambicji w zakresie transformacji, przy czym należy wybierać w szczególności inwestycje oparte na sprawdzonych standardach i narzędziach, w tym na strategiach naśladujących lub powielających unijne wskaźniki referencyjne transformacji klimatycznej lub unijne wskaźniki referencyjne dostosowane do porozumienia paryskiego zgodnie z rozporządzeniem (UE) 2016/1011 Parlamentu Europejskiego i Rady</w:t>
            </w:r>
            <w:r>
              <w:rPr>
                <w:vertAlign w:val="superscript"/>
              </w:rPr>
              <w:t>30</w:t>
            </w:r>
            <w:r>
              <w:t>, oparte na inwestowaniu w działalność gospodarczą na rzecz przejścia lub w przedsiębiorstwa inwestujące swoje nakłady inwestycyjne w rozumieniu rozporządzenia (UE) 2020/852 lub na inwestowaniu w przedsiębiorstwa bądź działalność gospodarczą, co do których podjęto zobowiązania dotyczące przyszłych ulepszeń poprzez wiarygodne plany transformacji lub cele oparte na podstawach naukowych. Kategoria ta powinna również obejmować produkty finansowe, w przypadku których wyniki związane z transformacją określono na poziomie portfela, np. zmniejszenie w czasie emisji finansowanych przez portfel, pod warunkiem że inwestycje bazowe są spójne z celem produktów związanym z transformacją. Aby zapewnić znaczący wkład w realizację międzynarodowych i europejskich celów klimatycznych, produkty finansowe, które służą realizacji celu polegającego na łagodzeniu zmiany klimatu, powinny być dostosowane pod względem ambicji do ambicji określonych w porozumieniu paryskim i w rozporządzeniu (UE) 2021/1119, w szczególności w odniesieniu do uczestników rynku finansowego polegających na planach transformacji i celach opartych na podstawach naukowych dostarczonych przez przedsiębiorstwa lub projekty lub realizujących strategię zaangażowania w zrównoważony rozwój ze spółkami, w które dokonano inwestycji. Z kategorii tej należy również wyłączyć działania, które są powszechnie uznawane za szkodliwe dla środowiska i społeczeństwa, dając jednocześnie inwestorom możliwość inwestowania w przedsiębiorstwa znajdujące się na różnych etapach transformacji. Wyłączenia te powinny być w wystarczającym stopniu dostosowane do wyłączeń określonych w unijnych klimatycznych wskaźnikach referencyjnych i przyjętych w wytycznych ESMA dotyczących nazw funduszy w odniesieniu do wszystkich funduszy stosujących w swoich nazwach określone terminy ESG, w tym terminy związane z transformacją. Powinny one obejmować działalność związaną z bronią zakazaną zdefiniowaną w planowanej nowelizacji rozporządzenia (UE) 2020/1818</w:t>
            </w:r>
            <w:r>
              <w:rPr>
                <w:vertAlign w:val="superscript"/>
              </w:rPr>
              <w:t>31</w:t>
            </w:r>
            <w:r>
              <w:t>, produkcją tytoniu, naruszeniami zasad inicjatywy ONZ Global Compact lub Wytycznych OECD dla przedsiębiorstw międzynarodowych oraz z węglem kamiennym i brunatnym. Z kategorii tej należy również wyłączyć przedsiębiorstwa opracowujące nowe projekty związane z ropą naftową lub paliwami gazowymi oraz przedsiębiorstwa opracowujące nowe projekty dotyczące wykorzystania węgla kamiennego lub brunatnego do wytwarzania energii elektrycznej bądź nieposiadające planów wycofania się z tego rodzaju działalności. Ponadto, podobnie jak w przypadku produktów należących do kategorii inwestycji w zrównoważony rozwój, produkty należące do kategorii inwestycji w transformację powinny identyfikować i ujawniać główne niekorzystne wpływy swoich inwestycji na czynniki zrównoważonego rozwoju oraz wyjaśniać wszelkie działania podjęte w celu przeciwdziałania tym wpływom.</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30</w:t>
            </w:r>
            <w:r>
              <w:t xml:space="preserve"> </w:t>
            </w:r>
            <w:r>
              <w:t>Rozporządzenie Parlamentu Europejskiego i Rady (UE) 2016/1011 z dnia 8 czerwca 2016 r. w sprawie indeksów stosowanych jako wskaźniki referencyjne w instrumentach finansowych i umowach finansowych lub do pomiaru wyników funduszy inwestycyjnych i zmieniające dyrektywy 2008/48/WE i 2014/17/UE oraz rozporządzenie (UE) nr 596/2014 (Dz.U. L 171 z 29.6.2016, s. 1, ELI: http://data.europa.eu/eli/reg/2016/1011/oj).</w:t>
            </w:r>
          </w:p>
        </w:tc>
        <w:tc>
          <w:tcPr>
            <w:tcW w:w="4876" w:type="dxa"/>
            <w:tcBorders>
              <w:top w:val="nil"/>
              <w:left w:val="nil"/>
              <w:bottom w:val="nil"/>
              <w:right w:val="nil"/>
            </w:tcBorders>
          </w:tcPr>
          <w:p>
            <w:pPr>
              <w:pStyle w:val="Normal6a"/>
            </w:pPr>
            <w:r>
              <w:rPr>
                <w:vertAlign w:val="superscript"/>
              </w:rPr>
              <w:t>30</w:t>
            </w:r>
            <w:r>
              <w:t xml:space="preserve"> </w:t>
            </w:r>
            <w:r>
              <w:t>Rozporządzenie Parlamentu Europejskiego i Rady (UE) 2016/1011 z dnia 8 czerwca 2016 r. w sprawie indeksów stosowanych jako wskaźniki referencyjne w instrumentach finansowych i umowach finansowych lub do pomiaru wyników funduszy inwestycyjnych i zmieniające dyrektywy 2008/48/WE i 2014/17/UE oraz rozporządzenie (UE) nr 596/2014 (Dz.U. L 171 z 29.6.2016, s. 1, ELI: http://data.europa.eu/eli/reg/2016/1011/oj).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31</w:t>
            </w:r>
            <w:r>
              <w:t xml:space="preserve"> </w:t>
            </w:r>
            <w:r>
              <w:t>Rozporządzenie delegowane Komisji (UE).../... zmieniające rozporządzenie delegowane (UE) 2020/1818 w odniesieniu do definicji broni zakazanej C(2025)3801 Szczegóły dotyczące aktu delegowanego – Rejestr aktów delegowanych.</w:t>
            </w:r>
          </w:p>
        </w:tc>
        <w:tc>
          <w:tcPr>
            <w:tcW w:w="4876" w:type="dxa"/>
            <w:tcBorders>
              <w:top w:val="nil"/>
              <w:left w:val="nil"/>
              <w:bottom w:val="nil"/>
              <w:right w:val="nil"/>
            </w:tcBorders>
          </w:tcPr>
          <w:p>
            <w:pPr>
              <w:pStyle w:val="Normal6a"/>
            </w:pPr>
            <w:r>
              <w:rPr>
                <w:vertAlign w:val="superscript"/>
              </w:rPr>
              <w:t>31</w:t>
            </w:r>
            <w:r>
              <w:t xml:space="preserve"> </w:t>
            </w:r>
            <w:r>
              <w:t>Rozporządzenie delegowane Komisji (UE) .../... zmieniające rozporządzenie delegowane (UE) 2020/1818 w odniesieniu do definicji broni zakazanej C(2025)3801 Szczegóły dotyczące aktu delegowanego – Rejestr aktów delegowanych.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Janusz Lewandowski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16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Najlepszym sposobem na osiągnięcie celu kategorii inwestycji w transformację, jakim jest wspieranie transformacji przedsiębiorstw, działalności gospodarczej lub innych aktywów przyczyniających się do lepszej efektywności środowiskowej lub społecznej, lub do transformacji środowiskowej lub społecznej, są kryteria, które zachowują sygnały inwestycyjne podczas przechodzenia na czystą energię.</w:t>
            </w:r>
            <w:r>
              <w:t xml:space="preserve"> </w:t>
            </w:r>
            <w:r>
              <w:rPr>
                <w:b/>
                <w:i/>
              </w:rPr>
              <w:t>Z myślą o osiągnięciu tego celu, kryteria wyłączenia z kategorii inwestycji w transformację powinny uwzględniać zasadę wyłączenia projektów niezgodnych z transformacją, a nie przedsiębiorstw realizujących te projekty.</w:t>
            </w:r>
            <w:r>
              <w:t xml:space="preserve"> </w:t>
            </w:r>
            <w:r>
              <w:rPr>
                <w:b/>
                <w:i/>
              </w:rPr>
              <w:t>Zasada ta pozwoli uniknąć ryzyka związanego z sytuacją, w której przedsiębiorstwa zaangażowane w transformację i przechodzące transformację będą zniechęcone do potrzebnych im inwestycji.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Luděk Niedermayer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16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Strategie zaangażowania w zrównoważony rozwój mogą stanowić odpowiednie podejście, jeżeli są wykorzystywane do spełnienia przez produkty finansowe wymogów dotyczących kategorii.</w:t>
            </w:r>
            <w:r>
              <w:t xml:space="preserve"> </w:t>
            </w:r>
            <w:r>
              <w:rPr>
                <w:b/>
                <w:i/>
              </w:rPr>
              <w:t>Uczestnicy rynku finansowego nie powinni być zobowiązani do stosowania i ujawniania takich strategii lub wyjaśniania ich braku, jeżeli produkt finansowy spełnia te wymogi dzięki innym podejściom inwestycyjnym.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Janusz Lewandowski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16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(16b)</w:t>
            </w:r>
            <w:r>
              <w:tab/>
            </w:r>
            <w:r>
              <w:rPr>
                <w:b/>
                <w:i/>
              </w:rPr>
              <w:t>W rozporządzeniu delegowanym (UE) 2022/1288 wśród wskaźników mających zastosowanie do inwestycji dokonanych w spółki należy zmienić nazwę wskaźnika głównych negatywnych wpływów nr 14 „Ekspozycja z tytułu kontrowersyjnych rodzajów broni (miny przeciwpiechotne, amunicja kasetowa, broń chemiczna i broń biologiczna)” na „Ekspozycja z tytułu zakazanych rodzajów broni (miny przeciwpiechotne, amunicja kasetowa, broń chemiczna i broń biologiczna)”.</w:t>
            </w:r>
            <w:r>
              <w:t xml:space="preserve"> </w:t>
            </w:r>
            <w:r>
              <w:rPr>
                <w:b/>
                <w:i/>
              </w:rPr>
              <w:t>Ma to na celu zagwarantowanie dostosowania i spójności całego prawodawstwa UE z pojęciem broni zakazanej, wprowadzonym rozporządzeniem delegowanym (UE) 2025/1775, stanowiącym część pakietu zbiorczego dotyczącego gotowości obronnej.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Lara Wolters, Jonás Fernández, Aurore Lalucq, Niels Fuglsang, Evelyn Regner, César Luena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Kategoria inwestycji o podstawowych cechach ESG powinna obejmować produkty finansowe, których strategia lub struktura opierają się na wybranych czynnikach zrównoważonego rozwoju. Z informacji zwrotnych otrzymanych podczas ukierunkowanych i otwartych konsultacji publicznych, warsztatów technicznych i obrad okrągłego stołu, sprawozdań grup ekspertów Komisji i odpowiedzi udzielonych w kontekście zaproszenia do zgłaszania dowodów, a także z dowodów dotyczących preferencji inwestorów uzyskanych w różnych badaniach konsumenckich wynika, że istnieje potrzeba stworzenia takiej kategorii produktów finansowych, aby umożliwić stosowanie innowacyjnych podejść w zakresie zrównoważonego rozwoju oraz uwzględnić preferencje inwestorów końcowych, obejmujące produkty pozwalające unikać szkodliwych inwestycji. Kryteria powinny umożliwiać uwzględnianie inwestycji, które nie są ukierunkowane konkretnie na osiągnięcie celu związanego ze zrównoważonym rozwojem lub transformacją, ale obejmują w strategiach inwestycyjnych czynniki zrównoważonego rozwoju poprzez wiarygodne podejścia do tej kwestii. W kryteriach należy wymienić kilka podejść, jakie mogą przyjmować uczestnicy rynku finansowego, takie jak osiąganie wyników lepszych od spektrum inwestycji lub od wskaźników referencyjnych, mierzonych ratingiem ESG lub wskaźnikiem zrównoważonego rozwoju, połączenie standardów zrównoważonego rozwoju </w:t>
            </w:r>
            <w:r>
              <w:rPr>
                <w:b/>
                <w:i/>
              </w:rPr>
              <w:t>lub</w:t>
            </w:r>
            <w:r>
              <w:t xml:space="preserve"> transformacji, a także inwestycje preferujące przedsiębiorstwa lub działalność gospodarczą o udokumentowanych pozytywnych wynikach w zakresie niektórych czynników zrównoważonego rozwoju. Z kategorii tej należy również wyłączyć działalność, którą powszechnie uznaje się za szkodliwą dla środowiska i społeczeństwa, zgodnie z wyłączeniami określonymi w unijnych klimatycznych wskaźnikach referencyjnych i przyjętymi w wytycznych ESMA dotyczących nazw funduszy w odniesieniu do wszystkich funduszy stosujących terminy ESG, z wyjątkiem terminów związanych ze zrównoważonym rozwojem lub „wpływem”. Powinny one obejmować działalność związaną z bronią zakazaną zdefiniowaną w planowanej nowelizacji rozporządzenia (UE) 2020/1818, uprawą i produkcją tytoniu, naruszeniami zasad </w:t>
            </w:r>
            <w:r>
              <w:rPr>
                <w:b/>
                <w:i/>
              </w:rPr>
              <w:t>inicjatywy ONZ Global Compact</w:t>
            </w:r>
            <w:r>
              <w:t xml:space="preserve"> lub Wytycznych OECD dla przedsiębiorstw międzynarodowych oraz z węglem kamiennym i brunatnym.</w:t>
            </w:r>
          </w:p>
        </w:tc>
        <w:tc>
          <w:tcPr>
            <w:tcW w:w="4876" w:type="dxa"/>
            <w:tcBorders>
              <w:top w:val="nil"/>
              <w:left w:val="nil"/>
              <w:bottom w:val="nil"/>
              <w:right w:val="nil"/>
            </w:tcBorders>
          </w:tcPr>
          <w:p>
            <w:pPr>
              <w:pStyle w:val="Normal6a"/>
            </w:pPr>
            <w:r>
              <w:t>(17)</w:t>
            </w:r>
            <w:r>
              <w:tab/>
            </w:r>
            <w:r>
              <w:t>Kategoria inwestycji o podstawowych cechach ESG powinna obejmować produkty finansowe, których strategia lub struktura opierają się na wybranych czynnikach zrównoważonego rozwoju. Z informacji zwrotnych otrzymanych podczas ukierunkowanych i otwartych konsultacji publicznych, warsztatów technicznych i obrad okrągłego stołu, sprawozdań grup ekspertów Komisji i odpowiedzi udzielonych w kontekście zaproszenia do zgłaszania dowodów, a także z dowodów dotyczących preferencji inwestorów uzyskanych w różnych badaniach konsumenckich wynika, że istnieje potrzeba stworzenia takiej kategorii produktów finansowych, aby umożliwić stosowanie innowacyjnych podejść w zakresie zrównoważonego rozwoju oraz uwzględnić preferencje inwestorów końcowych, obejmujące produkty pozwalające unikać szkodliwych inwestycji. Kryteria powinny umożliwiać uwzględnianie inwestycji, które nie są ukierunkowane konkretnie na osiągnięcie celu związanego ze zrównoważonym rozwojem lub transformacją, ale obejmują w strategiach inwestycyjnych czynniki zrównoważonego rozwoju poprzez wiarygodne podejścia do tej kwestii. W kryteriach należy wymienić kilka podejść, jakie mogą przyjmować uczestnicy rynku finansowego, takie jak osiąganie wyników lepszych od spektrum inwestycji lub od wskaźników referencyjnych, mierzonych ratingiem ESG lub wskaźnikiem zrównoważonego rozwoju, połączenie standardów zrównoważonego rozwoju</w:t>
            </w:r>
            <w:r>
              <w:rPr>
                <w:b/>
                <w:i/>
              </w:rPr>
              <w:t>,</w:t>
            </w:r>
            <w:r>
              <w:t xml:space="preserve"> transformacji </w:t>
            </w:r>
            <w:r>
              <w:rPr>
                <w:b/>
                <w:i/>
              </w:rPr>
              <w:t>lub impaktu</w:t>
            </w:r>
            <w:r>
              <w:t xml:space="preserve">, a także inwestycje preferujące przedsiębiorstwa lub działalność gospodarczą o udokumentowanych pozytywnych wynikach w zakresie niektórych czynników zrównoważonego rozwoju. Z kategorii tej należy również wyłączyć działalność, którą powszechnie uznaje się za szkodliwą dla środowiska i społeczeństwa, zgodnie z wyłączeniami określonymi w unijnych klimatycznych wskaźnikach referencyjnych i przyjętymi w wytycznych ESMA dotyczących nazw funduszy w odniesieniu do wszystkich funduszy stosujących terminy ESG, z wyjątkiem terminów związanych ze zrównoważonym rozwojem lub „wpływem”. Powinny one obejmować działalność związaną z bronią zakazaną zdefiniowaną w planowanej nowelizacji rozporządzenia (UE) 2020/1818, uprawą i produkcją tytoniu, naruszeniami zasad </w:t>
            </w:r>
            <w:r>
              <w:rPr>
                <w:b/>
                <w:i/>
              </w:rPr>
              <w:t>Wytycznych ONZ dotyczących biznesu i praw człowieka</w:t>
            </w:r>
            <w:r>
              <w:t xml:space="preserve"> lub Wytycznych OECD dla przedsiębiorstw międzynarodowych oraz z węglem kamiennym i brunatnym. </w:t>
            </w:r>
            <w:r>
              <w:rPr>
                <w:b/>
                <w:i/>
              </w:rPr>
              <w:t>Z kategorii tej należy również wyłączyć przedsiębiorstwa opracowujące nowe projekty związane z ropą naftową lub paliwami gazowymi oraz przedsiębiorstwa opracowujące nowe projekty dotyczące wykorzystania węgla kamiennego lub brunatnego do wytwarzania energii elektrycznej bądź nieposiadające planów wycofania się z tego rodzaju działalności.</w:t>
            </w:r>
            <w:r>
              <w:t xml:space="preserve"> </w:t>
            </w:r>
            <w:r>
              <w:rPr>
                <w:b/>
                <w:i/>
              </w:rPr>
              <w:t>Takie produkty powinny także identyfikować i ujawniać główne niekorzystne wpływy swoich inwestycji na czynniki zrównoważonego rozwoju oraz wyjaśniać działania podjęte, aby im przeciwdziałać.</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Luděk Niedermayer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Kategoria inwestycji o podstawowych cechach ESG powinna obejmować produkty finansowe, których strategia lub struktura opierają się na wybranych czynnikach zrównoważonego rozwoju. Z informacji zwrotnych otrzymanych podczas ukierunkowanych i otwartych konsultacji publicznych, warsztatów technicznych i obrad okrągłego stołu, sprawozdań grup ekspertów Komisji i odpowiedzi udzielonych w kontekście zaproszenia do zgłaszania dowodów, a także z dowodów dotyczących preferencji inwestorów uzyskanych w różnych badaniach konsumenckich wynika, że istnieje potrzeba stworzenia takiej kategorii produktów finansowych, aby umożliwić stosowanie innowacyjnych podejść w zakresie zrównoważonego rozwoju oraz uwzględnić preferencje inwestorów końcowych, obejmujące produkty pozwalające unikać szkodliwych inwestycji. Kryteria powinny umożliwiać uwzględnianie inwestycji, które nie są ukierunkowane konkretnie na osiągnięcie celu związanego ze zrównoważonym rozwojem lub transformacją, ale obejmują w strategiach inwestycyjnych czynniki zrównoważonego rozwoju poprzez wiarygodne podejścia do tej kwestii. W kryteriach należy wymienić kilka podejść, jakie mogą przyjmować uczestnicy rynku finansowego, takie jak osiąganie wyników lepszych od spektrum inwestycji lub od wskaźników referencyjnych, mierzonych ratingiem ESG lub wskaźnikiem zrównoważonego rozwoju, połączenie standardów zrównoważonego rozwoju lub transformacji, a także inwestycje preferujące przedsiębiorstwa lub działalność gospodarczą o udokumentowanych pozytywnych wynikach w zakresie niektórych czynników zrównoważonego rozwoju. Z kategorii tej należy również wyłączyć działalność, którą powszechnie uznaje się za szkodliwą dla środowiska i społeczeństwa, zgodnie z wyłączeniami określonymi w unijnych klimatycznych wskaźnikach referencyjnych i przyjętymi w wytycznych ESMA dotyczących nazw funduszy w odniesieniu do wszystkich funduszy stosujących terminy ESG, z wyjątkiem terminów związanych ze zrównoważonym rozwojem lub „wpływem”. Powinny one obejmować działalność związaną z bronią zakazaną zdefiniowaną w planowanej nowelizacji rozporządzenia (UE) 2020/1818, uprawą i produkcją tytoniu, naruszeniami zasad inicjatywy ONZ Global Compact lub Wytycznych OECD dla przedsiębiorstw międzynarodowych oraz z węglem kamiennym i brunatnym.</w:t>
            </w:r>
          </w:p>
        </w:tc>
        <w:tc>
          <w:tcPr>
            <w:tcW w:w="4876" w:type="dxa"/>
            <w:tcBorders>
              <w:top w:val="nil"/>
              <w:left w:val="nil"/>
              <w:bottom w:val="nil"/>
              <w:right w:val="nil"/>
            </w:tcBorders>
          </w:tcPr>
          <w:p>
            <w:pPr>
              <w:pStyle w:val="Normal6a"/>
            </w:pPr>
            <w:r>
              <w:t>(17)</w:t>
            </w:r>
            <w:r>
              <w:tab/>
            </w:r>
            <w:r>
              <w:t xml:space="preserve">Kategoria inwestycji o podstawowych cechach ESG powinna obejmować produkty finansowe, których strategia lub struktura opierają się na wybranych czynnikach zrównoważonego rozwoju. Z informacji zwrotnych otrzymanych podczas ukierunkowanych i otwartych konsultacji publicznych, warsztatów technicznych i obrad okrągłego stołu, sprawozdań grup ekspertów Komisji i odpowiedzi udzielonych w kontekście zaproszenia do zgłaszania dowodów, a także z dowodów dotyczących preferencji inwestorów uzyskanych w różnych badaniach konsumenckich wynika, że istnieje potrzeba stworzenia takiej kategorii produktów finansowych, aby umożliwić stosowanie innowacyjnych podejść w zakresie zrównoważonego rozwoju oraz uwzględnić preferencje inwestorów końcowych, obejmujące produkty pozwalające unikać szkodliwych inwestycji. Kryteria powinny umożliwiać uwzględnianie inwestycji, które nie są ukierunkowane konkretnie na osiągnięcie celu związanego ze zrównoważonym rozwojem lub transformacją, ale obejmują w strategiach inwestycyjnych czynniki zrównoważonego rozwoju poprzez wiarygodne podejścia do tej kwestii. W kryteriach należy wymienić kilka podejść, jakie mogą przyjmować uczestnicy rynku finansowego, takie jak osiąganie wyników lepszych od spektrum inwestycji lub od wskaźników referencyjnych, mierzonych ratingiem ESG lub wskaźnikiem zrównoważonego rozwoju, połączenie standardów zrównoważonego rozwoju lub transformacji, a także inwestycje preferujące przedsiębiorstwa lub działalność gospodarczą o udokumentowanych pozytywnych wynikach w zakresie niektórych czynników zrównoważonego rozwoju. Z kategorii tej należy również wyłączyć działalność, którą powszechnie uznaje się za szkodliwą dla środowiska i społeczeństwa, zgodnie z wyłączeniami określonymi w unijnych klimatycznych wskaźnikach referencyjnych i przyjętymi w wytycznych ESMA dotyczących nazw funduszy w odniesieniu do wszystkich funduszy stosujących terminy ESG, z wyjątkiem terminów związanych ze zrównoważonym rozwojem lub „wpływem”. Powinny one obejmować działalność związaną z bronią zakazaną zdefiniowaną w planowanej nowelizacji rozporządzenia (UE) 2020/1818, uprawą i produkcją tytoniu, naruszeniami zasad inicjatywy ONZ Global Compact lub Wytycznych OECD dla przedsiębiorstw międzynarodowych oraz z węglem kamiennym i brunatnym. </w:t>
            </w:r>
            <w:r>
              <w:rPr>
                <w:b/>
                <w:i/>
              </w:rPr>
              <w:t>Produkty finansowe należące do kategorii inwestycji o podstawowych cechach ESG powinny nadal podlegać proporcjonalnym wymogom i nie należy wymagać od nich, jako warunku dla tej kategorii, identyfikowania i ujawniania głównych niekorzystnych skutków inwestycji dla czynników zrównoważonego rozwoju ani wyjaśniania działań podjętych w związku z tymi skutkami.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Markus Ferber, Janusz Lewandowski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Kategoria inwestycji o podstawowych cechach ESG powinna obejmować produkty finansowe, których strategia lub struktura opierają się na wybranych czynnikach zrównoważonego rozwoju. Z informacji zwrotnych otrzymanych podczas ukierunkowanych i otwartych konsultacji publicznych, warsztatów technicznych i obrad okrągłego stołu, sprawozdań grup ekspertów Komisji i odpowiedzi udzielonych w kontekście zaproszenia do zgłaszania dowodów, a także z dowodów dotyczących preferencji inwestorów uzyskanych w różnych badaniach konsumenckich wynika, że istnieje potrzeba stworzenia takiej kategorii produktów finansowych, aby umożliwić stosowanie innowacyjnych podejść w zakresie zrównoważonego rozwoju oraz uwzględnić preferencje inwestorów końcowych, obejmujące produkty pozwalające unikać szkodliwych inwestycji. Kryteria powinny umożliwiać uwzględnianie inwestycji, które nie są ukierunkowane konkretnie na osiągnięcie celu związanego ze zrównoważonym rozwojem lub transformacją, ale obejmują w strategiach inwestycyjnych czynniki zrównoważonego rozwoju poprzez wiarygodne podejścia do tej kwestii. W kryteriach należy wymienić kilka podejść, jakie mogą przyjmować uczestnicy rynku finansowego, takie jak osiąganie wyników lepszych od spektrum inwestycji lub od wskaźników referencyjnych, mierzonych ratingiem ESG lub wskaźnikiem zrównoważonego rozwoju, połączenie standardów zrównoważonego rozwoju lub transformacji, a także inwestycje preferujące przedsiębiorstwa lub działalność gospodarczą o udokumentowanych pozytywnych wynikach w zakresie niektórych czynników zrównoważonego rozwoju. </w:t>
            </w:r>
            <w:r>
              <w:rPr>
                <w:b/>
                <w:i/>
              </w:rPr>
              <w:t>Z</w:t>
            </w:r>
            <w:r>
              <w:t xml:space="preserve"> kategorii </w:t>
            </w:r>
            <w:r>
              <w:rPr>
                <w:b/>
                <w:i/>
              </w:rPr>
              <w:t>tej należy również wyłączyć działalność, którą powszechnie uznaje się za szkodliwą dla środowiska i społeczeństwa</w:t>
            </w:r>
            <w:r>
              <w:t xml:space="preserve">, </w:t>
            </w:r>
            <w:r>
              <w:rPr>
                <w:b/>
                <w:i/>
              </w:rPr>
              <w:t>zgodnie z wyłączeniami określonymi w unijnych klimatycznych wskaźnikach referencyjnych i przyjętymi w wytycznych ESMA dotyczących nazw funduszy w odniesieniu do wszystkich funduszy stosujących terminy ESG, z wyjątkiem terminów związanych ze zrównoważonym rozwojem lub „wpływem”.</w:t>
            </w:r>
            <w:r>
              <w:t xml:space="preserve"> </w:t>
            </w:r>
            <w:r>
              <w:rPr>
                <w:b/>
                <w:i/>
              </w:rPr>
              <w:t>Powinny one obejmować działalność związaną z bronią zakazaną zdefiniowaną w planowanej nowelizacji rozporządzenia (UE) 2020/1818, uprawą i produkcją tytoniu, naruszeniami zasad inicjatywy ONZ Global Compact lub Wytycznych OECD dla przedsiębiorstw międzynarodowych oraz z węglem kamiennym i brunatnym</w:t>
            </w:r>
            <w:r>
              <w:t>.</w:t>
            </w:r>
          </w:p>
        </w:tc>
        <w:tc>
          <w:tcPr>
            <w:tcW w:w="4876" w:type="dxa"/>
            <w:tcBorders>
              <w:top w:val="nil"/>
              <w:left w:val="nil"/>
              <w:bottom w:val="nil"/>
              <w:right w:val="nil"/>
            </w:tcBorders>
          </w:tcPr>
          <w:p>
            <w:pPr>
              <w:pStyle w:val="Normal6a"/>
            </w:pPr>
            <w:r>
              <w:t>(17)</w:t>
            </w:r>
            <w:r>
              <w:tab/>
            </w:r>
            <w:r>
              <w:t xml:space="preserve">Kategoria inwestycji o podstawowych cechach ESG powinna obejmować produkty finansowe, których strategia lub struktura opierają się na wybranych czynnikach zrównoważonego rozwoju. Z informacji zwrotnych otrzymanych podczas ukierunkowanych i otwartych konsultacji publicznych, warsztatów technicznych i obrad okrągłego stołu, sprawozdań grup ekspertów Komisji i odpowiedzi udzielonych w kontekście zaproszenia do zgłaszania dowodów, a także z dowodów dotyczących preferencji inwestorów uzyskanych w różnych badaniach konsumenckich wynika, że istnieje potrzeba stworzenia takiej kategorii produktów finansowych, aby umożliwić stosowanie innowacyjnych podejść w zakresie zrównoważonego rozwoju oraz uwzględnić preferencje inwestorów końcowych, obejmujące produkty pozwalające unikać szkodliwych inwestycji. Kryteria powinny umożliwiać uwzględnianie inwestycji, które nie są ukierunkowane konkretnie na osiągnięcie celu związanego ze zrównoważonym rozwojem lub transformacją, ale obejmują w strategiach inwestycyjnych czynniki zrównoważonego rozwoju poprzez wiarygodne podejścia do tej kwestii. W kryteriach należy wymienić kilka podejść, jakie mogą przyjmować uczestnicy rynku finansowego, takie jak osiąganie wyników lepszych od spektrum inwestycji lub od wskaźników referencyjnych, mierzonych ratingiem ESG lub wskaźnikiem zrównoważonego rozwoju, połączenie standardów zrównoważonego rozwoju lub transformacji, a także inwestycje preferujące przedsiębiorstwa lub działalność gospodarczą o udokumentowanych pozytywnych wynikach w zakresie niektórych czynników zrównoważonego rozwoju. </w:t>
            </w:r>
            <w:r>
              <w:rPr>
                <w:b/>
                <w:i/>
              </w:rPr>
              <w:t>Uczestnicy rynku finansowego, którzy oferują produkty należące do</w:t>
            </w:r>
            <w:r>
              <w:t xml:space="preserve"> kategorii </w:t>
            </w:r>
            <w:r>
              <w:rPr>
                <w:b/>
                <w:i/>
              </w:rPr>
              <w:t>o cechach podstawowych ESG powinni mieć swobodę stosowania wszelkich wyłączeń, które uznają za odpowiednie dla swojej strategii inwestycyjnej</w:t>
            </w:r>
            <w:r>
              <w:t xml:space="preserve">, </w:t>
            </w:r>
            <w:r>
              <w:rPr>
                <w:b/>
                <w:i/>
              </w:rPr>
              <w:t>oraz ujawniania tych wyłączeń inwestorom.</w:t>
            </w:r>
            <w:r>
              <w:t xml:space="preserve"> </w:t>
            </w:r>
            <w:r>
              <w:rPr>
                <w:b/>
                <w:i/>
              </w:rPr>
              <w:t>Integralność kategorii o cech podstawowych ESG gwarantuje próg integracji określony w ust</w:t>
            </w:r>
            <w:r>
              <w:t xml:space="preserve">. </w:t>
            </w:r>
            <w:r>
              <w:rPr>
                <w:b/>
                <w:i/>
              </w:rPr>
              <w:t>1 lit. 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Angelika Winzig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Kategoria </w:t>
            </w:r>
            <w:r>
              <w:rPr>
                <w:b/>
                <w:i/>
              </w:rPr>
              <w:t>inwestycji o podstawowych cechach</w:t>
            </w:r>
            <w:r>
              <w:t xml:space="preserve"> ESG powinna obejmować produkty finansowe, których strategia lub struktura opierają się na wybranych czynnikach zrównoważonego rozwoju. Z informacji zwrotnych otrzymanych podczas ukierunkowanych i otwartych konsultacji publicznych, warsztatów technicznych i obrad okrągłego stołu, sprawozdań grup ekspertów Komisji i odpowiedzi udzielonych w kontekście zaproszenia do zgłaszania dowodów, a także z dowodów dotyczących preferencji inwestorów uzyskanych w różnych badaniach konsumenckich wynika, że istnieje potrzeba stworzenia takiej kategorii produktów finansowych, aby umożliwić stosowanie innowacyjnych podejść w zakresie zrównoważonego rozwoju oraz uwzględnić preferencje inwestorów końcowych, obejmujące produkty pozwalające unikać szkodliwych inwestycji. Kryteria powinny umożliwiać uwzględnianie inwestycji, które nie są ukierunkowane konkretnie na osiągnięcie celu związanego ze zrównoważonym rozwojem lub transformacją, ale obejmują w strategiach inwestycyjnych czynniki zrównoważonego rozwoju poprzez wiarygodne podejścia do tej kwestii. W kryteriach należy wymienić kilka podejść, jakie mogą przyjmować uczestnicy rynku finansowego, takie jak osiąganie wyników lepszych od spektrum inwestycji lub od wskaźników referencyjnych, mierzonych ratingiem ESG lub wskaźnikiem zrównoważonego rozwoju, połączenie standardów zrównoważonego rozwoju lub transformacji, a także inwestycje preferujące przedsiębiorstwa lub działalność gospodarczą o udokumentowanych pozytywnych wynikach w zakresie niektórych czynników zrównoważonego rozwoju. Z kategorii tej należy również wyłączyć działalność, którą powszechnie uznaje się za szkodliwą dla środowiska i społeczeństwa, zgodnie z wyłączeniami określonymi w unijnych klimatycznych wskaźnikach referencyjnych i przyjętymi w wytycznych ESMA dotyczących nazw funduszy w odniesieniu do wszystkich funduszy stosujących terminy ESG, z wyjątkiem terminów związanych ze zrównoważonym rozwojem lub „wpływem”. Powinny one obejmować działalność związaną z bronią zakazaną zdefiniowaną w planowanej nowelizacji rozporządzenia (UE) 2020/1818, uprawą i produkcją tytoniu, naruszeniami zasad inicjatywy ONZ Global Compact lub Wytycznych OECD dla przedsiębiorstw międzynarodowych oraz z węglem kamiennym i brunatnym.</w:t>
            </w:r>
          </w:p>
        </w:tc>
        <w:tc>
          <w:tcPr>
            <w:tcW w:w="4876" w:type="dxa"/>
            <w:tcBorders>
              <w:top w:val="nil"/>
              <w:left w:val="nil"/>
              <w:bottom w:val="nil"/>
              <w:right w:val="nil"/>
            </w:tcBorders>
          </w:tcPr>
          <w:p>
            <w:pPr>
              <w:pStyle w:val="Normal6a"/>
            </w:pPr>
            <w:r>
              <w:t>(17)</w:t>
            </w:r>
            <w:r>
              <w:tab/>
            </w:r>
            <w:r>
              <w:t xml:space="preserve">Kategoria </w:t>
            </w:r>
            <w:r>
              <w:rPr>
                <w:b/>
                <w:i/>
              </w:rPr>
              <w:t>integracji</w:t>
            </w:r>
            <w:r>
              <w:t xml:space="preserve"> ESG powinna obejmować produkty finansowe, których strategia lub struktura opierają się na wybranych czynnikach zrównoważonego rozwoju. Z informacji zwrotnych otrzymanych podczas ukierunkowanych i otwartych konsultacji publicznych, warsztatów technicznych i obrad okrągłego stołu, sprawozdań grup ekspertów Komisji i odpowiedzi udzielonych w kontekście zaproszenia do zgłaszania dowodów, a także z dowodów dotyczących preferencji inwestorów uzyskanych w różnych badaniach konsumenckich wynika, że istnieje potrzeba stworzenia takiej kategorii produktów finansowych, aby umożliwić stosowanie innowacyjnych podejść w zakresie zrównoważonego rozwoju oraz uwzględnić preferencje inwestorów końcowych, obejmujące produkty pozwalające unikać szkodliwych inwestycji. Kryteria powinny umożliwiać uwzględnianie inwestycji, które nie są ukierunkowane konkretnie na osiągnięcie celu związanego ze zrównoważonym rozwojem lub transformacją, ale obejmują w strategiach inwestycyjnych czynniki zrównoważonego rozwoju poprzez wiarygodne podejścia do tej kwestii. W kryteriach należy wymienić kilka podejść, jakie mogą przyjmować uczestnicy rynku finansowego, takie jak osiąganie wyników lepszych od spektrum inwestycji lub od wskaźników referencyjnych, mierzonych ratingiem ESG lub wskaźnikiem zrównoważonego rozwoju, połączenie standardów zrównoważonego rozwoju lub transformacji, a także inwestycje preferujące przedsiębiorstwa lub działalność gospodarczą o udokumentowanych pozytywnych wynikach w zakresie niektórych czynników zrównoważonego rozwoju. Z kategorii tej należy również wyłączyć działalność, którą powszechnie uznaje się za szkodliwą dla środowiska i społeczeństwa, zgodnie z wyłączeniami określonymi w unijnych klimatycznych wskaźnikach referencyjnych i przyjętymi w wytycznych ESMA dotyczących nazw funduszy w odniesieniu do wszystkich funduszy stosujących terminy ESG, z wyjątkiem terminów związanych ze zrównoważonym rozwojem lub „wpływem”. Powinny one obejmować działalność związaną z bronią zakazaną zdefiniowaną w planowanej nowelizacji rozporządzenia (UE) 2020/1818, uprawą i produkcją tytoniu, naruszeniami zasad inicjatywy ONZ Global Compact lub Wytycznych OECD dla przedsiębiorstw międzynarodowych oraz z węglem kamiennym i brunatnym.</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Zmiana nazwy kategorii z „o podstawowych cechach ESG” na „integracji ESG” zastępuje nieopłacalną z handlowego punktu widzenia i potencjalnie szkodliwą etykietę ustaloną na całym świecie standardową terminologią branżową dotyczącą tej praktyki.</w:t>
      </w:r>
      <w:r>
        <w:t xml:space="preserve"> </w:t>
      </w:r>
      <w:r>
        <w:t>Zmiana gwarantuje, że kategoria dokładnie odzwierciedla profesjonalne, systematyczne włączanie ryzyka dla zrównoważonego rozwoju do tradycyjnej analizy finansowej bez stwarzania niezamierzonej szkody dla reputacji producentów.</w:t>
      </w:r>
    </w:p>
    <w:p>
      <w:r>
        <w:rPr>
          <w:rStyle w:val="HideTWBExt"/>
        </w:rPr>
        <w:t>&lt;/Amend&gt;</w:t>
      </w:r>
    </w:p>
    <w:p>
      <w:pPr>
        <w:pStyle w:val="AmNumberTabs"/>
      </w:pPr>
      <w:r>
        <w:rPr>
          <w:rStyle w:val="HideTWBExt"/>
        </w:rPr>
        <w:t>&lt;Amend&gt;</w:t>
      </w:r>
      <w:r>
        <w:t>Poprawka</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Denis Nesci, Francesco Ventola, Mariateresa Vivaldini, Marco Falcone, Marco Squarta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Kategoria inwestycji o podstawowych cechach ESG powinna obejmować produkty finansowe, których strategia lub struktura opierają się na wybranych czynnikach zrównoważonego rozwoju. Z informacji zwrotnych otrzymanych podczas ukierunkowanych i otwartych konsultacji publicznych, warsztatów technicznych i obrad okrągłego stołu, sprawozdań grup ekspertów Komisji i odpowiedzi udzielonych w kontekście zaproszenia do zgłaszania dowodów, a także z dowodów dotyczących preferencji inwestorów uzyskanych w różnych badaniach konsumenckich wynika, że istnieje potrzeba stworzenia takiej kategorii produktów finansowych, aby umożliwić stosowanie innowacyjnych podejść w zakresie zrównoważonego rozwoju oraz uwzględnić preferencje inwestorów końcowych, obejmujące produkty pozwalające unikać szkodliwych inwestycji. Kryteria powinny umożliwiać uwzględnianie inwestycji, które nie są ukierunkowane konkretnie na osiągnięcie celu związanego ze zrównoważonym rozwojem lub transformacją, ale obejmują w strategiach inwestycyjnych czynniki zrównoważonego rozwoju poprzez wiarygodne podejścia do tej kwestii. W kryteriach należy wymienić kilka podejść, jakie mogą przyjmować uczestnicy rynku finansowego, takie jak osiąganie wyników lepszych od spektrum inwestycji lub od wskaźników referencyjnych, mierzonych ratingiem ESG lub wskaźnikiem zrównoważonego rozwoju, połączenie standardów zrównoważonego rozwoju lub transformacji, a także inwestycje preferujące przedsiębiorstwa lub działalność gospodarczą o udokumentowanych pozytywnych wynikach w zakresie niektórych czynników zrównoważonego rozwoju. Z kategorii tej należy również wyłączyć działalność, którą powszechnie uznaje się za szkodliwą dla środowiska i społeczeństwa, zgodnie z wyłączeniami określonymi w unijnych klimatycznych wskaźnikach referencyjnych i przyjętymi w wytycznych ESMA dotyczących nazw funduszy w odniesieniu do wszystkich funduszy stosujących terminy ESG, z wyjątkiem terminów związanych ze zrównoważonym rozwojem lub „wpływem”. Powinny one obejmować działalność związaną z bronią zakazaną zdefiniowaną w planowanej nowelizacji rozporządzenia (UE) 2020/1818, uprawą i produkcją tytoniu</w:t>
            </w:r>
            <w:r>
              <w:rPr>
                <w:b/>
                <w:i/>
              </w:rPr>
              <w:t>,</w:t>
            </w:r>
            <w:r>
              <w:t xml:space="preserve"> naruszeniami zasad inicjatywy ONZ Global Compact lub Wytycznych OECD dla przedsiębiorstw międzynarodowych </w:t>
            </w:r>
            <w:r>
              <w:rPr>
                <w:b/>
                <w:i/>
              </w:rPr>
              <w:t>oraz z węglem kamiennym i brunatnym</w:t>
            </w:r>
            <w:r>
              <w:t>.</w:t>
            </w:r>
          </w:p>
        </w:tc>
        <w:tc>
          <w:tcPr>
            <w:tcW w:w="4876" w:type="dxa"/>
            <w:tcBorders>
              <w:top w:val="nil"/>
              <w:left w:val="nil"/>
              <w:bottom w:val="nil"/>
              <w:right w:val="nil"/>
            </w:tcBorders>
          </w:tcPr>
          <w:p>
            <w:pPr>
              <w:pStyle w:val="Normal6a"/>
            </w:pPr>
            <w:r>
              <w:t>(17)</w:t>
            </w:r>
            <w:r>
              <w:tab/>
            </w:r>
            <w:r>
              <w:t xml:space="preserve">Kategoria inwestycji o podstawowych cechach ESG powinna obejmować produkty finansowe, których strategia lub struktura opierają się na wybranych czynnikach zrównoważonego rozwoju. Z informacji zwrotnych otrzymanych podczas ukierunkowanych i otwartych konsultacji publicznych, warsztatów technicznych i obrad okrągłego stołu, sprawozdań grup ekspertów Komisji i odpowiedzi udzielonych w kontekście zaproszenia do zgłaszania dowodów, a także z dowodów dotyczących preferencji inwestorów uzyskanych w różnych badaniach konsumenckich wynika, że istnieje potrzeba stworzenia takiej kategorii produktów finansowych, aby umożliwić stosowanie innowacyjnych podejść w zakresie zrównoważonego rozwoju oraz uwzględnić preferencje inwestorów końcowych, obejmujące produkty pozwalające unikać szkodliwych inwestycji. Kryteria powinny umożliwiać uwzględnianie inwestycji, które nie są ukierunkowane konkretnie na osiągnięcie celu związanego ze zrównoważonym rozwojem lub transformacją, ale obejmują w strategiach inwestycyjnych czynniki zrównoważonego rozwoju poprzez wiarygodne podejścia do tej kwestii. W kryteriach należy wymienić kilka podejść, jakie mogą przyjmować uczestnicy rynku finansowego, takie jak osiąganie wyników lepszych od spektrum inwestycji lub od wskaźników referencyjnych, mierzonych ratingiem ESG lub wskaźnikiem zrównoważonego rozwoju, połączenie standardów zrównoważonego rozwoju lub transformacji, a także inwestycje preferujące przedsiębiorstwa lub działalność gospodarczą o udokumentowanych pozytywnych wynikach w zakresie niektórych czynników zrównoważonego rozwoju. Z kategorii tej należy również wyłączyć działalność, którą powszechnie uznaje się za szkodliwą dla środowiska i społeczeństwa, zgodnie z wyłączeniami określonymi w unijnych klimatycznych wskaźnikach referencyjnych i przyjętymi w wytycznych ESMA dotyczących nazw funduszy w odniesieniu do wszystkich funduszy stosujących terminy ESG, z wyjątkiem terminów związanych ze zrównoważonym rozwojem lub „wpływem”. Powinny one obejmować działalność związaną z bronią zakazaną zdefiniowaną w planowanej nowelizacji rozporządzenia (UE) 2020/1818, uprawą i produkcją tytoniu </w:t>
            </w:r>
            <w:r>
              <w:rPr>
                <w:b/>
                <w:i/>
              </w:rPr>
              <w:t>oraz</w:t>
            </w:r>
            <w:r>
              <w:t xml:space="preserve"> naruszeniami zasad inicjatywy ONZ Global Compact lub Wytycznych OECD dla przedsiębiorstw międzynarodowych.</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Janusz Lewandowski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Kategoria inwestycji o podstawowych cechach ESG powinna obejmować produkty finansowe, których strategia lub struktura opierają się na wybranych czynnikach zrównoważonego rozwoju. Z informacji zwrotnych otrzymanych podczas ukierunkowanych i otwartych konsultacji publicznych, warsztatów technicznych i obrad okrągłego stołu, sprawozdań grup ekspertów Komisji i odpowiedzi udzielonych w kontekście zaproszenia do zgłaszania dowodów, a także z dowodów dotyczących preferencji inwestorów uzyskanych w różnych badaniach konsumenckich wynika, że istnieje potrzeba stworzenia takiej kategorii produktów finansowych, aby umożliwić stosowanie innowacyjnych podejść w zakresie zrównoważonego rozwoju oraz uwzględnić preferencje inwestorów końcowych, obejmujące produkty pozwalające unikać szkodliwych inwestycji. Kryteria powinny umożliwiać uwzględnianie inwestycji, które nie są ukierunkowane konkretnie na osiągnięcie celu związanego ze zrównoważonym rozwojem lub transformacją, ale obejmują w strategiach inwestycyjnych czynniki zrównoważonego rozwoju poprzez wiarygodne podejścia do tej kwestii. W kryteriach należy wymienić kilka podejść, jakie mogą przyjmować uczestnicy rynku finansowego, takie jak osiąganie wyników lepszych od spektrum inwestycji lub od wskaźników referencyjnych, mierzonych ratingiem ESG lub wskaźnikiem zrównoważonego rozwoju, połączenie standardów zrównoważonego rozwoju lub transformacji, a także inwestycje preferujące przedsiębiorstwa lub działalność gospodarczą o udokumentowanych pozytywnych wynikach w zakresie niektórych czynników zrównoważonego rozwoju. Z kategorii tej należy również wyłączyć działalność, którą powszechnie uznaje się za szkodliwą dla środowiska i społeczeństwa, zgodnie z wyłączeniami określonymi w unijnych klimatycznych wskaźnikach referencyjnych i przyjętymi w wytycznych ESMA dotyczących nazw funduszy w odniesieniu do wszystkich funduszy stosujących terminy ESG, z wyjątkiem terminów związanych ze zrównoważonym rozwojem lub „wpływem”. Powinny one obejmować działalność związaną z bronią zakazaną zdefiniowaną w planowanej nowelizacji rozporządzenia (UE) 2020/1818, </w:t>
            </w:r>
            <w:r>
              <w:rPr>
                <w:b/>
                <w:i/>
              </w:rPr>
              <w:t>uprawą i</w:t>
            </w:r>
            <w:r>
              <w:t xml:space="preserve"> produkcją tytoniu, naruszeniami zasad inicjatywy ONZ Global Compact lub Wytycznych OECD dla przedsiębiorstw międzynarodowych oraz z węglem kamiennym i brunatnym.</w:t>
            </w:r>
          </w:p>
        </w:tc>
        <w:tc>
          <w:tcPr>
            <w:tcW w:w="4876" w:type="dxa"/>
            <w:tcBorders>
              <w:top w:val="nil"/>
              <w:left w:val="nil"/>
              <w:bottom w:val="nil"/>
              <w:right w:val="nil"/>
            </w:tcBorders>
          </w:tcPr>
          <w:p>
            <w:pPr>
              <w:pStyle w:val="Normal6a"/>
            </w:pPr>
            <w:r>
              <w:t>(17)</w:t>
            </w:r>
            <w:r>
              <w:tab/>
            </w:r>
            <w:r>
              <w:t>Kategoria inwestycji o podstawowych cechach ESG powinna obejmować produkty finansowe, których strategia lub struktura opierają się na wybranych czynnikach zrównoważonego rozwoju. Z informacji zwrotnych otrzymanych podczas ukierunkowanych i otwartych konsultacji publicznych, warsztatów technicznych i obrad okrągłego stołu, sprawozdań grup ekspertów Komisji i odpowiedzi udzielonych w kontekście zaproszenia do zgłaszania dowodów, a także z dowodów dotyczących preferencji inwestorów uzyskanych w różnych badaniach konsumenckich wynika, że istnieje potrzeba stworzenia takiej kategorii produktów finansowych, aby umożliwić stosowanie innowacyjnych podejść w zakresie zrównoważonego rozwoju oraz uwzględnić preferencje inwestorów końcowych, obejmujące produkty pozwalające unikać szkodliwych inwestycji. Kryteria powinny umożliwiać uwzględnianie inwestycji, które nie są ukierunkowane konkretnie na osiągnięcie celu związanego ze zrównoważonym rozwojem lub transformacją, ale obejmują w strategiach inwestycyjnych czynniki zrównoważonego rozwoju poprzez wiarygodne podejścia do tej kwestii. W kryteriach należy wymienić kilka podejść, jakie mogą przyjmować uczestnicy rynku finansowego, takie jak osiąganie wyników lepszych od spektrum inwestycji lub od wskaźników referencyjnych, mierzonych ratingiem ESG lub wskaźnikiem zrównoważonego rozwoju, połączenie standardów zrównoważonego rozwoju lub transformacji, a także inwestycje preferujące przedsiębiorstwa lub działalność gospodarczą o udokumentowanych pozytywnych wynikach w zakresie niektórych czynników zrównoważonego rozwoju. Z kategorii tej należy również wyłączyć działalność, którą powszechnie uznaje się za szkodliwą dla środowiska i społeczeństwa, zgodnie z wyłączeniami określonymi w unijnych klimatycznych wskaźnikach referencyjnych i przyjętymi w wytycznych ESMA dotyczących nazw funduszy w odniesieniu do wszystkich funduszy stosujących terminy ESG, z wyjątkiem terminów związanych ze zrównoważonym rozwojem lub „wpływem”. Powinny one obejmować działalność związaną z bronią zakazaną zdefiniowaną w planowanej nowelizacji rozporządzenia (UE) 2020/1818, produkcją tytoniu, naruszeniami zasad inicjatywy ONZ Global Compact lub Wytycznych OECD dla przedsiębiorstw międzynarodowych oraz z węglem kamiennym i brunatnym.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Markus Ferber, Janusz Lewandowski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Kategoria inwestycji w zrównoważony rozwój powinna obejmować produkty finansowe stanowiące inwestycje w przedsiębiorstwa, aktywa lub działania, które są zrównoważone lub które realizują cele środowiskowe lub społeczne lub pozytywnie przyczyniają się do ich osiągnięcia. Kategoria ta powinna obejmować produkty finansowe o wysokim poziomie ambicji w tym zakresie, przy czym należy wybierać w szczególności inwestycje oparte na sprawdzonych standardach i narzędziach, w tym na strategiach powielających unijne wskaźniki referencyjne dostosowane do porozumienia paryskiego zgodnie z rozporządzeniem (UE) 2016/1011 Parlamentu Europejskiego i Rady lub przewidujących zarządzanie w odniesieniu do tych wskaźników, inwestycje w zrównoważoną działalność gospodarczą w rozumieniu rozporządzenia (UE) 2020/852</w:t>
            </w:r>
            <w:r>
              <w:rPr>
                <w:b/>
                <w:i/>
                <w:vertAlign w:val="superscript"/>
              </w:rPr>
              <w:t>32</w:t>
            </w:r>
            <w:r>
              <w:t>, na inwestowaniu w instrumenty wyemitowane zgodnie z rozporządzeniem Parlamentu Europejskiego i Rady (UE) 2023/2631</w:t>
            </w:r>
            <w:r>
              <w:rPr>
                <w:b/>
                <w:i/>
                <w:vertAlign w:val="superscript"/>
              </w:rPr>
              <w:t>33</w:t>
            </w:r>
            <w:r>
              <w:t xml:space="preserve">oraz na inwestowaniu w operacje korzystające z unijnej gwarancji budżetowej lub instrumenty finansowe w ramach programów Unii realizujących cele środowiskowe bądź społeczne. W związku z tym wyłączenia dotyczące produktów finansowych w tej kategorii powinny wykraczać poza wyłączenia dla pozostałych dwóch kategorii i obejmować działalność, w przypadku której łańcuch wartości jest powiązany z paliwami kopalnymi, w tym rozwojem paliw kopalnych. W szczególności wyłączenia powinny obejmować, obok działalności związanej z paliwami ropopochodnymi, paliwami gazowymi i wytwarzaniem energii elektrycznej o intensywności emisji gazów cieplarnianych większej niż 100 g </w:t>
            </w:r>
            <w:r>
              <w:rPr>
                <w:b/>
                <w:i/>
              </w:rPr>
              <w:t>CO</w:t>
            </w:r>
            <w:r>
              <w:rPr>
                <w:b/>
                <w:i/>
                <w:vertAlign w:val="subscript"/>
              </w:rPr>
              <w:t>2</w:t>
            </w:r>
            <w:r>
              <w:t xml:space="preserve"> e/kWh, wyłączenia przewidziane dla kategorii inwestycji w transformację i inwestycji o podstawowych cechach ESG</w:t>
            </w:r>
            <w:r>
              <w:rPr>
                <w:b/>
                <w:i/>
              </w:rPr>
              <w:t>.</w:t>
            </w:r>
            <w:r>
              <w:t xml:space="preserve"> </w:t>
            </w:r>
            <w:r>
              <w:rPr>
                <w:b/>
                <w:i/>
              </w:rPr>
              <w:t>Z kategorii tej należy również wyłączyć przedsiębiorstwa opracowujące nowe projekty związane z ropą naftową lub paliwami gazowymi oraz przedsiębiorstwa opracowujące nowe projekty dotyczące wykorzystania węgla kamiennego lub brunatnego do wytwarzania energii elektrycznej bądź nieposiadające planów wycofania się z tego rodzaju działalności</w:t>
            </w:r>
            <w:r>
              <w:t>. Ponadto poza tymi wyłączeniami dla produktów należących do kategorii inwestycji w zrównoważony rozwój należy identyfikować i ujawniać główne niekorzystne wpływy odnośnych inwestycji na czynniki zrównoważonego rozwoju oraz wyjaśniać wszelkie działania podjęte w celu przeciwdziałania tym wpływom. Wymóg ten uzupełniałby wspólne wyłączenia binarne i gwarantowałby identyfikację, ujawnianie i potencjalne uwzględnianie wszelkich innych głównych niekorzystnych wpływów na czynniki zrównoważonego rozwoju. Zapewniłoby to odpowiednią przejrzystość w zakresie niekorzystnych wpływów, umożliwiając tym samym inwestorom końcowym zrozumienie potencjalnej szkody związanej z takimi produktami, przy jednoczesnym zapewnieniu uczestnikom rynku finansowego większej jasności prawa co do wymaganego obowiązku niż obecna zasada „brania pod uwagę” wskaźników głównych niekorzystnych wpływów. Należy opracować wskaźniki oparte na obecnych wskaźnikach głównych niekorzystnych wpływów, o których mowa w załączniku I do rozporządzenia delegowanego Komisji (UE) 2022/1888 i w rozporządzeniu delegowanym Komisji (UE) 2023/2772, na potrzeby dobrowolnego stosowania przez uczestników rynku finansowego do celów spełnienia wymogów identyfikacji i ujawniania głównych niekorzystnych wpływów. Uczestnicy rynku finansowego powinni jednak dysponować elastycznością w zakresie ujawniania tych głównych niekorzystnych wpływów z zastosowaniem innego podejścia, na przykład innych wskaźników lub jakościowego wyjaśnienia takich wpływów i działań, jeżeli lepiej pasuje to do charakteru zidentyfikowanego lub uwzględnionego wpływu. Ta elastyczność w zakresie sposobu identyfikacji wpływów powinna umożliwić im skupienie się na faktycznie istotnych wpływach na ich produkty w zależności od aktywów, strategii i celów. Wymóg ten byłby do pewnego stopnia dostosowany do kryteriów istniejących w innych ramach międzynarodowych, przy jednoczesnym zapewnieniu, aby przepisy UE pozostały bardziej ambitne, w tym przez wdrożenie wspólnych wyłączeń binarnych.</w:t>
            </w:r>
          </w:p>
        </w:tc>
        <w:tc>
          <w:tcPr>
            <w:tcW w:w="4876" w:type="dxa"/>
            <w:tcBorders>
              <w:top w:val="nil"/>
              <w:left w:val="nil"/>
              <w:bottom w:val="nil"/>
              <w:right w:val="nil"/>
            </w:tcBorders>
          </w:tcPr>
          <w:p>
            <w:pPr>
              <w:pStyle w:val="Normal6a"/>
            </w:pPr>
            <w:r>
              <w:t>(18)</w:t>
            </w:r>
            <w:r>
              <w:tab/>
            </w:r>
            <w:r>
              <w:t xml:space="preserve">Kategoria inwestycji w zrównoważony rozwój powinna obejmować produkty finansowe stanowiące inwestycje w przedsiębiorstwa, aktywa lub działania, które są zrównoważone lub które realizują cele środowiskowe lub społeczne lub pozytywnie przyczyniają się do ich osiągnięcia. Kategoria ta powinna obejmować produkty finansowe o wysokim poziomie ambicji w tym zakresie, przy czym należy wybierać w szczególności inwestycje oparte na sprawdzonych standardach i narzędziach, w tym na strategiach powielających unijne wskaźniki referencyjne dostosowane do porozumienia paryskiego zgodnie z rozporządzeniem (UE) 2016/1011 Parlamentu Europejskiego i Rady lub przewidujących zarządzanie w odniesieniu do tych wskaźników, inwestycje w zrównoważoną działalność gospodarczą w rozumieniu rozporządzenia (UE) 2020/852, na inwestowaniu w instrumenty wyemitowane zgodnie z rozporządzeniem Parlamentu Europejskiego i Rady (UE) 2023/2631 oraz na inwestowaniu w operacje korzystające z unijnej gwarancji budżetowej lub instrumenty finansowe w ramach programów Unii realizujących cele środowiskowe bądź społeczne. W związku z tym wyłączenia dotyczące produktów finansowych w tej kategorii powinny wykraczać poza wyłączenia dla pozostałych dwóch kategorii i obejmować działalność, w przypadku której łańcuch wartości jest powiązany z paliwami kopalnymi, w tym rozwojem paliw kopalnych. W szczególności wyłączenia powinny obejmować, obok działalności związanej z paliwami ropopochodnymi, paliwami gazowymi i wytwarzaniem energii elektrycznej o intensywności emisji gazów cieplarnianych większej niż 100 g </w:t>
            </w:r>
            <w:r>
              <w:rPr>
                <w:b/>
                <w:i/>
              </w:rPr>
              <w:t>CO2</w:t>
            </w:r>
            <w:r>
              <w:t xml:space="preserve"> e/kWh, wyłączenia przewidziane dla kategorii inwestycji w transformację i inwestycji o podstawowych cechach ESG. Ponadto poza tymi wyłączeniami dla produktów należących do kategorii inwestycji w zrównoważony rozwój należy identyfikować i ujawniać główne niekorzystne wpływy odnośnych inwestycji na czynniki zrównoważonego rozwoju oraz wyjaśniać wszelkie działania podjęte w celu przeciwdziałania tym wpływom. Wymóg ten uzupełniałby wspólne wyłączenia binarne i gwarantowałby identyfikację, ujawnianie i potencjalne uwzględnianie wszelkich innych głównych niekorzystnych wpływów na czynniki zrównoważonego rozwoju. Zapewniłoby to odpowiednią przejrzystość w zakresie niekorzystnych wpływów, umożliwiając tym samym inwestorom końcowym zrozumienie potencjalnej szkody związanej z takimi produktami, przy jednoczesnym zapewnieniu uczestnikom rynku finansowego większej jasności prawa co do wymaganego obowiązku niż obecna zasada „brania pod uwagę” wskaźników głównych niekorzystnych wpływów. Należy opracować wskaźniki oparte na obecnych wskaźnikach głównych niekorzystnych wpływów, o których mowa w załączniku I do rozporządzenia delegowanego Komisji (UE) 2022/1888 i w rozporządzeniu delegowanym Komisji (UE) 2023/2772, na potrzeby dobrowolnego stosowania przez uczestników rynku finansowego do celów spełnienia wymogów identyfikacji i ujawniania głównych niekorzystnych wpływów. Uczestnicy rynku finansowego powinni jednak dysponować elastycznością w zakresie ujawniania tych głównych niekorzystnych wpływów z zastosowaniem innego podejścia, na przykład innych wskaźników lub jakościowego wyjaśnienia takich wpływów i działań, jeżeli lepiej pasuje to do charakteru zidentyfikowanego lub uwzględnionego wpływu. Ta elastyczność w zakresie sposobu identyfikacji wpływów powinna umożliwić im skupienie się na faktycznie istotnych wpływach na ich produkty w zależności od aktywów, strategii i celów. Wymóg ten byłby do pewnego stopnia dostosowany do kryteriów istniejących w innych ramach międzynarodowych, przy jednoczesnym zapewnieniu, aby przepisy UE pozostały bardziej ambitne, w tym przez wdrożenie wspólnych wyłączeń binarnych.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32</w:t>
            </w:r>
            <w:r>
              <w:t xml:space="preserve"> </w:t>
            </w:r>
            <w:r>
              <w:rPr>
                <w:b/>
                <w:i/>
              </w:rPr>
              <w:t>Rozporządzenie Parlamentu Europejskiego i Rady (UE) 2016/1011 z dnia 8 czerwca 2016 r. w sprawie indeksów stosowanych jako wskaźniki referencyjne w instrumentach finansowych i umowach finansowych lub do pomiaru wyników funduszy inwestycyjnych i zmieniające dyrektywy 2008/48/WE i 2014/17/UE oraz rozporządzenie (UE) nr 596/2014 (Dz.U.</w:t>
            </w:r>
            <w:r>
              <w:t xml:space="preserve"> </w:t>
            </w:r>
            <w:r>
              <w:rPr>
                <w:b/>
                <w:i/>
              </w:rPr>
              <w:t>L 171 z 29.6.2016, s.</w:t>
            </w:r>
            <w:r>
              <w:t xml:space="preserve"> </w:t>
            </w:r>
            <w:r>
              <w:rPr>
                <w:b/>
                <w:i/>
              </w:rPr>
              <w:t>1, ELI: http://data.europa.eu/eli/reg/2016/1011/oj).</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33</w:t>
            </w:r>
            <w:r>
              <w:t xml:space="preserve"> </w:t>
            </w:r>
            <w:r>
              <w:rPr>
                <w:b/>
                <w:i/>
              </w:rPr>
              <w:t>Rozporządzenie Parlamentu Europejskiego i Rady (UE) 2023/2631 z dnia 22 listopada 2023 r. w sprawie europejskich zielonych obligacji oraz opcjonalnego ujawniania informacji na temat obligacji wprowadzanych do obrotu jako zrównoważone środowiskowo i obligacji powiązanych ze zrównoważonym rozwojem (Dz.U.</w:t>
            </w:r>
            <w:r>
              <w:t xml:space="preserve"> </w:t>
            </w:r>
            <w:r>
              <w:rPr>
                <w:b/>
                <w:i/>
              </w:rPr>
              <w:t>L, 2023/2631, 30.11.2023, ELI: http://data.europa.eu/eli/reg/2023/2631/oj).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Lara Wolters, Jonás Fernández, Aurore Lalucq, Niels Fuglsang, Evelyn Regner, César Luena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Kategoria inwestycji w zrównoważony rozwój powinna obejmować produkty finansowe stanowiące inwestycje w przedsiębiorstwa, aktywa lub działania, które są zrównoważone lub które realizują cele środowiskowe lub społeczne lub pozytywnie przyczyniają się do ich osiągnięcia. Kategoria ta powinna obejmować produkty finansowe o wysokim poziomie ambicji w tym zakresie, przy czym należy wybierać w szczególności inwestycje oparte na sprawdzonych standardach i narzędziach, w tym na strategiach powielających unijne wskaźniki referencyjne dostosowane do porozumienia paryskiego zgodnie z rozporządzeniem (UE) 2016/1011 Parlamentu Europejskiego i Rady lub przewidujących zarządzanie w odniesieniu do tych wskaźników, inwestycje w zrównoważoną działalność gospodarczą w rozumieniu rozporządzenia (UE) 2020/852</w:t>
            </w:r>
            <w:r>
              <w:rPr>
                <w:vertAlign w:val="superscript"/>
              </w:rPr>
              <w:t>32</w:t>
            </w:r>
            <w:r>
              <w:t>, na inwestowaniu w instrumenty wyemitowane zgodnie z rozporządzeniem Parlamentu Europejskiego i Rady (UE) 2023/2631</w:t>
            </w:r>
            <w:r>
              <w:rPr>
                <w:vertAlign w:val="superscript"/>
              </w:rPr>
              <w:t>33</w:t>
            </w:r>
            <w:r>
              <w:t xml:space="preserve">oraz na inwestowaniu w operacje korzystające z unijnej gwarancji budżetowej lub instrumenty finansowe w ramach programów Unii realizujących cele środowiskowe bądź społeczne. W związku z tym wyłączenia dotyczące produktów finansowych w tej kategorii powinny wykraczać poza wyłączenia dla pozostałych dwóch kategorii i obejmować działalność, w przypadku której łańcuch wartości jest powiązany z paliwami kopalnymi, w tym rozwojem paliw kopalnych. W szczególności wyłączenia powinny obejmować, obok działalności związanej z paliwami ropopochodnymi, paliwami gazowymi i wytwarzaniem energii elektrycznej o intensywności emisji gazów cieplarnianych większej niż 100 g </w:t>
            </w:r>
            <w:r>
              <w:rPr>
                <w:b/>
                <w:i/>
              </w:rPr>
              <w:t>CO</w:t>
            </w:r>
            <w:r>
              <w:rPr>
                <w:b/>
                <w:i/>
                <w:vertAlign w:val="subscript"/>
              </w:rPr>
              <w:t>2</w:t>
            </w:r>
            <w:r>
              <w:t>e/kWh, wyłączenia przewidziane dla kategorii inwestycji w transformację i inwestycji o podstawowych cechach ESG. Z kategorii tej należy również wyłączyć przedsiębiorstwa opracowujące nowe projekty związane z ropą naftową lub paliwami gazowymi oraz przedsiębiorstwa opracowujące nowe projekty dotyczące wykorzystania węgla kamiennego lub brunatnego do wytwarzania energii elektrycznej bądź nieposiadające planów wycofania się z tego rodzaju działalności. Ponadto poza tymi wyłączeniami dla produktów należących do kategorii inwestycji w zrównoważony rozwój należy identyfikować i ujawniać</w:t>
            </w:r>
            <w:r>
              <w:rPr>
                <w:b/>
                <w:i/>
              </w:rPr>
              <w:t>główne niekorzystne wpływy</w:t>
            </w:r>
            <w:r>
              <w:t>odnośnych inwestycji na czynniki zrównoważonego rozwoju oraz wyjaśniać wszelkie działania podjęte w celu przeciwdziałania tym wpływom. Wymóg ten uzupełniałby wspólne wyłączenia binarne i gwarantowałby identyfikację, ujawnianie i potencjalne uwzględnianie wszelkich innych głównych niekorzystnych wpływów na czynniki zrównoważonego rozwoju. Zapewniłoby to odpowiednią przejrzystość w zakresie niekorzystnych wpływów, umożliwiając tym samym inwestorom końcowym zrozumienie potencjalnej szkody</w:t>
            </w:r>
            <w:r>
              <w:rPr>
                <w:b/>
                <w:i/>
              </w:rPr>
              <w:t>związanej z takimi produktami</w:t>
            </w:r>
            <w:r>
              <w:t>, przy jednoczesnym zapewnieniu uczestnikom rynku finansowego większej jasności prawa co do wymaganego obowiązku niż obecna zasada „brania pod uwagę” wskaźników głównych niekorzystnych wpływów. Należy opracować wskaźniki oparte na obecnych wskaźnikach głównych niekorzystnych wpływów, o których mowa w załączniku I do rozporządzenia delegowanego Komisji (UE) 2022/1888 i w rozporządzeniu delegowanym Komisji (UE) 2023/2772, na potrzeby</w:t>
            </w:r>
            <w:r>
              <w:rPr>
                <w:b/>
                <w:i/>
              </w:rPr>
              <w:t>dobrowolnego</w:t>
            </w:r>
            <w:r>
              <w:t>stosowania przez uczestników rynku finansowego do celów spełnienia wymogów identyfikacji i ujawniania głównych niekorzystnych wpływów. Uczestnicy rynku finansowego powinni</w:t>
            </w:r>
            <w:r>
              <w:rPr>
                <w:b/>
                <w:i/>
              </w:rPr>
              <w:t>jednak</w:t>
            </w:r>
            <w:r>
              <w:t>dysponować elastycznością w zakresie ujawniania tych głównych niekorzystnych wpływów z zastosowaniem innego podejścia, na przykład innych wskaźników lub jakościowego wyjaśnienia takich wpływów i działań, jeżeli lepiej pasuje to do charakteru zidentyfikowanego lub uwzględnionego wpływu. Ta elastyczność w zakresie sposobu identyfikacji wpływów powinna umożliwić im skupienie się na</w:t>
            </w:r>
            <w:r>
              <w:rPr>
                <w:b/>
                <w:i/>
              </w:rPr>
              <w:t>faktycznie istotnych</w:t>
            </w:r>
            <w:r>
              <w:t>wpływach na ich produkty w zależności od aktywów, strategii i celów. Wymóg ten byłby do pewnego stopnia dostosowany do kryteriów istniejących w innych ramach międzynarodowych, przy jednoczesnym zapewnieniu, aby przepisy UE pozostały bardziej ambitne, w tym przez wdrożenie wspólnych wyłączeń binarnych.</w:t>
            </w:r>
          </w:p>
        </w:tc>
        <w:tc>
          <w:tcPr>
            <w:tcW w:w="4876" w:type="dxa"/>
            <w:tcBorders>
              <w:top w:val="nil"/>
              <w:left w:val="nil"/>
              <w:bottom w:val="nil"/>
              <w:right w:val="nil"/>
            </w:tcBorders>
          </w:tcPr>
          <w:p>
            <w:pPr>
              <w:pStyle w:val="Normal6a"/>
            </w:pPr>
            <w:r>
              <w:t>(18)</w:t>
            </w:r>
            <w:r>
              <w:tab/>
            </w:r>
            <w:r>
              <w:t>Kategoria inwestycji w zrównoważony rozwój powinna obejmować produkty finansowe stanowiące inwestycje w przedsiębiorstwa, aktywa lub działania, które są zrównoważone lub które realizują cele środowiskowe lub społeczne lub pozytywnie przyczyniają się do ich osiągnięcia. Kategoria ta powinna obejmować produkty finansowe o wysokim poziomie ambicji w tym zakresie, przy czym należy wybierać w szczególności inwestycje oparte na sprawdzonych standardach i narzędziach, w tym na strategiach powielających unijne wskaźniki referencyjne dostosowane do porozumienia paryskiego zgodnie z rozporządzeniem (UE) 2016/1011 Parlamentu Europejskiego i Rady</w:t>
            </w:r>
            <w:r>
              <w:rPr>
                <w:vertAlign w:val="superscript"/>
              </w:rPr>
              <w:t>32</w:t>
            </w:r>
            <w:r>
              <w:t xml:space="preserve"> lub przewidujących zarządzanie w odniesieniu do tych wskaźników, inwestycje w zrównoważoną działalność gospodarczą w rozumieniu rozporządzenia (UE) 2020/852, na inwestowaniu w instrumenty wyemitowane zgodnie z rozporządzeniem Parlamentu Europejskiego i Rady (UE) 2023/2631</w:t>
            </w:r>
            <w:r>
              <w:rPr>
                <w:vertAlign w:val="superscript"/>
              </w:rPr>
              <w:t>33</w:t>
            </w:r>
            <w:r>
              <w:t xml:space="preserve"> oraz na inwestowaniu w operacje korzystające z unijnej gwarancji budżetowej lub instrumenty finansowe w ramach programów Unii realizujących cele środowiskowe bądź społeczne. W związku z tym wyłączenia dotyczące produktów finansowych w tej kategorii powinny wykraczać poza wyłączenia dla pozostałych dwóch kategorii i obejmować działalność, w przypadku której łańcuch wartości jest powiązany z paliwami kopalnymi, w tym rozwojem paliw kopalnych. W szczególności wyłączenia powinny obejmować, obok działalności związanej z paliwami ropopochodnymi, paliwami gazowymi i wytwarzaniem energii elektrycznej o intensywności emisji gazów cieplarnianych większej niż 100 g </w:t>
            </w:r>
            <w:r>
              <w:rPr>
                <w:b/>
                <w:i/>
              </w:rPr>
              <w:t>CO2</w:t>
            </w:r>
            <w:r>
              <w:t xml:space="preserve"> e/kWh, wyłączenia przewidziane dla kategorii inwestycji w transformację i inwestycji o podstawowych cechach ESG. Z kategorii tej należy również wyłączyć przedsiębiorstwa opracowujące nowe projekty związane z ropą naftową lub paliwami gazowymi oraz przedsiębiorstwa opracowujące nowe projekty dotyczące wykorzystania węgla kamiennego lub brunatnego do wytwarzania energii elektrycznej bądź nieposiadające planów wycofania się z tego rodzaju działalności. Ponadto poza tymi wyłączeniami dla produktów należących do kategorii inwestycji w zrównoważony rozwój należy identyfikować i ujawniać </w:t>
            </w:r>
            <w:r>
              <w:rPr>
                <w:b/>
                <w:i/>
              </w:rPr>
              <w:t>obowiązkowy zestaw głównych niekorzystnych wpływów</w:t>
            </w:r>
            <w:r>
              <w:t xml:space="preserve"> odnośnych inwestycji na czynniki zrównoważonego rozwoju oraz wyjaśniać wszelkie działania podjęte w celu przeciwdziałania tym wpływom. Wymóg ten uzupełniałby wspólne wyłączenia binarne i gwarantowałby identyfikację, ujawnianie i potencjalne uwzględnianie wszelkich innych głównych niekorzystnych wpływów na czynniki zrównoważonego rozwoju</w:t>
            </w:r>
            <w:r>
              <w:rPr>
                <w:b/>
                <w:i/>
              </w:rPr>
              <w:t>, a jednocześnie umożliwiał porównywanie produktów finansowych</w:t>
            </w:r>
            <w:r>
              <w:t xml:space="preserve">. Zapewniłoby to odpowiednią przejrzystość w zakresie niekorzystnych wpływów, umożliwiając tym samym inwestorom końcowym zrozumienie potencjalnej szkody </w:t>
            </w:r>
            <w:r>
              <w:rPr>
                <w:b/>
                <w:i/>
              </w:rPr>
              <w:t>i porównywanie różnych produktów</w:t>
            </w:r>
            <w:r>
              <w:t xml:space="preserve">, przy jednoczesnym zapewnieniu uczestnikom rynku finansowego większej jasności prawa co do wymaganego obowiązku niż obecna zasada „brania pod uwagę” wskaźników głównych niekorzystnych wpływów. Należy opracować wskaźniki oparte na obecnych wskaźnikach głównych niekorzystnych wpływów, o których mowa w załączniku I do rozporządzenia delegowanego Komisji (UE) 2022/1888 i w rozporządzeniu delegowanym Komisji (UE) 2023/2772, na potrzeby stosowania przez uczestników rynku finansowego do celów spełnienia wymogów identyfikacji i ujawniania głównych niekorzystnych wpływów. </w:t>
            </w:r>
            <w:r>
              <w:rPr>
                <w:b/>
                <w:i/>
              </w:rPr>
              <w:t>Oprócz zestawu obowiązkowych wskaźników głównych niekorzystnych wpływów</w:t>
            </w:r>
            <w:r>
              <w:t xml:space="preserve"> uczestnicy rynku finansowego powinni dysponować elastycznością w zakresie ujawniania tych głównych niekorzystnych wpływów z zastosowaniem innego podejścia, na przykład innych wskaźników lub jakościowego wyjaśnienia takich wpływów i działań, jeżeli lepiej pasuje to do charakteru zidentyfikowanego lub uwzględnionego wpływu. Ta elastyczność w zakresie sposobu identyfikacji wpływów powinna umożliwić im skupienie się na </w:t>
            </w:r>
            <w:r>
              <w:rPr>
                <w:b/>
                <w:i/>
              </w:rPr>
              <w:t>najistotniejszych</w:t>
            </w:r>
            <w:r>
              <w:t xml:space="preserve"> wpływach na ich produkty w zależności od aktywów, strategii i celów</w:t>
            </w:r>
            <w:r>
              <w:rPr>
                <w:b/>
                <w:i/>
              </w:rPr>
              <w:t>, z zachowaniem możliwości porównywania</w:t>
            </w:r>
            <w:r>
              <w:t>. Wymóg ten byłby do pewnego stopnia dostosowany do kryteriów istniejących w innych ramach międzynarodowych, przy jednoczesnym zapewnieniu, aby przepisy UE pozostały bardziej ambitne, w tym przez wdrożenie wspólnych wyłączeń binarnych.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32</w:t>
            </w:r>
            <w:r>
              <w:t xml:space="preserve"> </w:t>
            </w:r>
            <w:r>
              <w:t>Rozporządzenie Parlamentu Europejskiego i Rady (UE) 2016/1011 z dnia 8 czerwca 2016 r. w sprawie indeksów stosowanych jako wskaźniki referencyjne w instrumentach finansowych i umowach finansowych lub do pomiaru wyników funduszy inwestycyjnych i zmieniające dyrektywy 2008/48/WE i 2014/17/UE oraz rozporządzenie (UE) nr 596/2014 (Dz.U. L 171 z 29.6.2016, s. 1, ELI: http://data.europa.eu/eli/reg/2016/1011/oj).</w:t>
            </w:r>
          </w:p>
        </w:tc>
        <w:tc>
          <w:tcPr>
            <w:tcW w:w="4876" w:type="dxa"/>
            <w:tcBorders>
              <w:top w:val="nil"/>
              <w:left w:val="nil"/>
              <w:bottom w:val="nil"/>
              <w:right w:val="nil"/>
            </w:tcBorders>
          </w:tcPr>
          <w:p>
            <w:pPr>
              <w:pStyle w:val="Normal6a"/>
            </w:pPr>
            <w:r>
              <w:rPr>
                <w:vertAlign w:val="superscript"/>
              </w:rPr>
              <w:t>32</w:t>
            </w:r>
            <w:r>
              <w:t xml:space="preserve"> </w:t>
            </w:r>
            <w:r>
              <w:t>Rozporządzenie Parlamentu Europejskiego i Rady (UE) 2016/1011 z dnia 8 czerwca 2016 r. w sprawie indeksów stosowanych jako wskaźniki referencyjne w instrumentach finansowych i umowach finansowych lub do pomiaru wyników funduszy inwestycyjnych i zmieniające dyrektywy 2008/48/WE i 2014/17/UE oraz rozporządzenie (UE) nr 596/2014 (Dz.U. L 171 z 29.6.2016, s. 1, ELI: http://data.europa.eu/eli/reg/2016/1011/oj).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33</w:t>
            </w:r>
            <w:r>
              <w:t xml:space="preserve"> </w:t>
            </w:r>
            <w:r>
              <w:t xml:space="preserve">Rozporządzenie Parlamentu Europejskiego i Rady (UE) 2023/2631 z dnia 22 listopada 2023 r. w sprawie europejskich zielonych obligacji oraz opcjonalnego ujawniania informacji na temat obligacji wprowadzanych do obrotu jako zrównoważone środowiskowo i </w:t>
            </w:r>
            <w:r>
              <w:rPr>
                <w:b/>
                <w:i/>
              </w:rPr>
              <w:t>obligacji powiązanych</w:t>
            </w:r>
            <w:r>
              <w:t xml:space="preserve"> ze zrównoważonym rozwojem (Dz.U. L, 2023/2631</w:t>
            </w:r>
            <w:r>
              <w:rPr>
                <w:b/>
                <w:i/>
              </w:rPr>
              <w:t>,</w:t>
            </w:r>
            <w:r>
              <w:t xml:space="preserve"> 30.11.2023, ELI: http://data.europa.eu/eli/reg/2023/2631/oj).</w:t>
            </w:r>
          </w:p>
        </w:tc>
        <w:tc>
          <w:tcPr>
            <w:tcW w:w="4876" w:type="dxa"/>
            <w:tcBorders>
              <w:top w:val="nil"/>
              <w:left w:val="nil"/>
              <w:bottom w:val="nil"/>
              <w:right w:val="nil"/>
            </w:tcBorders>
          </w:tcPr>
          <w:p>
            <w:pPr>
              <w:pStyle w:val="Normal6a"/>
            </w:pPr>
            <w:r>
              <w:rPr>
                <w:vertAlign w:val="superscript"/>
              </w:rPr>
              <w:t>33</w:t>
            </w:r>
            <w:r>
              <w:t xml:space="preserve"> </w:t>
            </w:r>
            <w:r>
              <w:t xml:space="preserve">Rozporządzenie Parlamentu Europejskiego i Rady (UE) 2023/2631 z dnia 22 listopada 2023 r. w sprawie europejskich zielonych obligacji oraz opcjonalnego ujawniania informacji na temat obligacji wprowadzanych do obrotu jako </w:t>
            </w:r>
            <w:r>
              <w:rPr>
                <w:b/>
                <w:i/>
              </w:rPr>
              <w:t>obligacje</w:t>
            </w:r>
            <w:r>
              <w:t xml:space="preserve"> zrównoważone środowiskowo i </w:t>
            </w:r>
            <w:r>
              <w:rPr>
                <w:b/>
                <w:i/>
              </w:rPr>
              <w:t>obligacje powiązane</w:t>
            </w:r>
            <w:r>
              <w:t xml:space="preserve"> ze zrównoważonym rozwojem (Dz.U. L, 2023/2631 </w:t>
            </w:r>
            <w:r>
              <w:rPr>
                <w:b/>
                <w:i/>
              </w:rPr>
              <w:t>z</w:t>
            </w:r>
            <w:r>
              <w:t> 30.11.2023, ELI: http://data.europa.eu/eli/reg/2023/2631/oj).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Angelika Winzig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Kategoria inwestycji w zrównoważony rozwój powinna obejmować produkty finansowe stanowiące inwestycje w przedsiębiorstwa, aktywa lub działania, które są zrównoważone lub które realizują cele środowiskowe lub społeczne lub pozytywnie przyczyniają się do ich osiągnięcia. Kategoria ta powinna obejmować produkty finansowe o wysokim poziomie ambicji w tym zakresie, przy czym należy wybierać w szczególności inwestycje oparte na sprawdzonych standardach i narzędziach, w tym na strategiach powielających unijne wskaźniki referencyjne dostosowane do porozumienia paryskiego zgodnie z rozporządzeniem (UE) 2016/1011 Parlamentu Europejskiego i Rady lub przewidujących zarządzanie w odniesieniu do tych wskaźników, inwestycje w zrównoważoną działalność gospodarczą w rozumieniu rozporządzenia (UE) 2020/852</w:t>
            </w:r>
            <w:r>
              <w:rPr>
                <w:vertAlign w:val="superscript"/>
              </w:rPr>
              <w:t>32</w:t>
            </w:r>
            <w:r>
              <w:t>, na inwestowaniu w instrumenty wyemitowane zgodnie z rozporządzeniem Parlamentu Europejskiego i Rady (UE) 2023/2631</w:t>
            </w:r>
            <w:r>
              <w:rPr>
                <w:vertAlign w:val="superscript"/>
              </w:rPr>
              <w:t>33</w:t>
            </w:r>
            <w:r>
              <w:t xml:space="preserve">oraz na inwestowaniu w operacje korzystające z unijnej gwarancji budżetowej lub instrumenty finansowe w ramach programów Unii realizujących cele środowiskowe bądź społeczne. W związku z tym wyłączenia dotyczące produktów finansowych w tej kategorii powinny wykraczać poza wyłączenia dla pozostałych dwóch kategorii i obejmować działalność, w przypadku której łańcuch wartości jest powiązany z paliwami kopalnymi, w tym rozwojem paliw kopalnych. W szczególności wyłączenia powinny obejmować, obok działalności związanej z paliwami ropopochodnymi, paliwami gazowymi i wytwarzaniem energii elektrycznej o intensywności emisji gazów cieplarnianych większej niż 100 g </w:t>
            </w:r>
            <w:r>
              <w:rPr>
                <w:b/>
                <w:i/>
              </w:rPr>
              <w:t>CO</w:t>
            </w:r>
            <w:r>
              <w:rPr>
                <w:b/>
                <w:i/>
                <w:vertAlign w:val="subscript"/>
              </w:rPr>
              <w:t>2</w:t>
            </w:r>
            <w:r>
              <w:t>e/kWh, wyłączenia przewidziane dla kategorii inwestycji w transformację i inwestycji</w:t>
            </w:r>
            <w:r>
              <w:rPr>
                <w:b/>
                <w:i/>
              </w:rPr>
              <w:t>o podstawowych cechach</w:t>
            </w:r>
            <w:r>
              <w:t>ESG. Z kategorii tej należy również wyłączyć przedsiębiorstwa opracowujące nowe projekty związane z ropą naftową lub paliwami gazowymi oraz przedsiębiorstwa opracowujące nowe projekty dotyczące wykorzystania węgla kamiennego lub brunatnego do wytwarzania energii elektrycznej bądź nieposiadające planów wycofania się z tego rodzaju działalności. Ponadto poza tymi wyłączeniami dla produktów należących do kategorii inwestycji w zrównoważony rozwój należy identyfikować i ujawniać główne niekorzystne wpływy odnośnych inwestycji na czynniki zrównoważonego rozwoju oraz wyjaśniać wszelkie działania podjęte w celu przeciwdziałania tym wpływom. Wymóg ten uzupełniałby wspólne wyłączenia binarne i gwarantowałby identyfikację, ujawnianie i potencjalne uwzględnianie wszelkich innych głównych niekorzystnych wpływów na czynniki zrównoważonego rozwoju. Zapewniłoby to odpowiednią przejrzystość w zakresie niekorzystnych wpływów, umożliwiając tym samym inwestorom końcowym zrozumienie potencjalnej szkody związanej z takimi produktami, przy jednoczesnym zapewnieniu uczestnikom rynku finansowego większej jasności prawa co do wymaganego obowiązku niż obecna zasada „brania pod uwagę” wskaźników głównych niekorzystnych wpływów. Należy opracować wskaźniki oparte na obecnych wskaźnikach głównych niekorzystnych wpływów, o których mowa w załączniku I do rozporządzenia delegowanego Komisji (UE) 2022/1888 i w rozporządzeniu delegowanym Komisji (UE) 2023/2772, na potrzeby dobrowolnego stosowania przez uczestników rynku finansowego do celów spełnienia wymogów identyfikacji i ujawniania głównych niekorzystnych wpływów. Uczestnicy rynku finansowego powinni jednak dysponować elastycznością w zakresie ujawniania tych głównych niekorzystnych wpływów z zastosowaniem innego podejścia, na przykład innych wskaźników lub jakościowego wyjaśnienia takich wpływów i działań, jeżeli lepiej pasuje to do charakteru zidentyfikowanego lub uwzględnionego wpływu. Ta elastyczność w zakresie sposobu identyfikacji wpływów powinna umożliwić im skupienie się na faktycznie istotnych wpływach na ich produkty w zależności od aktywów, strategii i celów. Wymóg ten byłby do pewnego stopnia dostosowany do kryteriów istniejących w innych ramach międzynarodowych, przy jednoczesnym zapewnieniu, aby przepisy UE pozostały bardziej ambitne, w tym przez wdrożenie wspólnych wyłączeń binarnych.</w:t>
            </w:r>
          </w:p>
        </w:tc>
        <w:tc>
          <w:tcPr>
            <w:tcW w:w="4876" w:type="dxa"/>
            <w:tcBorders>
              <w:top w:val="nil"/>
              <w:left w:val="nil"/>
              <w:bottom w:val="nil"/>
              <w:right w:val="nil"/>
            </w:tcBorders>
          </w:tcPr>
          <w:p>
            <w:pPr>
              <w:pStyle w:val="Normal6a"/>
            </w:pPr>
            <w:r>
              <w:t>(18)</w:t>
            </w:r>
            <w:r>
              <w:tab/>
            </w:r>
            <w:r>
              <w:t>Kategoria inwestycji w zrównoważony rozwój powinna obejmować produkty finansowe stanowiące inwestycje w przedsiębiorstwa, aktywa lub działania, które są zrównoważone lub które realizują cele środowiskowe lub społeczne lub pozytywnie przyczyniają się do ich osiągnięcia. Kategoria ta powinna obejmować produkty finansowe o wysokim poziomie ambicji w tym zakresie, przy czym należy wybierać w szczególności inwestycje oparte na sprawdzonych standardach i narzędziach, w tym na strategiach powielających unijne wskaźniki referencyjne dostosowane do porozumienia paryskiego zgodnie z rozporządzeniem (UE) 2016/1011 Parlamentu Europejskiego i Rady</w:t>
            </w:r>
            <w:r>
              <w:rPr>
                <w:vertAlign w:val="superscript"/>
              </w:rPr>
              <w:t>32</w:t>
            </w:r>
            <w:r>
              <w:t xml:space="preserve"> lub przewidujących zarządzanie w odniesieniu do tych wskaźników, inwestycje w zrównoważoną działalność gospodarczą w rozumieniu rozporządzenia (UE) 2020/852, na inwestowaniu w instrumenty wyemitowane zgodnie z rozporządzeniem Parlamentu Europejskiego i Rady (UE) 2023/2631</w:t>
            </w:r>
            <w:r>
              <w:rPr>
                <w:vertAlign w:val="superscript"/>
              </w:rPr>
              <w:t>33</w:t>
            </w:r>
            <w:r>
              <w:t xml:space="preserve"> oraz na inwestowaniu w operacje korzystające z unijnej gwarancji budżetowej lub instrumenty finansowe w ramach programów Unii realizujących cele środowiskowe bądź społeczne. W związku z tym wyłączenia dotyczące produktów finansowych w tej kategorii powinny wykraczać poza wyłączenia dla pozostałych dwóch kategorii i obejmować działalność, w przypadku której łańcuch wartości jest powiązany z paliwami kopalnymi, w tym rozwojem paliw kopalnych. W szczególności wyłączenia powinny obejmować, obok działalności związanej z paliwami ropopochodnymi, paliwami gazowymi i wytwarzaniem energii elektrycznej o intensywności emisji gazów cieplarnianych większej niż 100 g </w:t>
            </w:r>
            <w:r>
              <w:rPr>
                <w:b/>
                <w:i/>
              </w:rPr>
              <w:t>CO2</w:t>
            </w:r>
            <w:r>
              <w:t xml:space="preserve"> e/kWh, wyłączenia przewidziane dla kategorii inwestycji w transformację i inwestycji </w:t>
            </w:r>
            <w:r>
              <w:rPr>
                <w:b/>
                <w:i/>
              </w:rPr>
              <w:t>integrujących</w:t>
            </w:r>
            <w:r>
              <w:t xml:space="preserve"> ESG. Z kategorii tej należy również wyłączyć przedsiębiorstwa opracowujące nowe projekty związane z ropą naftową lub paliwami gazowymi oraz przedsiębiorstwa opracowujące nowe projekty dotyczące wykorzystania węgla kamiennego lub brunatnego do wytwarzania energii elektrycznej bądź nieposiadające planów wycofania się z tego rodzaju działalności. Ponadto poza tymi wyłączeniami dla produktów należących do kategorii inwestycji w zrównoważony rozwój należy identyfikować i ujawniać główne niekorzystne wpływy odnośnych inwestycji na czynniki zrównoważonego rozwoju oraz wyjaśniać wszelkie działania podjęte w celu przeciwdziałania tym wpływom. Wymóg ten uzupełniałby wspólne wyłączenia binarne i gwarantowałby identyfikację, ujawnianie i potencjalne uwzględnianie wszelkich innych głównych niekorzystnych wpływów na czynniki zrównoważonego rozwoju. Zapewniłoby to odpowiednią przejrzystość w zakresie niekorzystnych wpływów, umożliwiając tym samym inwestorom końcowym zrozumienie potencjalnej szkody związanej z takimi produktami, przy jednoczesnym zapewnieniu uczestnikom rynku finansowego większej jasności prawa co do wymaganego obowiązku niż obecna zasada „brania pod uwagę” wskaźników głównych niekorzystnych wpływów. Należy opracować wskaźniki oparte na obecnych wskaźnikach głównych niekorzystnych wpływów, o których mowa w załączniku I do rozporządzenia delegowanego Komisji (UE) 2022/1888 i w rozporządzeniu delegowanym Komisji (UE) 2023/2772, na potrzeby dobrowolnego stosowania przez uczestników rynku finansowego do celów spełnienia wymogów identyfikacji i ujawniania głównych niekorzystnych wpływów. Uczestnicy rynku finansowego powinni jednak dysponować elastycznością w zakresie ujawniania tych głównych niekorzystnych wpływów z zastosowaniem innego podejścia, na przykład innych wskaźników lub jakościowego wyjaśnienia takich wpływów i działań, jeżeli lepiej pasuje to do charakteru zidentyfikowanego lub uwzględnionego wpływu. Ta elastyczność w zakresie sposobu identyfikacji wpływów powinna umożliwić im skupienie się na faktycznie istotnych wpływach na ich produkty w zależności od aktywów, strategii i celów. Wymóg ten byłby do pewnego stopnia dostosowany do kryteriów istniejących w innych ramach międzynarodowych, przy jednoczesnym zapewnieniu, aby przepisy UE pozostały bardziej ambitne, w tym przez wdrożenie wspólnych wyłączeń binarnych.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32</w:t>
            </w:r>
            <w:r>
              <w:t xml:space="preserve"> </w:t>
            </w:r>
            <w:r>
              <w:t>Rozporządzenie Parlamentu Europejskiego i Rady (UE) 2016/1011 z dnia 8 czerwca 2016 r. w sprawie indeksów stosowanych jako wskaźniki referencyjne w instrumentach finansowych i umowach finansowych lub do pomiaru wyników funduszy inwestycyjnych i zmieniające dyrektywy 2008/48/WE i 2014/17/UE oraz rozporządzenie (UE) nr 596/2014 (Dz.U. L 171 z 29.6.2016, s. 1, ELI: http://data.europa.eu/eli/reg/2016/1011/oj).</w:t>
            </w:r>
          </w:p>
        </w:tc>
        <w:tc>
          <w:tcPr>
            <w:tcW w:w="4876" w:type="dxa"/>
            <w:tcBorders>
              <w:top w:val="nil"/>
              <w:left w:val="nil"/>
              <w:bottom w:val="nil"/>
              <w:right w:val="nil"/>
            </w:tcBorders>
          </w:tcPr>
          <w:p>
            <w:pPr>
              <w:pStyle w:val="Normal6a"/>
            </w:pPr>
            <w:r>
              <w:rPr>
                <w:vertAlign w:val="superscript"/>
              </w:rPr>
              <w:t>32</w:t>
            </w:r>
            <w:r>
              <w:t xml:space="preserve"> </w:t>
            </w:r>
            <w:r>
              <w:t>Rozporządzenie Parlamentu Europejskiego i Rady (UE) 2016/1011 z dnia 8 czerwca 2016 r. w sprawie indeksów stosowanych jako wskaźniki referencyjne w instrumentach finansowych i umowach finansowych lub do pomiaru wyników funduszy inwestycyjnych i zmieniające dyrektywy 2008/48/WE i 2014/17/UE oraz rozporządzenie (UE) nr 596/2014 (Dz.U. L 171 z 29.6.2016, s. 1, ELI: http://data.europa.eu/eli/reg/2016/1011/oj).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33</w:t>
            </w:r>
            <w:r>
              <w:t xml:space="preserve"> </w:t>
            </w:r>
            <w:r>
              <w:t xml:space="preserve">Rozporządzenie Parlamentu Europejskiego i Rady (UE) 2023/2631 z dnia 22 listopada 2023 r. w sprawie europejskich zielonych obligacji oraz opcjonalnego ujawniania informacji na temat obligacji wprowadzanych do obrotu jako zrównoważone środowiskowo i </w:t>
            </w:r>
            <w:r>
              <w:rPr>
                <w:b/>
                <w:i/>
              </w:rPr>
              <w:t>obligacji powiązanych</w:t>
            </w:r>
            <w:r>
              <w:t xml:space="preserve"> ze zrównoważonym rozwojem (Dz.U. L, 2023/2631</w:t>
            </w:r>
            <w:r>
              <w:rPr>
                <w:b/>
                <w:i/>
              </w:rPr>
              <w:t>,</w:t>
            </w:r>
            <w:r>
              <w:t xml:space="preserve"> 30.11.2023, ELI: http://data.europa.eu/eli/reg/2023/2631/oj).</w:t>
            </w:r>
          </w:p>
        </w:tc>
        <w:tc>
          <w:tcPr>
            <w:tcW w:w="4876" w:type="dxa"/>
            <w:tcBorders>
              <w:top w:val="nil"/>
              <w:left w:val="nil"/>
              <w:bottom w:val="nil"/>
              <w:right w:val="nil"/>
            </w:tcBorders>
          </w:tcPr>
          <w:p>
            <w:pPr>
              <w:pStyle w:val="Normal6a"/>
            </w:pPr>
            <w:r>
              <w:rPr>
                <w:vertAlign w:val="superscript"/>
              </w:rPr>
              <w:t>33</w:t>
            </w:r>
            <w:r>
              <w:t xml:space="preserve"> </w:t>
            </w:r>
            <w:r>
              <w:t xml:space="preserve">Rozporządzenie Parlamentu Europejskiego i Rady (UE) 2023/2631 z dnia 22 listopada 2023 r. w sprawie europejskich zielonych obligacji oraz opcjonalnego ujawniania informacji na temat obligacji wprowadzanych do obrotu jako </w:t>
            </w:r>
            <w:r>
              <w:rPr>
                <w:b/>
                <w:i/>
              </w:rPr>
              <w:t>obligacje</w:t>
            </w:r>
            <w:r>
              <w:t xml:space="preserve"> zrównoważone środowiskowo i </w:t>
            </w:r>
            <w:r>
              <w:rPr>
                <w:b/>
                <w:i/>
              </w:rPr>
              <w:t>obligacje powiązane</w:t>
            </w:r>
            <w:r>
              <w:t xml:space="preserve"> ze zrównoważonym rozwojem (Dz.U. L, 2023/2631 </w:t>
            </w:r>
            <w:r>
              <w:rPr>
                <w:b/>
                <w:i/>
              </w:rPr>
              <w:t>z</w:t>
            </w:r>
            <w:r>
              <w:t> 30.11.2023, ELI: http://data.europa.eu/eli/reg/2023/2631/oj).</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Zmiana nazwy kategorii z „o podstawowych cechach ESG” na „integracji ESG” zastępuje nieopłacalną z handlowego punktu widzenia i potencjalnie szkodliwą etykietę ustaloną na całym świecie standardową terminologią branżową dotyczącą tej praktyki.</w:t>
      </w:r>
      <w:r>
        <w:t xml:space="preserve"> </w:t>
      </w:r>
      <w:r>
        <w:t>Zmiana gwarantuje, że kategoria dokładnie odzwierciedla profesjonalne, systematyczne włączanie ryzyka dla zrównoważonego rozwoju do tradycyjnej analizy finansowej bez stwarzania niezamierzonej szkody dla reputacji producentów.</w:t>
      </w:r>
    </w:p>
    <w:p>
      <w:r>
        <w:rPr>
          <w:rStyle w:val="HideTWBExt"/>
        </w:rPr>
        <w:t>&lt;/Amend&gt;</w:t>
      </w:r>
    </w:p>
    <w:p>
      <w:pPr>
        <w:pStyle w:val="AmNumberTabs"/>
      </w:pPr>
      <w:r>
        <w:rPr>
          <w:rStyle w:val="HideTWBExt"/>
        </w:rPr>
        <w:t>&lt;Amend&gt;</w:t>
      </w:r>
      <w:r>
        <w:t>Poprawka</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Markus Ferber, Janusz Lewandowski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Aby zachęcić do stosowania ugruntowanych norm UE, w kategorii inwestycji w zrównoważony rozwój i w kategorii inwestycji w transformację należy zapewnić odpowiednie traktowanie i pewność prawa w odniesieniu do produktów opartych na unijnej systematyce dotyczącej zrównoważonego rozwoju i unijnych klimatycznych wskaźnikach referencyjnych. Produkty powielające unijny wskaźnik referencyjny dostosowany do porozumienia paryskiego lub zarządzane w odniesieniu do tego wskaźnika należy uznać za produkty kwalifikujące się do kategorii inwestycji w zrównoważony rozwój i kategorii inwestycji w transformację. Podobnie produkty powielające unijny wskaźnik referencyjny transformacji klimatycznej lub zarządzane w odniesieniu do tego wskaźnika należy uznać za produkty kwalifikujące się do kategorii inwestycji w transformację. Ponadto produkty, w ramach których udział inwestycji zgodnych z systematyką wynosi co najmniej </w:t>
            </w:r>
            <w:r>
              <w:rPr>
                <w:b/>
                <w:i/>
              </w:rPr>
              <w:t>15</w:t>
            </w:r>
            <w:r>
              <w:t xml:space="preserve"> %, należy uznać za produkty spełniające kryteria przyczyniania się do zrównoważonego rozwoju i przyczyniania się do transformacji w odnośnych kategoriach. W przypadku tych ostatnich produktów nadal konieczne byłoby stosowanie wyłączeń przewidzianych dla kategorii, której wymogi produkt ma spełniać, w odniesieniu do tej części portfela, która nie jest zgodna z unijną systematyką dotyczącą zrównoważonego rozwoju. </w:t>
            </w:r>
            <w:r>
              <w:rPr>
                <w:b/>
                <w:i/>
              </w:rPr>
              <w:t>Z opinii platformy ds</w:t>
            </w:r>
            <w:r>
              <w:t xml:space="preserve">. zrównoważonego </w:t>
            </w:r>
            <w:r>
              <w:rPr>
                <w:b/>
                <w:i/>
              </w:rPr>
              <w:t>finansowania wynika, że próg 15 % stanowi wystarczającą zachętę, aby dążyć w ramach produktu do ambitnego udziału inwestycji w działalność gospodarczą zgodną z systematyką, przy jednoczesnym dostosowaniu produktów do aktualnej sytuacji rynkowej.</w:t>
            </w:r>
            <w:r>
              <w:t xml:space="preserve"> </w:t>
            </w:r>
            <w:r>
              <w:rPr>
                <w:b/>
                <w:i/>
              </w:rPr>
              <w:t>Dokładniej rzecz ujmując, próg ten powinien być osiągalny dla około połowy obecnych funduszy</w:t>
            </w:r>
            <w:r>
              <w:t xml:space="preserve"> inwestycyjnych </w:t>
            </w:r>
            <w:r>
              <w:rPr>
                <w:b/>
                <w:i/>
              </w:rPr>
              <w:t>ujawniających informacje na podstawie art. 9 rozporządzenia (UE) 2019/2088</w:t>
            </w:r>
            <w:r>
              <w:t>. Próg ten powinien zostać poddany przeglądowi po upływie 36 miesięcy od daty rozpoczęcia stosowania, aby nadal dostosowywać go do stanu szerzej rozumianej gospodarki oraz odzwierciedlać wszelkie zmiany w unijnej systematyce dotyczącej zrównoważonego rozwoju, aby zapewnić, by próg ten stanowił odpowiednią zachętę. Przepisy te mają na celu uproszczenie wdrażania tych kategorii, zwiększenie spójności unijnych ram zrównoważonego finansowania oraz zachęcanie do stosowania unijnych oznakowań i norm poprzez zapewnienie ich użytkownikom pewności.</w:t>
            </w:r>
          </w:p>
        </w:tc>
        <w:tc>
          <w:tcPr>
            <w:tcW w:w="4876" w:type="dxa"/>
            <w:tcBorders>
              <w:top w:val="nil"/>
              <w:left w:val="nil"/>
              <w:bottom w:val="nil"/>
              <w:right w:val="nil"/>
            </w:tcBorders>
          </w:tcPr>
          <w:p>
            <w:pPr>
              <w:pStyle w:val="Normal6a"/>
            </w:pPr>
            <w:r>
              <w:t>(19)</w:t>
            </w:r>
            <w:r>
              <w:tab/>
            </w:r>
            <w:r>
              <w:t xml:space="preserve">Aby zachęcić do stosowania ugruntowanych norm UE, w kategorii inwestycji w zrównoważony rozwój i w kategorii inwestycji w transformację należy zapewnić odpowiednie traktowanie i pewność prawa w odniesieniu do produktów opartych na unijnej systematyce dotyczącej zrównoważonego rozwoju i unijnych klimatycznych wskaźnikach referencyjnych. Produkty powielające unijny wskaźnik referencyjny dostosowany do porozumienia paryskiego lub zarządzane w odniesieniu do tego wskaźnika należy uznać za produkty kwalifikujące się do kategorii inwestycji w zrównoważony rozwój i kategorii inwestycji w transformację. Podobnie produkty powielające unijny wskaźnik referencyjny transformacji klimatycznej lub zarządzane w odniesieniu do tego wskaźnika należy uznać za produkty kwalifikujące się do kategorii inwestycji w transformację. Ponadto produkty, w ramach których udział inwestycji zgodnych z systematyką wynosi co najmniej </w:t>
            </w:r>
            <w:r>
              <w:rPr>
                <w:b/>
                <w:i/>
              </w:rPr>
              <w:t>10</w:t>
            </w:r>
            <w:r>
              <w:t xml:space="preserve"> %, należy uznać za produkty spełniające kryteria przyczyniania się do zrównoważonego rozwoju i przyczyniania się do transformacji w odnośnych kategoriach. W przypadku tych ostatnich produktów nadal konieczne byłoby stosowanie wyłączeń przewidzianych dla kategorii, której wymogi produkt ma spełniać, w odniesieniu do tej części portfela, która nie jest zgodna z unijną systematyką dotyczącą zrównoważonego rozwoju. </w:t>
            </w:r>
            <w:r>
              <w:rPr>
                <w:b/>
                <w:i/>
              </w:rPr>
              <w:t>Próg 10 % odzwierciedla faktyczny rozkład wskaźników zgodności z systematyką wśród produktów finansowych dostępnych obecnie w Unii</w:t>
            </w:r>
            <w:r>
              <w:t xml:space="preserve">. </w:t>
            </w:r>
            <w:r>
              <w:rPr>
                <w:b/>
                <w:i/>
              </w:rPr>
              <w:t>Ograniczenie w osiąganiu wyższych wskaźników dostosowania ma charakter strukturalny, a nie jest odzwierciedleniem niewystarczających ambicji:</w:t>
            </w:r>
            <w:r>
              <w:t xml:space="preserve"> </w:t>
            </w:r>
            <w:r>
              <w:rPr>
                <w:b/>
                <w:i/>
              </w:rPr>
              <w:t>emitenci spoza Unii nie mają obowiązku składania sprawozdań zgodnie z unijną systematyką dotyczącą</w:t>
            </w:r>
            <w:r>
              <w:t xml:space="preserve"> zrównoważonego </w:t>
            </w:r>
            <w:r>
              <w:rPr>
                <w:b/>
                <w:i/>
              </w:rPr>
              <w:t>rozwoju, pakiet zbiorczy w sprawie uproszczenia ograniczył zakres dyrektywy w sprawie sprawozdawczości przedsiębiorstw w zakresie zrównoważonego rozwoju, a w przypadku zdywersyfikowanych mandatów</w:t>
            </w:r>
            <w:r>
              <w:t xml:space="preserve"> inwestycyjnych </w:t>
            </w:r>
            <w:r>
              <w:rPr>
                <w:b/>
                <w:i/>
              </w:rPr>
              <w:t>o globalnej ekspozycji geograficznej, ekspozycji na dług państwowy lub koncentracji na emitentach o małej i średniej kapitalizacji występują nieuniknione ograniczenia w dostępie do danych, których nie jest w stanie usunąć żadna regulacyjna kalibracja wartości progowej.</w:t>
            </w:r>
            <w:r>
              <w:t xml:space="preserve"> </w:t>
            </w:r>
            <w:r>
              <w:rPr>
                <w:b/>
                <w:i/>
              </w:rPr>
              <w:t>Próg 10 % jest wystarczająco ambitny, aby zachęcić do stosowania systematyki, a jednocześnie pozostaje w zasięgu uczestników rynku w różnych klasach aktywów i o różnym zasięgu geograficznym</w:t>
            </w:r>
            <w:r>
              <w:t xml:space="preserve">. Próg ten powinien zostać poddany przeglądowi po upływie 36 miesięcy od daty rozpoczęcia stosowania, aby nadal dostosowywać go do stanu szerzej rozumianej gospodarki oraz odzwierciedlać wszelkie zmiany w unijnej systematyce dotyczącej zrównoważonego rozwoju, aby zapewnić, by próg ten stanowił odpowiednią zachętę. </w:t>
            </w:r>
            <w:r>
              <w:rPr>
                <w:b/>
                <w:i/>
              </w:rPr>
              <w:t>Podnoszenie progu w następstwie takiego przeglądu powinno opierać się na publicznie dostępnych danych o rzeczywistych wskaźnikach zgodności z systematyką osiągniętych przez produkty finansowe dystrybuowane w całej Unii, w podziale na klasy aktywów i ekspozycje geograficzne.</w:t>
            </w:r>
            <w:r>
              <w:t xml:space="preserve"> Przepisy te mają na celu uproszczenie wdrażania tych kategorii, zwiększenie spójności unijnych ram zrównoważonego finansowania oraz zachęcanie do stosowania unijnych oznakowań i norm poprzez zapewnienie ich użytkownikom pewności.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Dane rynkowe pokazują, że zdecydowana większość funduszy europejskich zgłasza zgodność z systematyką na poziomie poniżej 10 %.</w:t>
      </w:r>
      <w:r>
        <w:t xml:space="preserve"> </w:t>
      </w:r>
      <w:r>
        <w:t>Biorąc pod uwagę ograniczony zakres CSRD i brak danych dotyczących emitentów spoza UE, próg 10 % jest już ambitny.</w:t>
      </w:r>
    </w:p>
    <w:p>
      <w:r>
        <w:rPr>
          <w:rStyle w:val="HideTWBExt"/>
        </w:rPr>
        <w:t>&lt;/Amend&gt;</w:t>
      </w:r>
    </w:p>
    <w:p>
      <w:pPr>
        <w:pStyle w:val="AmNumberTabs"/>
      </w:pPr>
      <w:r>
        <w:rPr>
          <w:rStyle w:val="HideTWBExt"/>
        </w:rPr>
        <w:t>&lt;Amend&gt;</w:t>
      </w:r>
      <w:r>
        <w:t>Poprawka</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Luděk Niedermayer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Aby zachęcić do stosowania ugruntowanych norm UE, w kategorii inwestycji w zrównoważony rozwój i w kategorii inwestycji w transformację należy zapewnić odpowiednie traktowanie i pewność prawa w odniesieniu do produktów opartych na unijnej systematyce dotyczącej zrównoważonego rozwoju i unijnych klimatycznych wskaźnikach referencyjnych. Produkty powielające unijny wskaźnik referencyjny dostosowany do porozumienia paryskiego lub zarządzane w odniesieniu do tego wskaźnika należy uznać za produkty kwalifikujące się do kategorii inwestycji w zrównoważony rozwój i kategorii inwestycji w transformację. Podobnie produkty powielające unijny wskaźnik referencyjny transformacji klimatycznej lub zarządzane w odniesieniu do tego wskaźnika należy uznać za produkty kwalifikujące się do kategorii inwestycji w transformację. Ponadto produkty, w ramach których udział inwestycji zgodnych z systematyką wynosi co najmniej 15 %, należy uznać za produkty spełniające kryteria przyczyniania się do zrównoważonego rozwoju i przyczyniania się do transformacji w odnośnych kategoriach. W przypadku tych ostatnich produktów nadal konieczne byłoby stosowanie wyłączeń przewidzianych dla kategorii, której wymogi produkt ma spełniać, w odniesieniu do tej części portfela, która nie jest zgodna z unijną systematyką dotyczącą zrównoważonego rozwoju. Z opinii platformy ds. zrównoważonego finansowania wynika, że próg 15 % stanowi wystarczającą zachętę, aby dążyć w ramach produktu do ambitnego udziału inwestycji w działalność gospodarczą zgodną z systematyką, przy jednoczesnym dostosowaniu produktów do aktualnej sytuacji rynkowej. Dokładniej rzecz ujmując, próg ten powinien być osiągalny dla około połowy obecnych funduszy inwestycyjnych ujawniających informacje na podstawie art. 9 rozporządzenia (UE) 2019/2088. Próg ten powinien zostać poddany przeglądowi po upływie 36 miesięcy od daty rozpoczęcia stosowania, aby nadal dostosowywać go do stanu szerzej rozumianej gospodarki oraz odzwierciedlać wszelkie zmiany w unijnej systematyce dotyczącej zrównoważonego rozwoju, aby zapewnić, by próg ten stanowił odpowiednią zachętę. Przepisy te mają na celu uproszczenie wdrażania tych kategorii, zwiększenie spójności unijnych ram zrównoważonego finansowania oraz zachęcanie do stosowania unijnych oznakowań i norm poprzez zapewnienie ich użytkownikom pewności.</w:t>
            </w:r>
          </w:p>
        </w:tc>
        <w:tc>
          <w:tcPr>
            <w:tcW w:w="4876" w:type="dxa"/>
            <w:tcBorders>
              <w:top w:val="nil"/>
              <w:left w:val="nil"/>
              <w:bottom w:val="nil"/>
              <w:right w:val="nil"/>
            </w:tcBorders>
          </w:tcPr>
          <w:p>
            <w:pPr>
              <w:pStyle w:val="Normal6a"/>
            </w:pPr>
            <w:r>
              <w:t>(19)</w:t>
            </w:r>
            <w:r>
              <w:tab/>
            </w:r>
            <w:r>
              <w:t>Aby zachęcić do stosowania ugruntowanych norm UE, w kategorii inwestycji w zrównoważony rozwój i w kategorii inwestycji w transformację należy zapewnić odpowiednie traktowanie i pewność prawa w odniesieniu do produktów opartych na unijnej systematyce dotyczącej zrównoważonego rozwoju i unijnych klimatycznych wskaźnikach referencyjnych. Produkty powielające unijny wskaźnik referencyjny dostosowany do porozumienia paryskiego lub zarządzane w odniesieniu do tego wskaźnika należy uznać za produkty kwalifikujące się do kategorii inwestycji w zrównoważony rozwój i kategorii inwestycji w transformację. Podobnie produkty powielające unijny wskaźnik referencyjny transformacji klimatycznej lub zarządzane w odniesieniu do tego wskaźnika należy uznać za produkty kwalifikujące się do kategorii inwestycji w transformację. Ponadto produkty, w ramach których udział inwestycji zgodnych z systematyką wynosi co najmniej 15 %, należy uznać za produkty spełniające kryteria przyczyniania się do zrównoważonego rozwoju i przyczyniania się do transformacji w odnośnych kategoriach</w:t>
            </w:r>
            <w:r>
              <w:rPr>
                <w:b/>
                <w:i/>
              </w:rPr>
              <w:t>.</w:t>
            </w:r>
            <w:r>
              <w:t xml:space="preserve"> </w:t>
            </w:r>
            <w:r>
              <w:rPr>
                <w:b/>
                <w:i/>
              </w:rPr>
              <w:t>W przypadku kategorii inwestycji w transformację produkty, które nie osiągają 15 % udziału inwestycji zgodnych z systematyką, należy jednak zachęcać do przeznaczania części ich portfela na działalność gospodarczą zgodną z systematyką.</w:t>
            </w:r>
            <w:r>
              <w:t xml:space="preserve"> </w:t>
            </w:r>
            <w:r>
              <w:rPr>
                <w:b/>
                <w:i/>
              </w:rPr>
              <w:t>W tym celu każdy punkt procentowy takich inwestycji powinien liczyć się jako cztery punkty procentowe przy ocenie zgodności z minimalnym odsetkiem inwestycji wymaganym dla tej kategorii</w:t>
            </w:r>
            <w:r>
              <w:t>. W przypadku tych ostatnich produktów nadal konieczne byłoby stosowanie wyłączeń przewidzianych dla kategorii, której wymogi produkt ma spełniać, w odniesieniu do tej części portfela, która nie jest zgodna z unijną systematyką dotyczącą zrównoważonego rozwoju. Z opinii platformy ds. zrównoważonego finansowania wynika, że próg 15 % stanowi wystarczającą zachętę, aby dążyć w ramach produktu do ambitnego udziału inwestycji w działalność gospodarczą zgodną z systematyką, przy jednoczesnym dostosowaniu produktów do aktualnej sytuacji rynkowej. Dokładniej rzecz ujmując, próg ten powinien być osiągalny dla około połowy obecnych funduszy inwestycyjnych ujawniających informacje na podstawie art. 9 rozporządzenia (UE) 2019/2088. Próg ten powinien zostać poddany przeglądowi po upływie 36 miesięcy od daty rozpoczęcia stosowania, aby nadal dostosowywać go do stanu szerzej rozumianej gospodarki oraz odzwierciedlać wszelkie zmiany w unijnej systematyce dotyczącej zrównoważonego rozwoju, aby zapewnić, by próg ten stanowił odpowiednią zachętę. Przepisy te mają na celu uproszczenie wdrażania tych kategorii, zwiększenie spójności unijnych ram zrównoważonego finansowania oraz zachęcanie do stosowania unijnych oznakowań i norm poprzez zapewnienie ich użytkownikom pewności.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Lara Wolters, Jonás Fernández, Aurore Lalucq, Niels Fuglsang, Evelyn Regner, César Luena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Aby zachęcić do stosowania ugruntowanych norm UE, w kategorii inwestycji w zrównoważony rozwój i w kategorii inwestycji w transformację należy zapewnić odpowiednie traktowanie i pewność prawa w odniesieniu do produktów opartych na unijnej systematyce dotyczącej zrównoważonego rozwoju i unijnych klimatycznych wskaźnikach referencyjnych. </w:t>
            </w:r>
            <w:r>
              <w:rPr>
                <w:b/>
                <w:i/>
              </w:rPr>
              <w:t>Produkty powielające unijny wskaźnik referencyjny dostosowany do porozumienia paryskiego lub zarządzane w odniesieniu do tego wskaźnika należy uznać za produkty kwalifikujące się do kategorii inwestycji w zrównoważony rozwój i kategorii inwestycji w transformację.</w:t>
            </w:r>
            <w:r>
              <w:t xml:space="preserve"> </w:t>
            </w:r>
            <w:r>
              <w:rPr>
                <w:b/>
                <w:i/>
              </w:rPr>
              <w:t>Podobnie produkty powielające unijny wskaźnik referencyjny transformacji klimatycznej lub zarządzane w odniesieniu do tego wskaźnika należy uznać za produkty kwalifikujące się do kategorii inwestycji w transformację.</w:t>
            </w:r>
            <w:r>
              <w:t xml:space="preserve"> Ponadto produkty, w ramach których udział inwestycji zgodnych z systematyką wynosi co najmniej </w:t>
            </w:r>
            <w:r>
              <w:rPr>
                <w:b/>
                <w:i/>
              </w:rPr>
              <w:t>15</w:t>
            </w:r>
            <w:r>
              <w:t xml:space="preserve"> %, należy uznać za produkty spełniające kryteria przyczyniania się do zrównoważonego rozwoju i przyczyniania się do transformacji w odnośnych kategoriach. W przypadku tych ostatnich produktów nadal konieczne byłoby stosowanie wyłączeń przewidzianych dla kategorii, której wymogi produkt ma spełniać, w odniesieniu do tej części portfela, która nie jest zgodna z unijną systematyką dotyczącą zrównoważonego rozwoju. Z opinii platformy ds. zrównoważonego finansowania wynika, że próg </w:t>
            </w:r>
            <w:r>
              <w:rPr>
                <w:b/>
                <w:i/>
              </w:rPr>
              <w:t>15</w:t>
            </w:r>
            <w:r>
              <w:t xml:space="preserve"> % stanowi wystarczającą zachętę, aby dążyć w ramach produktu do ambitnego udziału inwestycji w działalność gospodarczą zgodną z systematyką, przy jednoczesnym dostosowaniu produktów do aktualnej sytuacji rynkowej. Dokładniej rzecz ujmując, próg ten powinien być osiągalny dla </w:t>
            </w:r>
            <w:r>
              <w:rPr>
                <w:b/>
                <w:i/>
              </w:rPr>
              <w:t>około połowy</w:t>
            </w:r>
            <w:r>
              <w:t xml:space="preserve"> obecnych funduszy inwestycyjnych ujawniających informacje na podstawie art. 9 rozporządzenia (UE) 2019/2088. Próg ten powinien zostać poddany przeglądowi po upływie 36 miesięcy od daty rozpoczęcia stosowania, aby nadal dostosowywać go do stanu szerzej rozumianej gospodarki oraz odzwierciedlać wszelkie zmiany w unijnej systematyce dotyczącej zrównoważonego rozwoju, aby zapewnić, by próg ten stanowił odpowiednią zachętę. Przepisy te mają na celu uproszczenie wdrażania tych kategorii, zwiększenie spójności unijnych ram zrównoważonego finansowania oraz zachęcanie do stosowania unijnych oznakowań i norm poprzez zapewnienie ich użytkownikom pewności.</w:t>
            </w:r>
          </w:p>
        </w:tc>
        <w:tc>
          <w:tcPr>
            <w:tcW w:w="4876" w:type="dxa"/>
            <w:tcBorders>
              <w:top w:val="nil"/>
              <w:left w:val="nil"/>
              <w:bottom w:val="nil"/>
              <w:right w:val="nil"/>
            </w:tcBorders>
          </w:tcPr>
          <w:p>
            <w:pPr>
              <w:pStyle w:val="Normal6a"/>
            </w:pPr>
            <w:r>
              <w:t>(19)</w:t>
            </w:r>
            <w:r>
              <w:tab/>
            </w:r>
            <w:r>
              <w:t xml:space="preserve">Aby zachęcić do stosowania ugruntowanych norm UE, w kategorii inwestycji w zrównoważony rozwój i w kategorii inwestycji w transformację należy zapewnić odpowiednie traktowanie i pewność prawa w odniesieniu do produktów opartych na unijnej systematyce dotyczącej zrównoważonego rozwoju i unijnych klimatycznych wskaźnikach referencyjnych. Ponadto produkty, w ramach których udział inwestycji zgodnych z systematyką wynosi co najmniej </w:t>
            </w:r>
            <w:r>
              <w:rPr>
                <w:b/>
                <w:i/>
              </w:rPr>
              <w:t>25</w:t>
            </w:r>
            <w:r>
              <w:t xml:space="preserve"> %, należy uznać za produkty spełniające kryteria przyczyniania się do zrównoważonego rozwoju i przyczyniania się do transformacji w odnośnych kategoriach. W przypadku tych ostatnich produktów nadal konieczne byłoby stosowanie wyłączeń przewidzianych dla kategorii, której wymogi produkt ma spełniać, w odniesieniu do tej części portfela, która nie jest zgodna z unijną systematyką dotyczącą zrównoważonego rozwoju. Z opinii platformy ds. zrównoważonego finansowania wynika, że próg </w:t>
            </w:r>
            <w:r>
              <w:rPr>
                <w:b/>
                <w:i/>
              </w:rPr>
              <w:t>25</w:t>
            </w:r>
            <w:r>
              <w:t xml:space="preserve"> % stanowi wystarczającą zachętę, aby dążyć w ramach produktu do ambitnego udziału inwestycji w działalność gospodarczą zgodną z systematyką, przy jednoczesnym dostosowaniu produktów do aktualnej sytuacji rynkowej. Dokładniej rzecz ujmując, próg ten powinien być osiągalny dla </w:t>
            </w:r>
            <w:r>
              <w:rPr>
                <w:b/>
                <w:i/>
              </w:rPr>
              <w:t>niewielu mniej niż połowa</w:t>
            </w:r>
            <w:r>
              <w:t xml:space="preserve"> obecnych funduszy inwestycyjnych ujawniających informacje na podstawie art. 9 rozporządzenia (UE) 2019/2088. Próg ten powinien zostać poddany przeglądowi po upływie 36 miesięcy od daty rozpoczęcia stosowania, aby nadal dostosowywać go do stanu szerzej rozumianej gospodarki oraz odzwierciedlać wszelkie zmiany w unijnej systematyce dotyczącej zrównoważonego rozwoju, aby zapewnić, by próg ten stanowił odpowiednią zachętę. Przepisy te mają na celu uproszczenie wdrażania tych kategorii, zwiększenie spójności unijnych ram zrównoważonego finansowania oraz zachęcanie do stosowania unijnych oznakowań i norm poprzez zapewnienie ich użytkownikom pewności.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Aby zachęcić do stosowania ugruntowanych norm UE, w kategorii inwestycji w zrównoważony rozwój i w kategorii inwestycji w transformację należy zapewnić odpowiednie traktowanie i pewność prawa w odniesieniu do produktów opartych na unijnej systematyce dotyczącej zrównoważonego rozwoju i unijnych klimatycznych wskaźnikach referencyjnych. Produkty powielające unijny wskaźnik referencyjny dostosowany do porozumienia paryskiego lub zarządzane w odniesieniu do tego wskaźnika należy uznać za produkty kwalifikujące się do kategorii inwestycji w zrównoważony rozwój i kategorii inwestycji w transformację. Podobnie produkty powielające unijny wskaźnik referencyjny transformacji klimatycznej lub zarządzane w odniesieniu do tego wskaźnika należy uznać za produkty kwalifikujące się do kategorii inwestycji w transformację. Ponadto produkty, w ramach których udział inwestycji zgodnych z systematyką wynosi co najmniej </w:t>
            </w:r>
            <w:r>
              <w:rPr>
                <w:b/>
                <w:i/>
              </w:rPr>
              <w:t>15</w:t>
            </w:r>
            <w:r>
              <w:t xml:space="preserve"> %, należy uznać za produkty spełniające kryteria przyczyniania się do zrównoważonego rozwoju i przyczyniania się do transformacji w odnośnych kategoriach. W przypadku tych ostatnich produktów nadal konieczne byłoby stosowanie wyłączeń przewidzianych dla kategorii, której wymogi produkt ma spełniać, w odniesieniu do tej części portfela, która nie jest zgodna z unijną systematyką dotyczącą zrównoważonego rozwoju. Z opinii platformy ds. zrównoważonego finansowania wynika, że próg </w:t>
            </w:r>
            <w:r>
              <w:rPr>
                <w:b/>
                <w:i/>
              </w:rPr>
              <w:t>15</w:t>
            </w:r>
            <w:r>
              <w:t xml:space="preserve"> % stanowi wystarczającą zachętę, aby dążyć w ramach produktu do ambitnego udziału inwestycji w działalność gospodarczą zgodną z systematyką, przy jednoczesnym dostosowaniu produktów do aktualnej sytuacji rynkowej. Dokładniej rzecz ujmując, próg ten powinien być osiągalny dla około połowy obecnych funduszy inwestycyjnych ujawniających informacje na podstawie art. 9 rozporządzenia (UE) 2019/2088. Próg ten powinien zostać poddany przeglądowi po upływie 36 miesięcy od daty rozpoczęcia stosowania, aby nadal dostosowywać go do stanu szerzej rozumianej gospodarki oraz odzwierciedlać wszelkie zmiany w unijnej systematyce dotyczącej zrównoważonego rozwoju, aby zapewnić, by próg ten stanowił odpowiednią zachętę. Przepisy te mają na celu uproszczenie wdrażania tych kategorii, zwiększenie spójności unijnych ram zrównoważonego finansowania oraz zachęcanie do stosowania unijnych oznakowań i norm poprzez zapewnienie ich użytkownikom pewności.</w:t>
            </w:r>
          </w:p>
        </w:tc>
        <w:tc>
          <w:tcPr>
            <w:tcW w:w="4876" w:type="dxa"/>
            <w:tcBorders>
              <w:top w:val="nil"/>
              <w:left w:val="nil"/>
              <w:bottom w:val="nil"/>
              <w:right w:val="nil"/>
            </w:tcBorders>
          </w:tcPr>
          <w:p>
            <w:pPr>
              <w:pStyle w:val="Normal6a"/>
            </w:pPr>
            <w:r>
              <w:t>(19)</w:t>
            </w:r>
            <w:r>
              <w:tab/>
            </w:r>
            <w:r>
              <w:t xml:space="preserve">Aby zachęcić do stosowania ugruntowanych norm UE, w kategorii inwestycji w zrównoważony rozwój i w kategorii inwestycji w transformację należy zapewnić odpowiednie traktowanie i pewność prawa w odniesieniu do produktów opartych na unijnej systematyce dotyczącej zrównoważonego rozwoju i unijnych klimatycznych wskaźnikach referencyjnych. Produkty powielające unijny wskaźnik referencyjny dostosowany do porozumienia paryskiego lub zarządzane w odniesieniu do tego wskaźnika należy uznać za produkty kwalifikujące się do kategorii inwestycji w zrównoważony rozwój i kategorii inwestycji w transformację. Podobnie produkty powielające unijny wskaźnik referencyjny transformacji klimatycznej lub zarządzane w odniesieniu do tego wskaźnika należy uznać za produkty kwalifikujące się do kategorii inwestycji w transformację. Ponadto produkty, w ramach których udział inwestycji zgodnych z systematyką wynosi co najmniej </w:t>
            </w:r>
            <w:r>
              <w:rPr>
                <w:b/>
                <w:i/>
              </w:rPr>
              <w:t>5</w:t>
            </w:r>
            <w:r>
              <w:t xml:space="preserve"> %, należy uznać za produkty spełniające kryteria przyczyniania się do zrównoważonego rozwoju i przyczyniania się do transformacji w odnośnych kategoriach. W przypadku tych ostatnich produktów nadal konieczne byłoby stosowanie wyłączeń przewidzianych dla kategorii, której wymogi produkt ma spełniać, w odniesieniu do tej części portfela, która nie jest zgodna z unijną systematyką dotyczącą zrównoważonego rozwoju. Z opinii platformy ds. zrównoważonego finansowania wynika, że próg </w:t>
            </w:r>
            <w:r>
              <w:rPr>
                <w:b/>
                <w:i/>
              </w:rPr>
              <w:t>5</w:t>
            </w:r>
            <w:r>
              <w:t> % stanowi wystarczającą zachętę, aby dążyć w ramach produktu do ambitnego udziału inwestycji w działalność gospodarczą zgodną z systematyką, przy jednoczesnym dostosowaniu produktów do aktualnej sytuacji rynkowej. Dokładniej rzecz ujmując, próg ten powinien być osiągalny dla około połowy obecnych funduszy inwestycyjnych ujawniających informacje na podstawie art. 9 rozporządzenia (UE) 2019/2088. Próg ten powinien zostać poddany przeglądowi po upływie 36 miesięcy od daty rozpoczęcia stosowania, aby nadal dostosowywać go do stanu szerzej rozumianej gospodarki oraz odzwierciedlać wszelkie zmiany w unijnej systematyce dotyczącej zrównoważonego rozwoju, aby zapewnić, by próg ten stanowił odpowiednią zachętę. Przepisy te mają na celu uproszczenie wdrażania tych kategorii, zwiększenie spójności unijnych ram zrównoważonego finansowania oraz zachęcanie do stosowania unijnych oznakowań i norm poprzez zapewnienie ich użytkownikom pewności.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Lara Wolters, Jonás Fernández, Aurore Lalucq, Niels Fuglsang, Evelyn Regner, César Luena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Informacje na temat produktów finansowych sklasyfikowanych jako produkty związane ze zrównoważonym rozwojem, ujawniane przed zawarciem umowy i okresowo, powinny obejmować wszystkie istotne informacje dotyczące celu, strategii i podejścia inwestycyjnego przyjętego w celu spełnienia wymogu </w:t>
            </w:r>
            <w:r>
              <w:rPr>
                <w:b/>
                <w:i/>
              </w:rPr>
              <w:t>70</w:t>
            </w:r>
            <w:r>
              <w:t xml:space="preserve"> %, wskaźniki wybrane do pomiaru wyników, zgodność z obowiązującymi wyłączeniami oraz odpowiednie źródła danych wykorzystane do opracowania kryteriów mających zastosowanie do produktu finansowego, zapewnienia zgodności z nimi i pomiaru ich spełnienia. Dla produktów finansowych należących do kategorii inwestycji w zrównoważony rozwój i kategorii inwestycji w transformację, które realizują cel środowiskowy, należy ujawniać</w:t>
            </w:r>
            <w:r>
              <w:rPr>
                <w:b/>
                <w:i/>
              </w:rPr>
              <w:t>, czy i</w:t>
            </w:r>
            <w:r>
              <w:t xml:space="preserve"> w jakim zakresie stosują unijną systematykę dotyczącą zrównoważonego rozwoju jako jedno ze swoich podejść inwestycyjnych, aby spełnić wymóg </w:t>
            </w:r>
            <w:r>
              <w:rPr>
                <w:b/>
                <w:i/>
              </w:rPr>
              <w:t>70</w:t>
            </w:r>
            <w:r>
              <w:t xml:space="preserve"> %. Ten wymóg dotyczący ujawniania informacji na temat stosowania unijnej systematyki dotyczącej zrównoważonego rozwoju zwiększy porównywalność produktów finansowych z celami środowiskowymi. Ponadto informacje ujawniane na temat wszelkich ratingów ESG zawartych w dokumentacji marketingowej produktów związanych ze zrównoważonym rozwojem powinny być zawarte w informacjach ujawnianych na stronach internetowych, zgodnie z wymogami rozporządzenia (UE) 2024/3005. Ujawniane informacje powinny umożliwić inwestorom końcowym zrozumienie specyfiki każdego produktu finansowego związanego ze zrównoważonym rozwojem, porównanie takich produktów i zrozumienie, czy odpowiadają one ich preferencjom w zakresie zrównoważonego rozwoju, oraz ułatwiać świadczenie doradztwa finansowego i ubezpieczeniowego.</w:t>
            </w:r>
          </w:p>
        </w:tc>
        <w:tc>
          <w:tcPr>
            <w:tcW w:w="4876" w:type="dxa"/>
            <w:tcBorders>
              <w:top w:val="nil"/>
              <w:left w:val="nil"/>
              <w:bottom w:val="nil"/>
              <w:right w:val="nil"/>
            </w:tcBorders>
          </w:tcPr>
          <w:p>
            <w:pPr>
              <w:pStyle w:val="Normal6a"/>
            </w:pPr>
            <w:r>
              <w:t>(21)</w:t>
            </w:r>
            <w:r>
              <w:tab/>
            </w:r>
            <w:r>
              <w:t xml:space="preserve">Informacje na temat produktów finansowych sklasyfikowanych jako produkty związane ze zrównoważonym rozwojem, ujawniane przed zawarciem umowy i okresowo, powinny obejmować wszystkie istotne informacje dotyczące celu, strategii i podejścia inwestycyjnego przyjętego w celu spełnienia wymogu </w:t>
            </w:r>
            <w:r>
              <w:rPr>
                <w:b/>
                <w:i/>
              </w:rPr>
              <w:t>80</w:t>
            </w:r>
            <w:r>
              <w:t xml:space="preserve"> %, wskaźniki wybrane do pomiaru wyników, zgodność z obowiązującymi wyłączeniami oraz odpowiednie źródła danych wykorzystane do opracowania kryteriów mających zastosowanie do produktu finansowego, zapewnienia zgodności z nimi i pomiaru ich spełnienia. Dla produktów finansowych należących do kategorii inwestycji w zrównoważony rozwój i kategorii inwestycji w transformację, które realizują cel środowiskowy, należy ujawniać w jakim zakresie stosują unijną systematykę dotyczącą zrównoważonego rozwoju jako jedno ze swoich podejść inwestycyjnych, aby spełnić wymóg </w:t>
            </w:r>
            <w:r>
              <w:rPr>
                <w:b/>
                <w:i/>
              </w:rPr>
              <w:t>80</w:t>
            </w:r>
            <w:r>
              <w:t> %. Ten wymóg dotyczący ujawniania informacji na temat stosowania unijnej systematyki dotyczącej zrównoważonego rozwoju zwiększy porównywalność produktów finansowych z celami środowiskowymi. Ponadto informacje ujawniane na temat wszelkich ratingów ESG zawartych w dokumentacji marketingowej produktów związanych ze zrównoważonym rozwojem powinny być zawarte w informacjach ujawnianych na stronach internetowych, zgodnie z wymogami rozporządzenia (UE) 2024/3005. Ujawniane informacje powinny umożliwić inwestorom końcowym zrozumienie specyfiki każdego produktu finansowego związanego ze zrównoważonym rozwojem, porównanie takich produktów i zrozumienie, czy odpowiadają one ich preferencjom w zakresie zrównoważonego rozwoju, oraz ułatwiać świadczenie doradztwa finansowego i ubezpieczeniowego.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Denis Nesci, Francesco Ventola, Mariateresa Vivaldini, Marco Falcone, Marco Squarta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21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Uproszczenie ujawniania informacji na temat zrównoważonego rozwoju przed zawarciem umowy, choć konieczne, nie jest samo w sobie wystarczające do zapewnienia zrozumienia przez inwestorów detalicznych.</w:t>
            </w:r>
            <w:r>
              <w:t xml:space="preserve"> </w:t>
            </w:r>
            <w:r>
              <w:rPr>
                <w:b/>
                <w:i/>
              </w:rPr>
              <w:t>Doświadczenia związane z dokumentami zawierającymi kluczowe informacje (KID) w rozumieniu rozporządzenia (UE) nr</w:t>
            </w:r>
            <w:r>
              <w:t xml:space="preserve"> </w:t>
            </w:r>
            <w:r>
              <w:rPr>
                <w:b/>
                <w:i/>
              </w:rPr>
              <w:t>1286/2014 w sprawie PRIIP pokazują, że znormalizowany format tekstowy, choć przydatny, nie gwarantuje natychmiastowego zrozumienia.</w:t>
            </w:r>
            <w:r>
              <w:t xml:space="preserve"> </w:t>
            </w:r>
            <w:r>
              <w:rPr>
                <w:b/>
                <w:i/>
              </w:rPr>
              <w:t>Z kolei unijna etykieta energetyczna, wprowadzona rozporządzeniem (UE) 2017/1369, wykazała, w oparciu o ugruntowane dowody naukowe, że systemy wizualne z oznaczeniami kolorystycznymi znacznie poprawiają zdolność konsumentów do porównywania produktów i dokonywania świadomych wyborów.</w:t>
            </w:r>
            <w:r>
              <w:t xml:space="preserve"> </w:t>
            </w:r>
            <w:r>
              <w:rPr>
                <w:b/>
                <w:i/>
              </w:rPr>
              <w:t>Na pierwszej stronie informacji ujawnianych przed zawarciem umowy, o których mowa w art. 19b, należy zatem wprowadzić znormalizowany panel wizualny – taki sam dla wszystkich produktów finansowych – który umożliwi inwestorom natychmiastowe określenie kategorii produktu, rzeczywistego poziomu zgodności z celami zrównoważonego rozwoju oraz głównych cech, jeśli chodzi o negatywny wpływ.</w:t>
            </w:r>
            <w:r>
              <w:t xml:space="preserve"> </w:t>
            </w:r>
            <w:r>
              <w:rPr>
                <w:b/>
                <w:i/>
              </w:rPr>
              <w:t>W przypadku produktów finansowych niesklasyfikowanych na podstawie art. 7, 8 lub 9 w tym samym miejscu należy umieścić jasne i wyraźne oświadczenie, że produkt nie należy do żadnej kategorii produktów finansowych związanych ze zrównoważonym rozwojem.</w:t>
            </w:r>
            <w:r>
              <w:t xml:space="preserve"> </w:t>
            </w:r>
            <w:r>
              <w:rPr>
                <w:b/>
                <w:i/>
              </w:rPr>
              <w:t>Należy upoważnić ESMA do określenia znormalizowanego formatu graficznego za pomocą wykonawczych standardów technicznych.</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21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Uczestnikom rynku finansowego nie należy uniemożliwiać dobrowolnej przejrzystości w zakresie uwzględniania czynników zrównoważonego rozwoju w przypadku produktów finansowych, które nie osiągają progów pozwalających zaklasyfikować je jako produkty finansowe związane ze zrównoważonym rozwojem na podstawie art. 7, 8 lub 9.</w:t>
            </w:r>
            <w:r>
              <w:t xml:space="preserve"> </w:t>
            </w:r>
            <w:r>
              <w:rPr>
                <w:b/>
                <w:i/>
              </w:rPr>
              <w:t>Rygorystyczne limity ilościowe dotyczące ilości takich informacji lub zakaz proporcjonalnego zamieszczania ich w dokumentach przedumownych mogą jednak nadmiernie penalizować produkty finansowe, które dokonują znacznych i uzasadnionych inwestycji w zrównoważony rozwój, ale nie osiągają progów kategoryzacji.</w:t>
            </w:r>
            <w:r>
              <w:t xml:space="preserve"> </w:t>
            </w:r>
            <w:r>
              <w:rPr>
                <w:b/>
                <w:i/>
              </w:rPr>
              <w:t>Objęcie produktów, które wykazują znaczne, choć niewystarczające dostosowanie do progów kategoryzacji, dokładnie takimi samymi rygorystycznymi ograniczeniami dotyczącymi ujawniania informacji jak produkty, których udział w takich inwestycjach jest jedynie marginalny, wywołuje zjawisko nagłych nieproporcjonalnych spadków.</w:t>
            </w:r>
            <w:r>
              <w:t xml:space="preserve"> </w:t>
            </w:r>
            <w:r>
              <w:rPr>
                <w:b/>
                <w:i/>
              </w:rPr>
              <w:t>Identyczne traktowanie produktów o bardzo różnych udziałach inwestycji zrównoważonych lub inwestycji w transformację poważnie zniechęci uczestników rynku finansowego do stopniowej poprawy składu ich portfeli pod względem zrównoważonego rozwoju w miarę upływu czasu.</w:t>
            </w:r>
            <w:r>
              <w:t xml:space="preserve"> </w:t>
            </w:r>
            <w:r>
              <w:rPr>
                <w:b/>
                <w:i/>
              </w:rPr>
              <w:t>Aby nie zniechęcać i uniknąć świadomego ukrywania działań na rzecz zrównoważonego rozwoju, a jednocześnie zapobiec pseudoekologicznemu marketingowi, należy przyjąć podejście oparte na zasadach.</w:t>
            </w:r>
            <w:r>
              <w:t xml:space="preserve"> </w:t>
            </w:r>
            <w:r>
              <w:rPr>
                <w:b/>
                <w:i/>
              </w:rPr>
              <w:t>Ujawnianie czynników zrównoważonego rozwoju w odniesieniu do produktów niesklasyfikowanych powinno dokładnie odzwierciedlać prawdziwy skład portfela.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Markus Ferber, Janusz Lewandowski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Obecnie nie są dostępne żadne kompleksowe wskaźniki służące do oceny zrównoważonego charakteru emisji długu o przeznaczeniu ogólnym przez państwa, jednostki państwowe niższego szczebla i organizacje ponadnarodowe. Należy zatem wyłączyć możliwość </w:t>
            </w:r>
            <w:r>
              <w:rPr>
                <w:b/>
                <w:i/>
              </w:rPr>
              <w:t>zaliczania</w:t>
            </w:r>
            <w:r>
              <w:t xml:space="preserve"> inwestycji w takie emisje długu </w:t>
            </w:r>
            <w:r>
              <w:rPr>
                <w:b/>
                <w:i/>
              </w:rPr>
              <w:t>na poczet wkładu produktów finansowych w realizację celów związanych ze zrównoważonym rozwojem lub transformacją.</w:t>
            </w:r>
            <w:r>
              <w:t xml:space="preserve"> </w:t>
            </w:r>
            <w:r>
              <w:rPr>
                <w:b/>
                <w:i/>
              </w:rPr>
              <w:t>Niezależnie od ogólnego traktowania lub uwzględniania tych emisji długu wśród inwestycji dokonywanych za pośrednictwem produktów finansowych, inwestycje w takie emisje długu powinny być wyłączone</w:t>
            </w:r>
            <w:r>
              <w:t xml:space="preserve"> z licznika </w:t>
            </w:r>
            <w:r>
              <w:rPr>
                <w:b/>
                <w:i/>
              </w:rPr>
              <w:t>odzwierciedlającego odsetek określonych inwestycji, jaki muszą osiągnąć produkty finansowe zaklasyfikowane do kategorii inwestycji w zrównoważony rozwój i inwestycji w transformację.</w:t>
            </w:r>
            <w:r>
              <w:t xml:space="preserve"> </w:t>
            </w:r>
            <w:r>
              <w:rPr>
                <w:b/>
                <w:i/>
              </w:rPr>
              <w:t>Uczestnicy rynku finansowego powinni jednak mieć możliwość uwzględniania tych emisji długu w liczniku dla produktów finansowych zaklasyfikowanych do kategorii inwestycji o podstawowych cechach ESG, stosując dostępne metody, które są odpowiednie do oceny zrównoważonego charakteru tych inwestycji.</w:t>
            </w:r>
            <w:r>
              <w:t xml:space="preserve"> </w:t>
            </w:r>
            <w:r>
              <w:rPr>
                <w:b/>
                <w:i/>
              </w:rPr>
              <w:t>Ponadto wyłączenia dotyczące inwestycji,</w:t>
            </w:r>
            <w:r>
              <w:t xml:space="preserve"> których </w:t>
            </w:r>
            <w:r>
              <w:rPr>
                <w:b/>
                <w:i/>
              </w:rPr>
              <w:t>nie można dokonywać w ramach produktów finansowych sklasyfikowanych jako produkty finansowe związane ze zrównoważonym rozwojem, mają zastosowanie do przedsiębiorstw, a nie do państw, jednostek państwowych niższego szczebla i organizacji ponadnarodowych</w:t>
            </w:r>
            <w:r>
              <w:t xml:space="preserve">. </w:t>
            </w:r>
            <w:r>
              <w:rPr>
                <w:b/>
                <w:i/>
              </w:rPr>
              <w:t>Wyłączenia te nie ograniczają zatem inwestycji w emisje długu przez państwa, jednostki państwowe niższego szczebla i organizacje ponadnarodowe, które to inwestycje mogą zatem znaleźć się w mianowniku dla tych produktów finansowych, w tym w szczególności emisje długu przez państwa członkowskie Unii, organy na szczeblu Unii i inne organy sektora publicznego niepodlegające żadnym mającym zastosowanie sankcjom finansowym na szczeblu Unii.</w:t>
            </w:r>
            <w:r>
              <w:t xml:space="preserve"> </w:t>
            </w:r>
            <w:r>
              <w:rPr>
                <w:b/>
                <w:i/>
              </w:rPr>
              <w:t>Natomiast inwestycje w instrumenty finansowe emitowane przez państwa, jednostki państwowe niższego szczebla i organizacje ponadnarodowe – jeżeli przeznaczenie przychodów jest znane, instrumenty te wspierają konkretne cele w zakresie zrównoważonego rozwoju oraz pod warunkiem że instrumenty te nie służą bezpośrednio lub pośrednio do finansowania rodzajów działalności wyłączonych z inwestycji w ramach produktów finansowych sklasyfikowanych jako produkty finansowe związane ze zrównoważonym rozwojem – mogą być uwzględniane w liczniku w przypadku wszystkich sklasyfikowanych produktów finansowych.</w:t>
            </w:r>
            <w:r>
              <w:t xml:space="preserve"> </w:t>
            </w:r>
            <w:r>
              <w:rPr>
                <w:b/>
                <w:i/>
              </w:rPr>
              <w:t>Takie zrównoważone podejście powinno pozwolić na dalsze finansowanie projektów publicznych i działań związanych ze zrównoważonym rozwojem z wykorzystaniem produktów finansowych związanych ze zrównoważonym rozwojem, zapewniając jednocześnie zabezpieczenia przed potencjalnym ryzykiem pseudoekologicznego marketingu.</w:t>
            </w:r>
            <w:r>
              <w:t xml:space="preserve"> </w:t>
            </w:r>
            <w:r>
              <w:rPr>
                <w:b/>
                <w:i/>
              </w:rPr>
              <w:t>Uczestnicy rynku finansowego powinni zapewnić, aby w celu uniknięcia ryzyka pseudoekologicznego marketingu inwestycje w dług sektora publicznego w ramach sklasyfikowanych produktów finansowych były spójne z deklarowanym celem lub strategią tych produktów związanych ze zrównoważonym rozwojem oraz aby były zgodne z oczekiwaniami inwestorów końcowych.</w:t>
            </w:r>
          </w:p>
        </w:tc>
        <w:tc>
          <w:tcPr>
            <w:tcW w:w="4876" w:type="dxa"/>
            <w:tcBorders>
              <w:top w:val="nil"/>
              <w:left w:val="nil"/>
              <w:bottom w:val="nil"/>
              <w:right w:val="nil"/>
            </w:tcBorders>
          </w:tcPr>
          <w:p>
            <w:pPr>
              <w:pStyle w:val="Normal6a"/>
            </w:pPr>
            <w:r>
              <w:t>(22)</w:t>
            </w:r>
            <w:r>
              <w:tab/>
            </w:r>
            <w:r>
              <w:t xml:space="preserve">Obecnie nie są dostępne żadne kompleksowe wskaźniki służące do oceny zrównoważonego charakteru emisji długu o przeznaczeniu ogólnym przez państwa, jednostki państwowe niższego szczebla i organizacje ponadnarodowe. Należy zatem wyłączyć możliwość </w:t>
            </w:r>
            <w:r>
              <w:rPr>
                <w:b/>
                <w:i/>
              </w:rPr>
              <w:t>uwzględniania</w:t>
            </w:r>
            <w:r>
              <w:t xml:space="preserve"> inwestycji w takie emisje długu </w:t>
            </w:r>
            <w:r>
              <w:rPr>
                <w:b/>
                <w:i/>
              </w:rPr>
              <w:t>zarówno</w:t>
            </w:r>
            <w:r>
              <w:t xml:space="preserve"> z licznika</w:t>
            </w:r>
            <w:r>
              <w:rPr>
                <w:b/>
                <w:i/>
              </w:rPr>
              <w:t>, jak i mianownika przy obliczaniu progów, o</w:t>
            </w:r>
            <w:r>
              <w:t xml:space="preserve"> których </w:t>
            </w:r>
            <w:r>
              <w:rPr>
                <w:b/>
                <w:i/>
              </w:rPr>
              <w:t>mowa w niniejszym rozporządzeniu</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Wobec braku kompleksowych wskaźników stabilności długu państwowego, uwzględnianie ich w mianowniku, przy jednoczesnym wyłączeniu ich z licznika, systemowo zniekształca obliczanie progu dla produktów ubezpieczeniowych i emerytalnych z alokacjami w dług państwowy wynikającymi z wymogów ostrożnościowych.</w:t>
      </w:r>
      <w:r>
        <w:t xml:space="preserve"> </w:t>
      </w:r>
      <w:r>
        <w:t>Symetryczne wykluczenie z obu stron ułamka gwarantuje równe warunki działania bez przesądzania o przyszłych zmianach metodyki.</w:t>
      </w:r>
    </w:p>
    <w:p>
      <w:r>
        <w:rPr>
          <w:rStyle w:val="HideTWBExt"/>
        </w:rPr>
        <w:t>&lt;/Amend&gt;</w:t>
      </w:r>
    </w:p>
    <w:p>
      <w:pPr>
        <w:pStyle w:val="AmNumberTabs"/>
      </w:pPr>
      <w:r>
        <w:rPr>
          <w:rStyle w:val="HideTWBExt"/>
        </w:rPr>
        <w:t>&lt;Amend&gt;</w:t>
      </w:r>
      <w:r>
        <w:t>Poprawka</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Christophe Gomart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rPr>
                <w:b/>
                <w:i/>
              </w:rPr>
              <w:t>Obecnie nie są dostępne żadne kompleksowe wskaźniki służące do oceny zrównoważonego charakteru emisji długu o przeznaczeniu ogólnym przez państwa, jednostki państwowe niższego szczebla i organizacje ponadnarodowe.</w:t>
            </w:r>
            <w:r>
              <w:t xml:space="preserve"> </w:t>
            </w:r>
            <w:r>
              <w:rPr>
                <w:b/>
                <w:i/>
              </w:rPr>
              <w:t>Należy zatem wyłączyć możliwość zaliczania inwestycji w takie emisje długu na poczet wkładu produktów finansowych w realizację celów związanych ze zrównoważonym rozwojem lub transformacją.</w:t>
            </w:r>
            <w:r>
              <w:t xml:space="preserve"> </w:t>
            </w:r>
            <w:r>
              <w:rPr>
                <w:b/>
                <w:i/>
              </w:rPr>
              <w:t>Niezależnie od ogólnego traktowania lub uwzględniania tych emisji długu wśród inwestycji dokonywanych za pośrednictwem produktów finansowych, inwestycje w takie emisje długu powinny być wyłączone z licznika odzwierciedlającego odsetek określonych inwestycji, jaki muszą osiągnąć produkty finansowe zaklasyfikowane do kategorii inwestycji w zrównoważony rozwój i inwestycji w transformację.</w:t>
            </w:r>
            <w:r>
              <w:t xml:space="preserve"> Uczestnicy rynku finansowego powinni jednak mieć możliwość uwzględniania </w:t>
            </w:r>
            <w:r>
              <w:rPr>
                <w:b/>
                <w:i/>
              </w:rPr>
              <w:t>tych</w:t>
            </w:r>
            <w:r>
              <w:t xml:space="preserve"> emisji długu </w:t>
            </w:r>
            <w:r>
              <w:rPr>
                <w:b/>
                <w:i/>
              </w:rPr>
              <w:t>w liczniku dla</w:t>
            </w:r>
            <w:r>
              <w:t xml:space="preserve"> produktów finansowych </w:t>
            </w:r>
            <w:r>
              <w:rPr>
                <w:b/>
                <w:i/>
              </w:rPr>
              <w:t>zaklasyfikowanych do kategorii inwestycji o podstawowych cechach ESG</w:t>
            </w:r>
            <w:r>
              <w:t>, stosując dostępne metody, które są odpowiednie do oceny zrównoważonego charakteru tych inwestycji. Ponadto wyłączenia dotyczące inwestycji, których nie można dokonywać w ramach produktów finansowych sklasyfikowanych jako produkty finansowe związane ze zrównoważonym rozwojem, mają zastosowanie do przedsiębiorstw, a nie do państw, jednostek państwowych niższego szczebla i organizacji ponadnarodowych. Wyłączenia te nie ograniczają zatem inwestycji w emisje długu przez państwa, jednostki państwowe niższego szczebla i organizacje ponadnarodowe, które to inwestycje mogą zatem znaleźć się w mianowniku dla tych produktów finansowych, w tym w szczególności emisje długu przez państwa członkowskie Unii, organy na szczeblu Unii i inne organy sektora publicznego niepodlegające żadnym mającym zastosowanie sankcjom finansowym na szczeblu Unii. Natomiast inwestycje w instrumenty finansowe emitowane przez państwa, jednostki państwowe niższego szczebla i organizacje ponadnarodowe – jeżeli przeznaczenie przychodów jest znane, instrumenty te wspierają konkretne cele w zakresie zrównoważonego rozwoju oraz pod warunkiem że instrumenty te nie służą bezpośrednio lub pośrednio do finansowania rodzajów działalności wyłączonych z inwestycji w ramach produktów finansowych sklasyfikowanych jako produkty finansowe związane ze zrównoważonym rozwojem – mogą być uwzględniane w liczniku w przypadku wszystkich sklasyfikowanych produktów finansowych. Takie zrównoważone podejście powinno pozwolić na dalsze finansowanie projektów publicznych i działań związanych ze zrównoważonym rozwojem z wykorzystaniem produktów finansowych związanych ze zrównoważonym rozwojem, zapewniając jednocześnie zabezpieczenia przed potencjalnym ryzykiem pseudoekologicznego marketingu. Uczestnicy rynku finansowego powinni zapewnić, aby w celu uniknięcia ryzyka pseudoekologicznego marketingu inwestycje w dług sektora publicznego w ramach sklasyfikowanych produktów finansowych były spójne z deklarowanym celem lub strategią tych produktów związanych ze zrównoważonym rozwojem oraz aby były zgodne z oczekiwaniami inwestorów końcowych.</w:t>
            </w:r>
          </w:p>
        </w:tc>
        <w:tc>
          <w:tcPr>
            <w:tcW w:w="4876" w:type="dxa"/>
            <w:tcBorders>
              <w:top w:val="nil"/>
              <w:left w:val="nil"/>
              <w:bottom w:val="nil"/>
              <w:right w:val="nil"/>
            </w:tcBorders>
          </w:tcPr>
          <w:p>
            <w:pPr>
              <w:pStyle w:val="Normal6a"/>
            </w:pPr>
            <w:r>
              <w:t>(22)</w:t>
            </w:r>
            <w:r>
              <w:tab/>
            </w:r>
            <w:r>
              <w:t xml:space="preserve">Uczestnicy rynku finansowego powinni jednak mieć możliwość uwzględniania </w:t>
            </w:r>
            <w:r>
              <w:rPr>
                <w:b/>
                <w:i/>
              </w:rPr>
              <w:t>ubezpieczeń</w:t>
            </w:r>
            <w:r>
              <w:t xml:space="preserve"> emisji długu </w:t>
            </w:r>
            <w:r>
              <w:rPr>
                <w:b/>
                <w:i/>
              </w:rPr>
              <w:t>państwowego, jednostek państwowych niższego szczebla i organizacji ponadnarodowych do licznika wszystkich kategoryzowanych</w:t>
            </w:r>
            <w:r>
              <w:t xml:space="preserve"> produktów finansowych, stosując dostępne metody, które są odpowiednie do oceny zrównoważonego charakteru tych inwestycji. Ponadto wyłączenia dotyczące inwestycji, których nie można dokonywać w ramach produktów finansowych sklasyfikowanych jako produkty finansowe związane ze zrównoważonym rozwojem, mają zastosowanie do przedsiębiorstw, a nie do państw, jednostek państwowych niższego szczebla i organizacji ponadnarodowych. Wyłączenia te nie ograniczają zatem inwestycji w emisje długu przez państwa, jednostki państwowe niższego szczebla i organizacje ponadnarodowe, które to inwestycje mogą zatem znaleźć się w mianowniku dla tych produktów finansowych, w tym w szczególności emisje długu przez państwa członkowskie Unii, organy na szczeblu Unii i inne organy sektora publicznego niepodlegające żadnym mającym zastosowanie sankcjom finansowym na szczeblu Unii. Natomiast inwestycje w instrumenty finansowe emitowane przez państwa, jednostki państwowe niższego szczebla i organizacje ponadnarodowe – jeżeli przeznaczenie przychodów jest znane, instrumenty te wspierają konkretne cele w zakresie zrównoważonego rozwoju oraz pod warunkiem że instrumenty te nie służą bezpośrednio lub pośrednio do finansowania rodzajów działalności wyłączonych z inwestycji w ramach produktów finansowych sklasyfikowanych jako produkty finansowe związane ze zrównoważonym rozwojem – mogą być uwzględniane w liczniku w przypadku wszystkich sklasyfikowanych produktów finansowych. Takie zrównoważone podejście powinno pozwolić na dalsze finansowanie projektów publicznych i działań związanych ze zrównoważonym rozwojem z wykorzystaniem produktów finansowych związanych ze zrównoważonym rozwojem, zapewniając jednocześnie zabezpieczenia przed potencjalnym ryzykiem pseudoekologicznego marketingu. Uczestnicy rynku finansowego powinni zapewnić, aby w celu uniknięcia ryzyka pseudoekologicznego marketingu inwestycje w dług sektora publicznego w ramach sklasyfikowanych produktów finansowych były spójne z deklarowanym celem lub strategią tych produktów związanych ze zrównoważonym rozwojem oraz aby były zgodne z oczekiwaniami inwestorów końcowych.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Lara Wolters, Jonás Fernández, Aurore Lalucq, Niels Fuglsang, Evelyn Regner, César Luena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Obecnie nie są dostępne żadne kompleksowe wskaźniki służące do oceny zrównoważonego charakteru emisji długu o przeznaczeniu ogólnym przez państwa, jednostki państwowe niższego szczebla i organizacje ponadnarodowe. Należy zatem wyłączyć możliwość zaliczania inwestycji w takie emisje długu na poczet wkładu produktów finansowych w realizację celów związanych ze zrównoważonym rozwojem lub transformacją. Niezależnie od ogólnego traktowania lub uwzględniania tych emisji długu wśród inwestycji dokonywanych za pośrednictwem produktów finansowych, inwestycje w takie emisje długu powinny być wyłączone z licznika odzwierciedlającego odsetek określonych inwestycji, jaki muszą osiągnąć produkty finansowe zaklasyfikowane do kategorii inwestycji w zrównoważony rozwój i inwestycji w transformację. Uczestnicy rynku finansowego powinni jednak mieć możliwość uwzględniania tych emisji długu w liczniku dla produktów finansowych zaklasyfikowanych do kategorii inwestycji o podstawowych cechach ESG, stosując dostępne metody, które są odpowiednie do oceny zrównoważonego charakteru tych inwestycji. Ponadto wyłączenia dotyczące inwestycji, których nie można dokonywać w ramach produktów finansowych sklasyfikowanych jako produkty finansowe związane ze zrównoważonym rozwojem, mają zastosowanie do przedsiębiorstw, a nie do państw, jednostek państwowych niższego szczebla i organizacji ponadnarodowych. Wyłączenia te nie ograniczają zatem inwestycji w emisje długu przez państwa, jednostki państwowe niższego szczebla i organizacje ponadnarodowe, które to inwestycje mogą zatem znaleźć się w mianowniku dla tych produktów finansowych, w tym w szczególności emisje długu przez państwa członkowskie Unii, organy na szczeblu Unii i inne organy sektora publicznego niepodlegające żadnym mającym zastosowanie sankcjom finansowym na szczeblu Unii. Natomiast inwestycje w instrumenty finansowe emitowane przez państwa, jednostki państwowe niższego szczebla i organizacje ponadnarodowe – jeżeli przeznaczenie przychodów jest znane, instrumenty te wspierają konkretne cele w zakresie zrównoważonego rozwoju oraz pod warunkiem że instrumenty te nie służą bezpośrednio lub pośrednio do finansowania rodzajów działalności wyłączonych z inwestycji w ramach produktów finansowych sklasyfikowanych jako produkty finansowe związane ze zrównoważonym rozwojem – mogą być uwzględniane w liczniku w przypadku wszystkich sklasyfikowanych produktów finansowych. Takie zrównoważone podejście powinno pozwolić na dalsze finansowanie projektów publicznych i działań związanych ze zrównoważonym rozwojem z wykorzystaniem produktów finansowych związanych ze zrównoważonym rozwojem, zapewniając jednocześnie zabezpieczenia przed potencjalnym ryzykiem pseudoekologicznego marketingu. Uczestnicy rynku finansowego powinni zapewnić, aby </w:t>
            </w:r>
            <w:r>
              <w:rPr>
                <w:b/>
                <w:i/>
              </w:rPr>
              <w:t>w celu uniknięcia ryzyka pseudoekologicznego marketingu</w:t>
            </w:r>
            <w:r>
              <w:t xml:space="preserve"> inwestycje w dług sektora publicznego w ramach sklasyfikowanych produktów finansowych były </w:t>
            </w:r>
            <w:r>
              <w:rPr>
                <w:b/>
                <w:i/>
              </w:rPr>
              <w:t>spójne</w:t>
            </w:r>
            <w:r>
              <w:t xml:space="preserve"> z deklarowanym celem lub strategią tych produktów związanych ze zrównoważonym rozwojem oraz aby były zgodne z oczekiwaniami inwestorów końcowych.</w:t>
            </w:r>
          </w:p>
        </w:tc>
        <w:tc>
          <w:tcPr>
            <w:tcW w:w="4876" w:type="dxa"/>
            <w:tcBorders>
              <w:top w:val="nil"/>
              <w:left w:val="nil"/>
              <w:bottom w:val="nil"/>
              <w:right w:val="nil"/>
            </w:tcBorders>
          </w:tcPr>
          <w:p>
            <w:pPr>
              <w:pStyle w:val="Normal6a"/>
            </w:pPr>
            <w:r>
              <w:t>(22)</w:t>
            </w:r>
            <w:r>
              <w:tab/>
            </w:r>
            <w:r>
              <w:t xml:space="preserve">Obecnie nie są dostępne żadne kompleksowe wskaźniki służące do oceny zrównoważonego charakteru emisji długu o przeznaczeniu ogólnym przez państwa, jednostki państwowe niższego szczebla i organizacje ponadnarodowe. Należy zatem wyłączyć możliwość zaliczania inwestycji w takie emisje długu na poczet wkładu produktów finansowych w realizację celów związanych ze zrównoważonym rozwojem lub transformacją. Niezależnie od ogólnego traktowania lub uwzględniania tych emisji długu wśród inwestycji dokonywanych za pośrednictwem produktów finansowych, inwestycje w takie emisje długu powinny być wyłączone z licznika odzwierciedlającego odsetek określonych inwestycji, jaki muszą osiągnąć produkty finansowe zaklasyfikowane do kategorii inwestycji w zrównoważony rozwój i inwestycji w transformację. Uczestnicy rynku finansowego powinni jednak mieć możliwość uwzględniania tych emisji długu w liczniku dla produktów finansowych zaklasyfikowanych do kategorii inwestycji o podstawowych cechach ESG, stosując dostępne metody, które są odpowiednie do oceny zrównoważonego charakteru tych inwestycji. Ponadto wyłączenia dotyczące inwestycji, których nie można dokonywać w ramach produktów finansowych sklasyfikowanych jako produkty finansowe związane ze zrównoważonym rozwojem, mają zastosowanie do przedsiębiorstw, a nie do państw, jednostek państwowych niższego szczebla i organizacji ponadnarodowych. Wyłączenia te nie ograniczają zatem inwestycji w emisje długu przez państwa, jednostki państwowe niższego szczebla i organizacje ponadnarodowe, które to inwestycje mogą zatem znaleźć się w mianowniku dla tych produktów finansowych, w tym w szczególności emisje długu przez państwa członkowskie Unii, organy na szczeblu Unii i inne organy sektora publicznego niepodlegające żadnym mającym zastosowanie sankcjom finansowym na szczeblu Unii. Natomiast inwestycje w instrumenty finansowe emitowane przez państwa, jednostki państwowe niższego szczebla i organizacje ponadnarodowe – jeżeli przeznaczenie przychodów jest znane, instrumenty te wspierają konkretne cele w zakresie zrównoważonego rozwoju oraz pod warunkiem że instrumenty te nie służą bezpośrednio lub pośrednio do finansowania rodzajów działalności wyłączonych z inwestycji w ramach produktów finansowych sklasyfikowanych jako produkty finansowe związane ze zrównoważonym rozwojem – mogą być uwzględniane w liczniku w przypadku wszystkich sklasyfikowanych produktów finansowych. Takie zrównoważone podejście powinno pozwolić na dalsze finansowanie projektów publicznych i działań związanych ze zrównoważonym rozwojem z wykorzystaniem produktów finansowych związanych ze zrównoważonym rozwojem, zapewniając jednocześnie zabezpieczenia przed potencjalnym ryzykiem pseudoekologicznego marketingu. Uczestnicy rynku finansowego powinni zapewnić, aby inwestycje w dług sektora publicznego w ramach sklasyfikowanych produktów finansowych były </w:t>
            </w:r>
            <w:r>
              <w:rPr>
                <w:b/>
                <w:i/>
              </w:rPr>
              <w:t>oceniane przy użyciu sformalizowanych i udokumentowanych metod, aby ujawniano podstawę tej oceny i kluczowe założenia oraz aby inwestycje te nie były sprzeczne</w:t>
            </w:r>
            <w:r>
              <w:t xml:space="preserve"> z deklarowanym celem lub strategią tych produktów związanych ze zrównoważonym rozwojem oraz aby były zgodne z oczekiwaniami inwestorów końcowych.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Denis Nesci, Francesco Ventola, Mariateresa Vivaldini, Marco Falcone, Marco Squarta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Obecnie nie są dostępne żadne </w:t>
            </w:r>
            <w:r>
              <w:rPr>
                <w:b/>
                <w:i/>
              </w:rPr>
              <w:t>kompleksowe</w:t>
            </w:r>
            <w:r>
              <w:t xml:space="preserve"> wskaźniki służące do oceny zrównoważonego charakteru emisji długu o przeznaczeniu ogólnym przez państwa, jednostki państwowe niższego szczebla i organizacje ponadnarodowe. </w:t>
            </w:r>
            <w:r>
              <w:rPr>
                <w:b/>
                <w:i/>
              </w:rPr>
              <w:t>Należy zatem wyłączyć możliwość zaliczania inwestycji</w:t>
            </w:r>
            <w:r>
              <w:t xml:space="preserve"> w takie emisje długu na poczet wkładu produktów finansowych w realizację celów związanych ze zrównoważonym rozwojem lub transformacją</w:t>
            </w:r>
            <w:r>
              <w:rPr>
                <w:b/>
                <w:i/>
              </w:rPr>
              <w:t>.</w:t>
            </w:r>
            <w:r>
              <w:t xml:space="preserve"> </w:t>
            </w:r>
            <w:r>
              <w:rPr>
                <w:b/>
                <w:i/>
              </w:rPr>
              <w:t>Niezależnie od ogólnego traktowania lub uwzględniania tych emisji długu wśród inwestycji dokonywanych za pośrednictwem produktów finansowych</w:t>
            </w:r>
            <w:r>
              <w:t xml:space="preserve">, </w:t>
            </w:r>
            <w:r>
              <w:rPr>
                <w:b/>
                <w:i/>
              </w:rPr>
              <w:t>inwestycje w takie emisje długu powinny być wyłączone z licznika odzwierciedlającego odsetek określonych inwestycji, jaki muszą osiągnąć produkty finansowe zaklasyfikowane do kategorii</w:t>
            </w:r>
            <w:r>
              <w:t xml:space="preserve"> inwestycji w </w:t>
            </w:r>
            <w:r>
              <w:rPr>
                <w:b/>
                <w:i/>
              </w:rPr>
              <w:t>zrównoważony rozwój i inwestycji w transformację</w:t>
            </w:r>
            <w:r>
              <w:t xml:space="preserve">. Uczestnicy rynku finansowego powinni </w:t>
            </w:r>
            <w:r>
              <w:rPr>
                <w:b/>
                <w:i/>
              </w:rPr>
              <w:t>jednak</w:t>
            </w:r>
            <w:r>
              <w:t xml:space="preserve"> mieć możliwość uwzględniania tych emisji długu w liczniku dla produktów finansowych zaklasyfikowanych do kategorii inwestycji o podstawowych cechach ESG, stosując dostępne metody, które są odpowiednie do oceny zrównoważonego charakteru tych inwestycji. Ponadto wyłączenia dotyczące inwestycji, których nie można dokonywać w ramach produktów finansowych sklasyfikowanych jako produkty finansowe związane ze zrównoważonym rozwojem, mają zastosowanie do przedsiębiorstw, a nie do państw, jednostek państwowych niższego szczebla i organizacji ponadnarodowych. Wyłączenia te nie ograniczają zatem inwestycji w emisje długu przez państwa, jednostki państwowe niższego szczebla i organizacje ponadnarodowe, które to inwestycje mogą zatem znaleźć się w mianowniku dla tych produktów finansowych, w tym w szczególności emisje długu przez państwa członkowskie Unii, organy na szczeblu Unii i inne organy sektora publicznego niepodlegające żadnym mającym zastosowanie sankcjom finansowym na szczeblu Unii. Natomiast inwestycje w instrumenty finansowe emitowane przez państwa, jednostki państwowe niższego szczebla i organizacje ponadnarodowe – jeżeli przeznaczenie przychodów jest znane, instrumenty te wspierają konkretne cele w zakresie zrównoważonego rozwoju oraz pod warunkiem że instrumenty te nie służą bezpośrednio lub pośrednio do finansowania rodzajów działalności wyłączonych z inwestycji w ramach produktów finansowych sklasyfikowanych jako produkty finansowe związane ze zrównoważonym rozwojem – mogą być uwzględniane w liczniku w przypadku wszystkich sklasyfikowanych produktów finansowych. Takie zrównoważone podejście powinno pozwolić na dalsze finansowanie projektów publicznych i działań związanych ze zrównoważonym rozwojem z wykorzystaniem produktów finansowych związanych ze zrównoważonym rozwojem, zapewniając jednocześnie zabezpieczenia przed potencjalnym ryzykiem pseudoekologicznego marketingu. Uczestnicy rynku finansowego powinni zapewnić, aby w celu uniknięcia ryzyka pseudoekologicznego marketingu inwestycje w dług sektora publicznego w ramach sklasyfikowanych produktów finansowych były spójne z deklarowanym celem lub strategią tych produktów związanych ze zrównoważonym rozwojem oraz aby były zgodne z oczekiwaniami inwestorów końcowych.</w:t>
            </w:r>
          </w:p>
        </w:tc>
        <w:tc>
          <w:tcPr>
            <w:tcW w:w="4876" w:type="dxa"/>
            <w:tcBorders>
              <w:top w:val="nil"/>
              <w:left w:val="nil"/>
              <w:bottom w:val="nil"/>
              <w:right w:val="nil"/>
            </w:tcBorders>
          </w:tcPr>
          <w:p>
            <w:pPr>
              <w:pStyle w:val="Normal6a"/>
            </w:pPr>
            <w:r>
              <w:t>(22)</w:t>
            </w:r>
            <w:r>
              <w:tab/>
            </w:r>
            <w:r>
              <w:t xml:space="preserve">Obecnie nie są dostępne żadne </w:t>
            </w:r>
            <w:r>
              <w:rPr>
                <w:b/>
                <w:i/>
              </w:rPr>
              <w:t>w pełni zharmonizowane</w:t>
            </w:r>
            <w:r>
              <w:t xml:space="preserve"> wskaźniki służące do oceny zrównoważonego charakteru emisji długu o przeznaczeniu ogólnym przez państwa, jednostki państwowe niższego szczebla i organizacje ponadnarodowe. </w:t>
            </w:r>
            <w:r>
              <w:rPr>
                <w:b/>
                <w:i/>
              </w:rPr>
              <w:t>Inwestycje</w:t>
            </w:r>
            <w:r>
              <w:t xml:space="preserve"> w takie emisje długu </w:t>
            </w:r>
            <w:r>
              <w:rPr>
                <w:b/>
                <w:i/>
              </w:rPr>
              <w:t>należy zatem zaliczać</w:t>
            </w:r>
            <w:r>
              <w:t xml:space="preserve"> na poczet wkładu produktów finansowych w realizację celów związanych ze zrównoważonym rozwojem lub transformacją </w:t>
            </w:r>
            <w:r>
              <w:rPr>
                <w:b/>
                <w:i/>
              </w:rPr>
              <w:t>lub wkładu w uwzględnianie czynników zrównoważonego rozwoju zgodnie z art. 8</w:t>
            </w:r>
            <w:r>
              <w:t xml:space="preserve">, </w:t>
            </w:r>
            <w:r>
              <w:rPr>
                <w:b/>
                <w:i/>
              </w:rPr>
              <w:t>w przypadku gdy uczestnicy rynku finansowego stosują solidne, udokumentowane i odpowiednie metody oceny profilu takich</w:t>
            </w:r>
            <w:r>
              <w:t xml:space="preserve"> inwestycji w </w:t>
            </w:r>
            <w:r>
              <w:rPr>
                <w:b/>
                <w:i/>
              </w:rPr>
              <w:t>zakresie zrównoważonego rozwoju lub transformacji oraz uwzględniają podawane do wiadomości publicznej krajowe ramy transformacji lub zrównoważonego rozwoju</w:t>
            </w:r>
            <w:r>
              <w:t xml:space="preserve">. Uczestnicy rynku finansowego powinni mieć możliwość uwzględniania tych emisji długu w liczniku dla produktów finansowych zaklasyfikowanych do kategorii </w:t>
            </w:r>
            <w:r>
              <w:rPr>
                <w:b/>
                <w:i/>
              </w:rPr>
              <w:t>inwestycji w zrównoważony rozwój, inwestycji w transformację i</w:t>
            </w:r>
            <w:r>
              <w:t xml:space="preserve"> inwestycji o podstawowych cechach ESG, stosując dostępne metody, które są odpowiednie do oceny zrównoważonego charakteru tych inwestycji. Ponadto wyłączenia dotyczące inwestycji, których nie można dokonywać w ramach produktów finansowych sklasyfikowanych jako produkty finansowe związane ze zrównoważonym rozwojem, mają zastosowanie do przedsiębiorstw, a nie do państw, jednostek państwowych niższego szczebla i organizacji ponadnarodowych. Wyłączenia te nie ograniczają zatem inwestycji w emisje długu przez państwa, jednostki państwowe niższego szczebla i organizacje ponadnarodowe, które to inwestycje mogą zatem znaleźć się w mianowniku dla tych produktów finansowych, w tym w szczególności emisje długu przez państwa członkowskie Unii, organy na szczeblu Unii i inne organy sektora publicznego niepodlegające żadnym mającym zastosowanie sankcjom finansowym na szczeblu Unii. Natomiast inwestycje w instrumenty finansowe emitowane przez państwa, jednostki państwowe niższego szczebla i organizacje ponadnarodowe – jeżeli przeznaczenie przychodów jest znane, instrumenty te wspierają konkretne cele w zakresie zrównoważonego rozwoju oraz pod warunkiem że instrumenty te nie służą bezpośrednio lub pośrednio do finansowania rodzajów działalności wyłączonych z inwestycji w ramach produktów finansowych sklasyfikowanych jako produkty finansowe związane ze zrównoważonym rozwojem – mogą być uwzględniane w liczniku w przypadku wszystkich sklasyfikowanych produktów finansowych. Takie zrównoważone podejście powinno pozwolić na dalsze finansowanie projektów publicznych i działań związanych ze zrównoważonym rozwojem z wykorzystaniem produktów finansowych związanych ze zrównoważonym rozwojem, zapewniając jednocześnie zabezpieczenia przed potencjalnym ryzykiem pseudoekologicznego marketingu. Uczestnicy rynku finansowego powinni zapewnić, aby w celu uniknięcia ryzyka pseudoekologicznego marketingu inwestycje w dług sektora publicznego w ramach sklasyfikowanych produktów finansowych były spójne z deklarowanym celem lub strategią tych produktów związanych ze zrównoważonym rozwojem oraz aby były zgodne z oczekiwaniami inwestorów końcowych.</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Angelika Winzig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Obecnie nie są dostępne żadne kompleksowe wskaźniki służące do oceny zrównoważonego charakteru emisji długu o przeznaczeniu ogólnym przez państwa, jednostki państwowe niższego szczebla i organizacje ponadnarodowe. Należy zatem wyłączyć możliwość zaliczania inwestycji w takie emisje długu na poczet wkładu produktów finansowych w realizację celów związanych ze zrównoważonym rozwojem lub transformacją. Niezależnie od ogólnego traktowania lub uwzględniania tych emisji długu wśród inwestycji dokonywanych za pośrednictwem produktów finansowych, inwestycje w takie emisje długu powinny być wyłączone z licznika odzwierciedlającego odsetek określonych inwestycji, jaki muszą osiągnąć produkty finansowe zaklasyfikowane do kategorii inwestycji w zrównoważony rozwój i inwestycji w transformację. Uczestnicy rynku finansowego powinni jednak mieć możliwość uwzględniania tych emisji długu w liczniku dla produktów finansowych zaklasyfikowanych do kategorii inwestycji </w:t>
            </w:r>
            <w:r>
              <w:rPr>
                <w:b/>
                <w:i/>
              </w:rPr>
              <w:t>o podstawowych cechach</w:t>
            </w:r>
            <w:r>
              <w:t xml:space="preserve"> ESG, stosując dostępne metody, które są odpowiednie do oceny zrównoważonego charakteru tych inwestycji. Ponadto wyłączenia dotyczące inwestycji, których nie można dokonywać w ramach produktów finansowych sklasyfikowanych jako produkty finansowe związane ze zrównoważonym rozwojem, mają zastosowanie do przedsiębiorstw, a nie do państw, jednostek państwowych niższego szczebla i organizacji ponadnarodowych. Wyłączenia te nie ograniczają zatem inwestycji w emisje długu przez państwa, jednostki państwowe niższego szczebla i organizacje ponadnarodowe, które to inwestycje mogą zatem znaleźć się w mianowniku dla tych produktów finansowych, w tym w szczególności emisje długu przez państwa członkowskie Unii, organy na szczeblu Unii i inne organy sektora publicznego niepodlegające żadnym mającym zastosowanie sankcjom finansowym na szczeblu Unii. Natomiast inwestycje w instrumenty finansowe emitowane przez państwa, jednostki państwowe niższego szczebla i organizacje ponadnarodowe – jeżeli przeznaczenie przychodów jest znane, instrumenty te wspierają konkretne cele w zakresie zrównoważonego rozwoju oraz pod warunkiem że instrumenty te nie służą bezpośrednio lub pośrednio do finansowania rodzajów działalności wyłączonych z inwestycji w ramach produktów finansowych sklasyfikowanych jako produkty finansowe związane ze zrównoważonym rozwojem – mogą być uwzględniane w liczniku w przypadku wszystkich sklasyfikowanych produktów finansowych. Takie zrównoważone podejście powinno pozwolić na dalsze finansowanie projektów publicznych i działań związanych ze zrównoważonym rozwojem z wykorzystaniem produktów finansowych związanych ze zrównoważonym rozwojem, zapewniając jednocześnie zabezpieczenia przed potencjalnym ryzykiem pseudoekologicznego marketingu. Uczestnicy rynku finansowego powinni zapewnić, aby w celu uniknięcia ryzyka pseudoekologicznego marketingu inwestycje w dług sektora publicznego w ramach sklasyfikowanych produktów finansowych były spójne z deklarowanym celem lub strategią tych produktów związanych ze zrównoważonym rozwojem oraz aby były zgodne z oczekiwaniami inwestorów końcowych.</w:t>
            </w:r>
          </w:p>
        </w:tc>
        <w:tc>
          <w:tcPr>
            <w:tcW w:w="4876" w:type="dxa"/>
            <w:tcBorders>
              <w:top w:val="nil"/>
              <w:left w:val="nil"/>
              <w:bottom w:val="nil"/>
              <w:right w:val="nil"/>
            </w:tcBorders>
          </w:tcPr>
          <w:p>
            <w:pPr>
              <w:pStyle w:val="Normal6a"/>
            </w:pPr>
            <w:r>
              <w:t>(22)</w:t>
            </w:r>
            <w:r>
              <w:tab/>
            </w:r>
            <w:r>
              <w:t xml:space="preserve">Obecnie nie są dostępne żadne kompleksowe wskaźniki służące do oceny zrównoważonego charakteru emisji długu o przeznaczeniu ogólnym przez państwa, jednostki państwowe niższego szczebla i organizacje ponadnarodowe. Należy zatem wyłączyć możliwość zaliczania inwestycji w takie emisje długu na poczet wkładu produktów finansowych w realizację celów związanych ze zrównoważonym rozwojem lub transformacją. Niezależnie od ogólnego traktowania lub uwzględniania tych emisji długu wśród inwestycji dokonywanych za pośrednictwem produktów finansowych, inwestycje w takie emisje długu powinny być wyłączone z licznika odzwierciedlającego odsetek określonych inwestycji, jaki muszą osiągnąć produkty finansowe zaklasyfikowane do kategorii inwestycji w zrównoważony rozwój i inwestycji w transformację. Uczestnicy rynku finansowego powinni jednak mieć możliwość uwzględniania tych emisji długu w liczniku dla produktów finansowych zaklasyfikowanych do kategorii inwestycji </w:t>
            </w:r>
            <w:r>
              <w:rPr>
                <w:b/>
                <w:i/>
              </w:rPr>
              <w:t>integrujących</w:t>
            </w:r>
            <w:r>
              <w:t xml:space="preserve"> ESG, stosując dostępne metody, które są odpowiednie do oceny zrównoważonego charakteru tych inwestycji. Ponadto wyłączenia dotyczące inwestycji, których nie można dokonywać w ramach produktów finansowych sklasyfikowanych jako produkty finansowe związane ze zrównoważonym rozwojem, mają zastosowanie do przedsiębiorstw, a nie do państw, jednostek państwowych niższego szczebla i organizacji ponadnarodowych. Wyłączenia te nie ograniczają zatem inwestycji w emisje długu przez państwa, jednostki państwowe niższego szczebla i organizacje ponadnarodowe, które to inwestycje mogą zatem znaleźć się w mianowniku dla tych produktów finansowych, w tym w szczególności emisje długu przez państwa członkowskie Unii, organy na szczeblu Unii i inne organy sektora publicznego niepodlegające żadnym mającym zastosowanie sankcjom finansowym na szczeblu Unii. Natomiast inwestycje w instrumenty finansowe emitowane przez państwa, jednostki państwowe niższego szczebla i organizacje ponadnarodowe – jeżeli przeznaczenie przychodów jest znane, instrumenty te wspierają konkretne cele w zakresie zrównoważonego rozwoju oraz pod warunkiem że instrumenty te nie służą bezpośrednio lub pośrednio do finansowania rodzajów działalności wyłączonych z inwestycji w ramach produktów finansowych sklasyfikowanych jako produkty finansowe związane ze zrównoważonym rozwojem – mogą być uwzględniane w liczniku w przypadku wszystkich sklasyfikowanych produktów finansowych. Takie zrównoważone podejście powinno pozwolić na dalsze finansowanie projektów publicznych i działań związanych ze zrównoważonym rozwojem z wykorzystaniem produktów finansowych związanych ze zrównoważonym rozwojem, zapewniając jednocześnie zabezpieczenia przed potencjalnym ryzykiem pseudoekologicznego marketingu. Uczestnicy rynku finansowego powinni zapewnić, aby w celu uniknięcia ryzyka pseudoekologicznego marketingu inwestycje w dług sektora publicznego w ramach sklasyfikowanych produktów finansowych były spójne z deklarowanym celem lub strategią tych produktów związanych ze zrównoważonym rozwojem oraz aby były zgodne z oczekiwaniami inwestorów końcowych.</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Zmiana nazwy kategorii z „o podstawowych cechach ESG” na „integrujące ESG” zastępuje nieopłacalną z handlowego punktu widzenia i potencjalnie szkodliwą etykietę ustaloną na całym świecie standardową terminologią branżową dotyczącą tej praktyki.</w:t>
      </w:r>
      <w:r>
        <w:t xml:space="preserve"> </w:t>
      </w:r>
      <w:r>
        <w:t>Zmiana gwarantuje, że kategoria dokładnie odzwierciedla profesjonalne, systematyczne włączanie ryzyka dla zrównoważonego rozwoju do tradycyjnej analizy finansowej bez stwarzania niezamierzonej szkody dla reputacji producentów.</w:t>
      </w:r>
    </w:p>
    <w:p>
      <w:r>
        <w:rPr>
          <w:rStyle w:val="HideTWBExt"/>
        </w:rPr>
        <w:t>&lt;/Amend&gt;</w:t>
      </w:r>
    </w:p>
    <w:p>
      <w:pPr>
        <w:pStyle w:val="AmNumberTabs"/>
      </w:pPr>
      <w:r>
        <w:rPr>
          <w:rStyle w:val="HideTWBExt"/>
        </w:rPr>
        <w:t>&lt;Amend&gt;</w:t>
      </w:r>
      <w:r>
        <w:t>Poprawka</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Denis Nesci, Francesco Ventola, Mariateresa Vivaldini, Marco Falcone, Marco Squarta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Utworzenie różnych kategorii produktów finansowych związanych ze zrównoważonym rozwojem wymaga wprowadzenia przepisów określających, w jaki sposób należy oceniać, czy produkty posiadające ekspozycję wobec sklasyfikowanych produktów kwalifikują się do danej kategorii, a jeżeli nie – w jaki sposób dla niesklasyfikowanych produktów finansowych należy ujawniać informacje na temat inwestycji w sklasyfikowane produkty finansowe dokonywane w ramach tych niesklasyfikowanych produktów finansowych. Aby ocenić kwalifikowalność produktu do danej kategorii, </w:t>
            </w:r>
            <w:r>
              <w:rPr>
                <w:b/>
                <w:i/>
              </w:rPr>
              <w:t>uczestnicy rynku finansowego powinni</w:t>
            </w:r>
            <w:r>
              <w:t xml:space="preserve"> mieć możliwość polegania na ujawnionych informacjach dotyczących sklasyfikowanych produktów finansowych i łączenia ich z informacjami na temat swoich innych inwestycji. Jeżeli uczestnik rynku finansowego korzysta z usług regulowanego podmiotu do celów świadczenia usług zarządzania portfelem, </w:t>
            </w:r>
            <w:r>
              <w:rPr>
                <w:b/>
                <w:i/>
              </w:rPr>
              <w:t>uczestnik rynku finansowego</w:t>
            </w:r>
            <w:r>
              <w:t xml:space="preserve"> powinien mieć możliwość polegania na informacjach przekazanych przez ten podmiot, któremu </w:t>
            </w:r>
            <w:r>
              <w:rPr>
                <w:b/>
                <w:i/>
              </w:rPr>
              <w:t>uczestnik rynku finansowego jako jego</w:t>
            </w:r>
            <w:r>
              <w:t xml:space="preserve"> klient może zlecić inwestowanie zgodnie z kryteriami dla produktów sklasyfikowanych. W przypadku gdy udział inwestycji w produkty sklasyfikowane w ramach tych produktów osiąga próg 70 % dla portfela i gdy zapewniona jest również zgodność z innymi kryteriami, w szczególności kryteriami wyłączenia, same te produkty można uznać za kwalifikujące się jako produkty sklasyfikowane. Ocena ta powinna opierać się na informacjach na temat bazowych produktów sklasyfikowanych (np. minimalny udział inwestycji wymagany dla produktów sklasyfikowanych na podstawie niniejszego rozporządzenia lub rzeczywiste inwestycje, jeżeli dane te są dostępne) oraz informacjach ujawnionych przez zarządzających portfelem. Przy zastrzeżeniu, że w każdym przypadku przestrzega się odpowiednich wyłączeń, jedynie produkty, które osiągają próg 70 % poprzez inwestowanie wyłącznie w zrównoważone produkty, można uznać za zrównoważone, natomiast produkty, które inwestują w różne kategorie, należałyby do kategorii inwestycji w transformację (w przypadku kombinacji produktów zrównoważonych i produktów z kategorii inwestycji w transformację) albo kategorii o podstawowych cechach ESG (w przypadku kombinacji produktów z dowolnej z trzech kategorii). W przypadku produktów finansowych, które nie kwalifikują się do żadnej kategorii, ale stanowią inwestycję w produkty sklasyfikowane, w celu zapewnienia porównywalności ujawniane informacje powinny obejmować kwotę zainwestowaną w ramach tych produktów finansowych w produkty finansowe sklasyfikowane jako produkty finansowe związane ze zrównoważonym rozwojem, a także w portfele zarządzane uznaniowo dla klientów zgodnie z kryteriami dla produktów sklasyfikowanych oraz kwotę zainwestowaną w produkty niesklasyfikowane. W tym celu uczestnicy rynku finansowego powinni mieć możliwość polegania na ujawnionych informacjach dotyczących sklasyfikowanych produktów finansowych, a także na informacjach ujawnionych przez uprawniony podmiot odpowiedzialny za świadczenie usług zarządzania portfelem. Powinno to pomóc uczestnikom rynku finansowego, którzy zarządzają takimi produktami, wytwarzają je lub je udostępniają, w bardziej spójny sposób informować klientów o elementach tych produktów związanych ze zrównoważonym rozwojem, umożliwiając im jednocześnie poleganie na informacjach przekazanych w odniesieniu do bazowych produktów sklasyfikowanych i nie wymagając od nich oddzielnej weryfikacji tych informacji. Nie należy jednak zezwalać na stosowanie w nazwach tych niesklasyfikowanych produktów terminów związanych ze zrównoważonym rozwojem, które są zarezerwowane dla produktów sklasyfikowanych, ale należy zezwolić na umieszczanie w komunikatach marketingowych dotyczących tych produktów twierdzeń związanych ze zrównoważonym rozwojem, pod warunkiem że są one jasne, rzetelne i nie wprowadzają w błąd oraz dokładnie odzwierciedlają ujawniane informacje na temat względnego udziału inwestycji w produkty sklasyfikowane i inne aktywa.</w:t>
            </w:r>
          </w:p>
        </w:tc>
        <w:tc>
          <w:tcPr>
            <w:tcW w:w="4876" w:type="dxa"/>
            <w:tcBorders>
              <w:top w:val="nil"/>
              <w:left w:val="nil"/>
              <w:bottom w:val="nil"/>
              <w:right w:val="nil"/>
            </w:tcBorders>
          </w:tcPr>
          <w:p>
            <w:pPr>
              <w:pStyle w:val="Normal6a"/>
            </w:pPr>
            <w:r>
              <w:t>(23)</w:t>
            </w:r>
            <w:r>
              <w:tab/>
            </w:r>
            <w:r>
              <w:t xml:space="preserve">Utworzenie różnych kategorii produktów finansowych związanych ze zrównoważonym rozwojem wymaga wprowadzenia przepisów określających, w jaki sposób należy oceniać, czy produkty posiadające ekspozycję wobec sklasyfikowanych produktów kwalifikują się do danej kategorii, a jeżeli nie – w jaki sposób dla niesklasyfikowanych produktów finansowych należy ujawniać informacje na temat inwestycji w sklasyfikowane produkty finansowe dokonywane w ramach tych niesklasyfikowanych produktów finansowych. Aby ocenić kwalifikowalność produktu do danej kategorii, </w:t>
            </w:r>
            <w:r>
              <w:rPr>
                <w:b/>
                <w:i/>
              </w:rPr>
              <w:t>inwestor powinien</w:t>
            </w:r>
            <w:r>
              <w:t xml:space="preserve"> mieć możliwość polegania na ujawnionych informacjach dotyczących sklasyfikowanych produktów finansowych i łączenia ich z informacjami na temat swoich innych inwestycji. Jeżeli uczestnik rynku finansowego korzysta z usług regulowanego podmiotu do celów świadczenia usług zarządzania portfelem, </w:t>
            </w:r>
            <w:r>
              <w:rPr>
                <w:b/>
                <w:i/>
              </w:rPr>
              <w:t>inwestor</w:t>
            </w:r>
            <w:r>
              <w:t xml:space="preserve"> powinien mieć możliwość polegania na informacjach przekazanych przez ten podmiot, któremu klient może zlecić inwestowanie zgodnie z kryteriami dla produktów sklasyfikowanych. W przypadku gdy udział inwestycji w produkty sklasyfikowane w ramach tych produktów osiąga próg 70 % dla portfela i gdy zapewniona jest również zgodność z innymi kryteriami, w szczególności kryteriami wyłączenia, same te produkty można uznać za kwalifikujące się jako produkty sklasyfikowane. Ocena ta powinna opierać się na informacjach na temat bazowych produktów sklasyfikowanych (np. minimalny udział inwestycji wymagany dla produktów sklasyfikowanych na podstawie niniejszego rozporządzenia lub rzeczywiste inwestycje, jeżeli dane te są dostępne) oraz informacjach ujawnionych przez zarządzających portfelem. Przy zastrzeżeniu, że w każdym przypadku przestrzega się odpowiednich wyłączeń, jedynie produkty, które osiągają próg 70 % poprzez inwestowanie wyłącznie w zrównoważone produkty, można uznać za zrównoważone, natomiast produkty, które inwestują w różne kategorie, należałyby do kategorii inwestycji w transformację (w przypadku kombinacji produktów zrównoważonych i produktów z kategorii inwestycji w transformację) albo kategorii o podstawowych cechach ESG (w przypadku kombinacji produktów z dowolnej z trzech kategorii). W przypadku produktów finansowych, które nie kwalifikują się do żadnej kategorii, ale stanowią inwestycję w produkty sklasyfikowane, w celu zapewnienia porównywalności ujawniane informacje powinny obejmować kwotę zainwestowaną w ramach tych produktów finansowych w produkty finansowe sklasyfikowane jako produkty finansowe związane ze zrównoważonym rozwojem, a także w portfele zarządzane uznaniowo dla klientów zgodnie z kryteriami dla produktów sklasyfikowanych oraz kwotę zainwestowaną w produkty niesklasyfikowane. W tym celu uczestnicy rynku finansowego powinni mieć możliwość polegania na ujawnionych informacjach dotyczących sklasyfikowanych produktów finansowych, a także na informacjach ujawnionych przez uprawniony podmiot odpowiedzialny za świadczenie usług zarządzania portfelem. Powinno to pomóc uczestnikom rynku finansowego, którzy zarządzają takimi produktami, wytwarzają je lub je udostępniają, w bardziej spójny sposób informować klientów o elementach tych produktów związanych ze zrównoważonym rozwojem, umożliwiając im jednocześnie poleganie na informacjach przekazanych w odniesieniu do bazowych produktów sklasyfikowanych i nie wymagając od nich oddzielnej weryfikacji tych informacji. Nie należy jednak zezwalać na stosowanie w nazwach tych niesklasyfikowanych produktów terminów związanych ze zrównoważonym rozwojem, które są zarezerwowane dla produktów sklasyfikowanych, ale należy zezwolić na umieszczanie w komunikatach marketingowych dotyczących tych produktów twierdzeń związanych ze zrównoważonym rozwojem, pod warunkiem że są one jasne, rzetelne i nie wprowadzają w błąd oraz dokładnie odzwierciedlają ujawniane informacje na temat względnego udziału inwestycji w produkty sklasyfikowane i inne aktywa.</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Angelika Winzig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Utworzenie różnych kategorii produktów finansowych związanych ze zrównoważonym rozwojem wymaga wprowadzenia przepisów określających, w jaki sposób należy oceniać, czy produkty posiadające ekspozycję wobec sklasyfikowanych produktów kwalifikują się do danej kategorii, a jeżeli nie – w jaki sposób dla niesklasyfikowanych produktów finansowych należy ujawniać informacje na temat inwestycji w sklasyfikowane produkty finansowe dokonywane w ramach tych niesklasyfikowanych produktów finansowych. Aby ocenić kwalifikowalność produktu do danej kategorii, uczestnicy rynku finansowego powinni mieć możliwość polegania na ujawnionych informacjach dotyczących sklasyfikowanych produktów finansowych i łączenia ich z informacjami na temat swoich innych inwestycji. Jeżeli uczestnik rynku finansowego korzysta z usług regulowanego podmiotu do celów świadczenia usług zarządzania portfelem, uczestnik rynku finansowego powinien mieć możliwość polegania na informacjach przekazanych przez ten podmiot, któremu uczestnik rynku finansowego jako jego klient może zlecić inwestowanie zgodnie z kryteriami dla produktów sklasyfikowanych. W przypadku gdy udział inwestycji w produkty sklasyfikowane w ramach tych produktów osiąga próg 70 % dla portfela i gdy zapewniona jest również zgodność z innymi kryteriami, w szczególności kryteriami wyłączenia, same te produkty można uznać za kwalifikujące się jako produkty sklasyfikowane. Ocena ta powinna opierać się na informacjach na temat bazowych produktów sklasyfikowanych (np. minimalny udział inwestycji wymagany dla produktów sklasyfikowanych na podstawie niniejszego rozporządzenia lub rzeczywiste inwestycje, jeżeli dane te są dostępne) oraz informacjach ujawnionych przez zarządzających portfelem. Przy zastrzeżeniu, że w każdym przypadku przestrzega się odpowiednich wyłączeń, jedynie produkty, które osiągają próg 70 % poprzez inwestowanie wyłącznie w zrównoważone produkty, można uznać za zrównoważone, natomiast produkty, które inwestują w różne kategorie, należałyby do kategorii inwestycji w transformację (w przypadku kombinacji produktów zrównoważonych i produktów z kategorii inwestycji w transformację) albo kategorii </w:t>
            </w:r>
            <w:r>
              <w:rPr>
                <w:b/>
                <w:i/>
              </w:rPr>
              <w:t>o podstawowych cechach</w:t>
            </w:r>
            <w:r>
              <w:t xml:space="preserve"> ESG (w przypadku kombinacji produktów z dowolnej z trzech kategorii). W przypadku produktów finansowych, które nie kwalifikują się do żadnej kategorii, ale stanowią inwestycję w produkty sklasyfikowane, w celu zapewnienia porównywalności ujawniane informacje powinny obejmować kwotę zainwestowaną w ramach tych produktów finansowych w produkty finansowe sklasyfikowane jako produkty finansowe związane ze zrównoważonym rozwojem, a także w portfele zarządzane uznaniowo dla klientów zgodnie z kryteriami dla produktów sklasyfikowanych oraz kwotę zainwestowaną w produkty niesklasyfikowane. W tym celu uczestnicy rynku finansowego powinni mieć możliwość polegania na ujawnionych informacjach dotyczących sklasyfikowanych produktów finansowych, a także na informacjach ujawnionych przez uprawniony podmiot odpowiedzialny za świadczenie usług zarządzania portfelem. Powinno to pomóc uczestnikom rynku finansowego, którzy zarządzają takimi produktami, wytwarzają je lub je udostępniają, w bardziej spójny sposób informować klientów o elementach tych produktów związanych ze zrównoważonym rozwojem, umożliwiając im jednocześnie poleganie na informacjach przekazanych w odniesieniu do bazowych produktów sklasyfikowanych i nie wymagając od nich oddzielnej weryfikacji tych informacji. Nie należy jednak zezwalać na stosowanie w nazwach tych niesklasyfikowanych produktów terminów związanych ze zrównoważonym rozwojem, które są zarezerwowane dla produktów sklasyfikowanych, ale należy zezwolić na umieszczanie w komunikatach marketingowych dotyczących tych produktów twierdzeń związanych ze zrównoważonym rozwojem, pod warunkiem że są one jasne, rzetelne i nie wprowadzają w błąd oraz dokładnie odzwierciedlają ujawniane informacje na temat względnego udziału inwestycji w produkty sklasyfikowane i inne aktywa.</w:t>
            </w:r>
          </w:p>
        </w:tc>
        <w:tc>
          <w:tcPr>
            <w:tcW w:w="4876" w:type="dxa"/>
            <w:tcBorders>
              <w:top w:val="nil"/>
              <w:left w:val="nil"/>
              <w:bottom w:val="nil"/>
              <w:right w:val="nil"/>
            </w:tcBorders>
          </w:tcPr>
          <w:p>
            <w:pPr>
              <w:pStyle w:val="Normal6a"/>
            </w:pPr>
            <w:r>
              <w:t>(23)</w:t>
            </w:r>
            <w:r>
              <w:tab/>
            </w:r>
            <w:r>
              <w:t xml:space="preserve">Utworzenie różnych kategorii produktów finansowych związanych ze zrównoważonym rozwojem wymaga wprowadzenia przepisów określających, w jaki sposób należy oceniać, czy produkty posiadające ekspozycję wobec sklasyfikowanych produktów kwalifikują się do danej kategorii, a jeżeli nie – w jaki sposób dla niesklasyfikowanych produktów finansowych należy ujawniać informacje na temat inwestycji w sklasyfikowane produkty finansowe dokonywane w ramach tych niesklasyfikowanych produktów finansowych. Aby ocenić kwalifikowalność produktu do danej kategorii, uczestnicy rynku finansowego powinni mieć możliwość polegania na ujawnionych informacjach dotyczących sklasyfikowanych produktów finansowych i łączenia ich z informacjami na temat swoich innych inwestycji. Jeżeli uczestnik rynku finansowego korzysta z usług regulowanego podmiotu do celów świadczenia usług zarządzania portfelem, uczestnik rynku finansowego powinien mieć możliwość polegania na informacjach przekazanych przez ten podmiot, któremu uczestnik rynku finansowego jako jego klient może zlecić inwestowanie zgodnie z kryteriami dla produktów sklasyfikowanych. W przypadku gdy udział inwestycji w produkty sklasyfikowane w ramach tych produktów osiąga próg 70 % dla portfela i gdy zapewniona jest również zgodność z innymi kryteriami, w szczególności kryteriami wyłączenia, same te produkty można uznać za kwalifikujące się jako produkty sklasyfikowane. Ocena ta powinna opierać się na informacjach na temat bazowych produktów sklasyfikowanych (np. minimalny udział inwestycji wymagany dla produktów sklasyfikowanych na podstawie niniejszego rozporządzenia lub rzeczywiste inwestycje, jeżeli dane te są dostępne) oraz informacjach ujawnionych przez zarządzających portfelem. Przy zastrzeżeniu, że w każdym przypadku przestrzega się odpowiednich wyłączeń, jedynie produkty, które osiągają próg 70 % poprzez inwestowanie wyłącznie w zrównoważone produkty, można uznać za zrównoważone, natomiast produkty, które inwestują w różne kategorie, należałyby do kategorii inwestycji w transformację (w przypadku kombinacji produktów zrównoważonych i produktów z kategorii inwestycji w transformację) albo kategorii </w:t>
            </w:r>
            <w:r>
              <w:rPr>
                <w:b/>
                <w:i/>
              </w:rPr>
              <w:t>integrującej</w:t>
            </w:r>
            <w:r>
              <w:t xml:space="preserve"> ESG (w przypadku kombinacji produktów z dowolnej z trzech kategorii). W przypadku produktów finansowych, które nie kwalifikują się do żadnej kategorii, ale stanowią inwestycję w produkty sklasyfikowane, w celu zapewnienia porównywalności ujawniane informacje powinny obejmować kwotę zainwestowaną w ramach tych produktów finansowych w produkty finansowe sklasyfikowane jako produkty finansowe związane ze zrównoważonym rozwojem, a także w portfele zarządzane uznaniowo dla klientów zgodnie z kryteriami dla produktów sklasyfikowanych oraz kwotę zainwestowaną w produkty niesklasyfikowane. W tym celu uczestnicy rynku finansowego powinni mieć możliwość polegania na ujawnionych informacjach dotyczących sklasyfikowanych produktów finansowych, a także na informacjach ujawnionych przez uprawniony podmiot odpowiedzialny za świadczenie usług zarządzania portfelem. Powinno to pomóc uczestnikom rynku finansowego, którzy zarządzają takimi produktami, wytwarzają je lub je udostępniają, w bardziej spójny sposób informować klientów o elementach tych produktów związanych ze zrównoważonym rozwojem, umożliwiając im jednocześnie poleganie na informacjach przekazanych w odniesieniu do bazowych produktów sklasyfikowanych i nie wymagając od nich oddzielnej weryfikacji tych informacji. Nie należy jednak zezwalać na stosowanie w nazwach tych niesklasyfikowanych produktów terminów związanych ze zrównoważonym rozwojem, które są zarezerwowane dla produktów sklasyfikowanych, ale należy zezwolić na umieszczanie w komunikatach marketingowych dotyczących tych produktów twierdzeń związanych ze zrównoważonym rozwojem, pod warunkiem że są one jasne, rzetelne i nie wprowadzają w błąd oraz dokładnie odzwierciedlają ujawniane informacje na temat względnego udziału inwestycji w produkty sklasyfikowane i inne aktywa.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Zmiana nazwy kategorii z „o podstawowych cechach ESG” na „integrujące ESG” zastępuje nieopłacalną z handlowego punktu widzenia i potencjalnie szkodliwą etykietę ustaloną na całym świecie standardową terminologią branżową dotyczącą tej praktyki.</w:t>
      </w:r>
      <w:r>
        <w:t xml:space="preserve"> </w:t>
      </w:r>
      <w:r>
        <w:t>Zmiana gwarantuje, że kategoria dokładnie odzwierciedla profesjonalne, systematyczne włączanie ryzyka dla zrównoważonego rozwoju do tradycyjnej analizy finansowej bez stwarzania niezamierzonej szkody dla reputacji producentów.</w:t>
      </w:r>
    </w:p>
    <w:p>
      <w:r>
        <w:rPr>
          <w:rStyle w:val="HideTWBExt"/>
        </w:rPr>
        <w:t>&lt;/Amend&gt;</w:t>
      </w:r>
    </w:p>
    <w:p>
      <w:pPr>
        <w:pStyle w:val="AmNumberTabs"/>
      </w:pPr>
      <w:r>
        <w:rPr>
          <w:rStyle w:val="HideTWBExt"/>
        </w:rPr>
        <w:t>&lt;Amend&gt;</w:t>
      </w:r>
      <w:r>
        <w:t>Poprawka</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Lara Wolters, Jonás Fernández, Aurore Lalucq, Niels Fuglsang, Evelyn Regner, César Luena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Szeroki zakres potencjalnych aktywów inwestycyjnych dla produktów finansowych, które można sklasyfikować jako produkty finansowe związane ze zrównoważonym rozwojem, oznacza, że nadal będą występowały pewne luki w danych dotyczących zrównoważonego rozwoju w odniesieniu do podmiotów, w które dokonano inwestycji, oraz innych aktywów. Należy zatem sformalizować wykorzystywanie szacunków przez uczestników rynku finansowego i zwiększyć przejrzystość w tym zakresie</w:t>
            </w:r>
            <w:r>
              <w:rPr>
                <w:b/>
                <w:i/>
              </w:rPr>
              <w:t>, nie nakładając jednak nowych wymogów na zewnętrznych dostawców danych dotyczących zrównoważonego rozwoju</w:t>
            </w:r>
            <w:r>
              <w:t>. W szczególności należy wprowadzić proporcjonalne środki, zgodnie z którymi uczestnicy rynku finansowego będą zobowiązani do dokumentowania wykorzystania źródeł danych oraz szacunków zewnętrznych i wewnętrznych, a także do przekazywania na żądanie klientów informacji na temat takiego wykorzystania.</w:t>
            </w:r>
          </w:p>
        </w:tc>
        <w:tc>
          <w:tcPr>
            <w:tcW w:w="4876" w:type="dxa"/>
            <w:tcBorders>
              <w:top w:val="nil"/>
              <w:left w:val="nil"/>
              <w:bottom w:val="nil"/>
              <w:right w:val="nil"/>
            </w:tcBorders>
          </w:tcPr>
          <w:p>
            <w:pPr>
              <w:pStyle w:val="Normal6a"/>
            </w:pPr>
            <w:r>
              <w:t>(24)</w:t>
            </w:r>
            <w:r>
              <w:tab/>
            </w:r>
            <w:r>
              <w:t xml:space="preserve">Szeroki zakres potencjalnych aktywów inwestycyjnych dla produktów finansowych, które można sklasyfikować jako produkty finansowe związane ze zrównoważonym rozwojem, oznacza, że nadal będą występowały pewne luki w danych dotyczących zrównoważonego rozwoju w odniesieniu do podmiotów, w które dokonano inwestycji, oraz innych aktywów. </w:t>
            </w:r>
            <w:r>
              <w:rPr>
                <w:b/>
                <w:i/>
              </w:rPr>
              <w:t>Luki pogłębiły się ze względu na ograniczony zakres unijnego systemu sprawozdawczości przedsiębiorstw w zakresie zrównoważonego rozwoju, co spowodowało, że uczestnicy rynku finansowego musieli polegać na ograniczonej grupie głównie dostawców danych finansowych spoza UE, popadając w zależność od dostawców z państw trzecich.</w:t>
            </w:r>
            <w:r>
              <w:t xml:space="preserve"> Należy zatem sformalizować wykorzystywanie szacunków przez uczestników rynku finansowego i zwiększyć przejrzystość w tym zakresie. W szczególności należy wprowadzić proporcjonalne środki, zgodnie z którymi uczestnicy rynku finansowego będą zobowiązani do dokumentowania wykorzystania źródeł danych oraz szacunków zewnętrznych i wewnętrznych, a także do przekazywania na żądanie klientów informacji na temat takiego wykorzystania. </w:t>
            </w:r>
            <w:r>
              <w:rPr>
                <w:b/>
                <w:i/>
              </w:rPr>
              <w:t>Ponadto podczas przeglądu na podstawie art. 52 rozporządzenia (UE) 2024/3005 Komisja powinna wziąć pod uwagę zwiększoną rolę szacunków w europejskich ramach zrównoważonego finansowania dzięki niniejszemu rozporządzeniu, w szczególności w świetle potencjalnego wpływu na zależność danych od strategicznej autonomii unijnych ram zrównoważonego finansowania.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Luděk Niedermayer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Szeroki zakres potencjalnych aktywów inwestycyjnych dla produktów finansowych, które można sklasyfikować jako produkty finansowe związane ze zrównoważonym rozwojem, oznacza, że nadal będą występowały pewne luki w danych dotyczących zrównoważonego rozwoju w odniesieniu do podmiotów, w które dokonano inwestycji, oraz innych aktywów. Należy zatem sformalizować wykorzystywanie szacunków przez uczestników rynku finansowego i zwiększyć przejrzystość w tym zakresie, nie nakładając jednak nowych wymogów na zewnętrznych dostawców danych dotyczących zrównoważonego rozwoju. W szczególności należy wprowadzić proporcjonalne środki, zgodnie z którymi uczestnicy rynku finansowego będą zobowiązani do dokumentowania wykorzystania źródeł danych oraz szacunków zewnętrznych i wewnętrznych, a także do przekazywania na żądanie klientów informacji na temat takiego wykorzystania.</w:t>
            </w:r>
          </w:p>
        </w:tc>
        <w:tc>
          <w:tcPr>
            <w:tcW w:w="4876" w:type="dxa"/>
            <w:tcBorders>
              <w:top w:val="nil"/>
              <w:left w:val="nil"/>
              <w:bottom w:val="nil"/>
              <w:right w:val="nil"/>
            </w:tcBorders>
          </w:tcPr>
          <w:p>
            <w:pPr>
              <w:pStyle w:val="Normal6a"/>
            </w:pPr>
            <w:r>
              <w:t>(24)</w:t>
            </w:r>
            <w:r>
              <w:tab/>
            </w:r>
            <w:r>
              <w:t xml:space="preserve">Szeroki zakres potencjalnych aktywów inwestycyjnych dla produktów finansowych, które można sklasyfikować jako produkty finansowe związane ze zrównoważonym rozwojem, oznacza, że nadal będą występowały pewne luki w danych dotyczących zrównoważonego rozwoju w odniesieniu do podmiotów, w które dokonano inwestycji, oraz innych aktywów. Należy zatem sformalizować wykorzystywanie szacunków przez uczestników rynku finansowego i zwiększyć przejrzystość w tym zakresie, nie nakładając jednak nowych wymogów na zewnętrznych dostawców danych dotyczących zrównoważonego rozwoju. W szczególności należy wprowadzić proporcjonalne środki, zgodnie z którymi uczestnicy rynku finansowego będą zobowiązani do dokumentowania wykorzystania źródeł danych oraz szacunków zewnętrznych i wewnętrznych, a także do przekazywania na żądanie klientów informacji na temat takiego wykorzystania. </w:t>
            </w:r>
            <w:r>
              <w:rPr>
                <w:b/>
                <w:i/>
              </w:rPr>
              <w:t>Komisja, Europejskie Urzędy Nadzoru i właściwe organy powinny mieć możliwość, w ramach swoich mandatów, wydawania wytycznych lub zaleceń w celu poprawy przejrzystości, wiarygodności i porównywalności źródeł danych oraz szacowania metod stosowanych do celów niniejszego rozporządzenia, przy jednoczesnym unikaniu ujawniania informacji poufnych, tajemnic przedsiębiorstwa lub metod zastrzeżonych.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Christophe Gomart, 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Szeroki zakres potencjalnych aktywów inwestycyjnych dla produktów finansowych, które można sklasyfikować jako produkty finansowe związane ze zrównoważonym rozwojem, oznacza, że nadal będą występowały pewne luki w danych dotyczących zrównoważonego rozwoju w odniesieniu do podmiotów, w które dokonano inwestycji, oraz innych aktywów. Należy zatem sformalizować wykorzystywanie szacunków przez uczestników rynku finansowego i zwiększyć przejrzystość w tym zakresie</w:t>
            </w:r>
            <w:r>
              <w:rPr>
                <w:b/>
                <w:i/>
              </w:rPr>
              <w:t>, nie nakładając jednak nowych wymogów na zewnętrznych dostawców danych dotyczących zrównoważonego rozwoju</w:t>
            </w:r>
            <w:r>
              <w:t>. W szczególności należy wprowadzić proporcjonalne środki, zgodnie z którymi uczestnicy rynku finansowego będą zobowiązani do dokumentowania wykorzystania źródeł danych oraz szacunków zewnętrznych i wewnętrznych</w:t>
            </w:r>
            <w:r>
              <w:rPr>
                <w:b/>
                <w:i/>
              </w:rPr>
              <w:t>, a także do przekazywania na żądanie klientów informacji na temat takiego wykorzystania</w:t>
            </w:r>
            <w:r>
              <w:t>.</w:t>
            </w:r>
          </w:p>
        </w:tc>
        <w:tc>
          <w:tcPr>
            <w:tcW w:w="4876" w:type="dxa"/>
            <w:tcBorders>
              <w:top w:val="nil"/>
              <w:left w:val="nil"/>
              <w:bottom w:val="nil"/>
              <w:right w:val="nil"/>
            </w:tcBorders>
          </w:tcPr>
          <w:p>
            <w:pPr>
              <w:pStyle w:val="Normal6a"/>
            </w:pPr>
            <w:r>
              <w:t>(24)</w:t>
            </w:r>
            <w:r>
              <w:tab/>
            </w:r>
            <w:r>
              <w:t>Szeroki zakres potencjalnych aktywów inwestycyjnych dla produktów finansowych, które można sklasyfikować jako produkty finansowe związane ze zrównoważonym rozwojem, oznacza, że nadal będą występowały pewne luki w danych dotyczących zrównoważonego rozwoju w odniesieniu do podmiotów, w które dokonano inwestycji, oraz innych aktywów. Należy zatem sformalizować wykorzystywanie szacunków przez uczestników rynku finansowego i zwiększyć przejrzystość w tym zakresie. W szczególności należy wprowadzić proporcjonalne środki, zgodnie z którymi uczestnicy rynku finansowego będą zobowiązani do dokumentowania wykorzystania źródeł danych oraz szacunków zewnętrznych i wewnętrznych</w:t>
            </w:r>
            <w:r>
              <w:rPr>
                <w:b/>
                <w:i/>
              </w:rPr>
              <w:t>.</w:t>
            </w:r>
            <w:r>
              <w:t xml:space="preserve"> </w:t>
            </w:r>
            <w:r>
              <w:rPr>
                <w:b/>
                <w:i/>
              </w:rPr>
              <w:t>Rozporządzenie (UE) 2024/3005 należy poddać ponownej ocenie w 2029 r. i rozszerzyć na produkty uzyskane z danych ESG dostarczane przez dostawców produktów uzyskanych z danych ESG prowadzących działalność w Unii, aby zapewnić przejrzystość, integralność i niezależność w dostarczaniu danych ESG</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Poprawka ma na celu wprowadzenie minimalnych wymogów w zakresie przejrzystości i metodyki dla dostawców danych ESG, ponieważ odgrywają oni kluczową rolę w umożliwianiu uczestnikom rynku finansowego wypełniania obowiązków określonych w niniejszym rozporządzeniu.</w:t>
      </w:r>
    </w:p>
    <w:p>
      <w:r>
        <w:rPr>
          <w:rStyle w:val="HideTWBExt"/>
        </w:rPr>
        <w:t>&lt;/Amend&gt;</w:t>
      </w:r>
    </w:p>
    <w:p>
      <w:pPr>
        <w:pStyle w:val="AmNumberTabs"/>
      </w:pPr>
      <w:r>
        <w:rPr>
          <w:rStyle w:val="HideTWBExt"/>
        </w:rPr>
        <w:t>&lt;Amend&gt;</w:t>
      </w:r>
      <w:r>
        <w:t>Poprawka</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Pascal Canfin,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Szeroki zakres potencjalnych aktywów inwestycyjnych dla produktów finansowych, które można sklasyfikować jako produkty finansowe związane ze zrównoważonym rozwojem, oznacza, że nadal będą występowały pewne luki w danych dotyczących zrównoważonego rozwoju w odniesieniu do podmiotów, w które dokonano inwestycji, oraz innych aktywów. Należy zatem sformalizować wykorzystywanie szacunków przez uczestników rynku finansowego i zwiększyć przejrzystość w tym zakresie</w:t>
            </w:r>
            <w:r>
              <w:rPr>
                <w:b/>
                <w:i/>
              </w:rPr>
              <w:t>, nie nakładając jednak nowych wymogów na zewnętrznych dostawców danych dotyczących zrównoważonego rozwoju</w:t>
            </w:r>
            <w:r>
              <w:t>. W szczególności należy wprowadzić proporcjonalne środki, zgodnie z którymi uczestnicy rynku finansowego będą zobowiązani do dokumentowania wykorzystania źródeł danych oraz szacunków zewnętrznych i wewnętrznych, a także do przekazywania na żądanie klientów informacji na temat takiego wykorzystania.</w:t>
            </w:r>
          </w:p>
        </w:tc>
        <w:tc>
          <w:tcPr>
            <w:tcW w:w="4876" w:type="dxa"/>
            <w:tcBorders>
              <w:top w:val="nil"/>
              <w:left w:val="nil"/>
              <w:bottom w:val="nil"/>
              <w:right w:val="nil"/>
            </w:tcBorders>
          </w:tcPr>
          <w:p>
            <w:pPr>
              <w:pStyle w:val="Normal6a"/>
            </w:pPr>
            <w:r>
              <w:t>(24)</w:t>
            </w:r>
            <w:r>
              <w:tab/>
            </w:r>
            <w:r>
              <w:t>Szeroki zakres potencjalnych aktywów inwestycyjnych dla produktów finansowych, które można sklasyfikować jako produkty finansowe związane ze zrównoważonym rozwojem, oznacza, że nadal będą występowały pewne luki w danych dotyczących zrównoważonego rozwoju w odniesieniu do podmiotów, w które dokonano inwestycji, oraz innych aktywów. Należy zatem sformalizować wykorzystywanie szacunków przez uczestników rynku finansowego i zwiększyć przejrzystość w tym zakresie. W szczególności należy wprowadzić proporcjonalne środki, zgodnie z którymi uczestnicy rynku finansowego będą zobowiązani do dokumentowania wykorzystania źródeł danych oraz szacunków zewnętrznych i wewnętrznych, a także do przekazywania na żądanie klientów informacji na temat takiego wykorzystania.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Pascal Canfin,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24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(24a)</w:t>
            </w:r>
            <w:r>
              <w:tab/>
            </w:r>
            <w:r>
              <w:rPr>
                <w:b/>
                <w:i/>
              </w:rPr>
              <w:t>Jedną z konsekwencji ostatnich zmian legislacyjnych było zmniejszenie liczby danych dostępnych uczestnikom rynku finansowego, co zwiększyło ich zależność od dostawców danych.</w:t>
            </w:r>
            <w:r>
              <w:t xml:space="preserve"> </w:t>
            </w:r>
            <w:r>
              <w:rPr>
                <w:b/>
                <w:i/>
              </w:rPr>
              <w:t>Wprowadzenie środków, które zwiększają przejrzystość i wymianę informacji między uczestnikami rynku finansowego, dostawcami danych i właściwymi organami krajowymi odpowiedzialnymi za nadzór nad nimi jest konieczne, aby zapewnić podział odpowiedzialności za szacunki i leżące u ich podstaw metody między te różne podmioty.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Martin Günther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25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Aby uniknąć nieporozumień, należy wyjaśnić, że kategorie produktów finansowych na podstawie rozporządzenia (UE) 2019/2088 nie są etykietami, ponieważ nie wymagają obowiązkowej certyfikacji przez zarejestrowaną niezależną osobę trzecią.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Komisji należy przekazać uprawnienia do przyjmowania aktów zgodnie z art. 290 Traktatu o funkcjonowaniu Unii Europejskiej, aby umożliwić określenie warunków, na jakich inwestycje mają przyczyniać się do realizacji określonych celów związanych z transformacją lub zrównoważonym rozwojem bądź uwzględniać czynniki zrównoważonego rozwoju do celów klasyfikacji produktów finansowych jako produkty związane ze zrównoważonym rozwojem, a także w odniesieniu do szablonów ujawniania informacji dotyczących takich produktów finansowych. Szczególnie ważne jest, aby w czasie prac przygotowawczych Komisja prowadziła stosowne konsultacje, w tym z Europejskimi Urzędami Nadzoru ustanowionymi rozporządzeniem Parlamentu Europejskiego i Rady (UE) nr 1093/2010</w:t>
            </w:r>
            <w:r>
              <w:rPr>
                <w:vertAlign w:val="superscript"/>
              </w:rPr>
              <w:t>34</w:t>
            </w:r>
            <w:r>
              <w:t>, rozporządzeniem Parlamentu Europejskiego i Rady (UE) nr 1094/2010</w:t>
            </w:r>
            <w:r>
              <w:rPr>
                <w:vertAlign w:val="superscript"/>
              </w:rPr>
              <w:t>35</w:t>
            </w:r>
            <w:r>
              <w:t>i rozporządzeniem Parlamentu Europejskiego i Rady (UE) nr 1095/2010</w:t>
            </w:r>
            <w:r>
              <w:rPr>
                <w:vertAlign w:val="superscript"/>
              </w:rPr>
              <w:t>36</w:t>
            </w:r>
            <w:r>
              <w:t xml:space="preserve">, a także, w stosownych przypadkach, z grupą ekspertów z państw członkowskich ds. zrównoważonego finansowania. Europejskie Urzędy Nadzoru powinny również wspierać Komisję w przeprowadzaniu odpowiednich badań wśród konsumentów i inwestorów, aby uzyskać informacje na temat sposobu, w jaki dystrybutorzy produktów w jak najlepszy sposób identyfikują produkty odpowiadające preferencjom klientów w zakresie zrównoważonego rozwoju zgodnie z rozporządzeniem delegowanym Komisji (UE) 2017/565, dyrektywą delegowaną Komisji (UE) 2017/593 oraz rozporządzeniami delegowanymi Komisji (UE) 2017/2358 i (UE) 2017/2359, w oparciu o klasyfikację, oraz zapewnić, aby związane z tym szczegółowe informacje dla inwestorów były łatwo zrozumiałe we wszystkich językach urzędowych Unii. Konsultacje te powinny być prowadzone zgodnie z zasadami określonymi w Porozumieniu międzyinstytucjonalnym w sprawie lepszego stanowienia prawa z dnia 13 kwietnia 2016 </w:t>
            </w:r>
            <w:r>
              <w:rPr>
                <w:b/>
                <w:i/>
              </w:rPr>
              <w:t>r.</w:t>
            </w:r>
            <w:r>
              <w:rPr>
                <w:vertAlign w:val="superscript"/>
              </w:rPr>
              <w:t>37</w:t>
            </w:r>
            <w:r>
              <w:t>W szczególności, aby zapewnić Parlamentowi Europejskiemu i Radzie udział na równych zasadach w przygotowaniu aktów delegowanych, instytucje te powinny otrzymywać wszelkie dokumenty w tym samym czasie co eksperci państw członkowskich, a eksperci tych instytucji powinni mieć możliwość systematycznego udziału w posiedzeniach grup eksperckich Komisji zajmujących się przygotowaniem aktów delegowanych.</w:t>
            </w:r>
          </w:p>
        </w:tc>
        <w:tc>
          <w:tcPr>
            <w:tcW w:w="4876" w:type="dxa"/>
            <w:tcBorders>
              <w:top w:val="nil"/>
              <w:left w:val="nil"/>
              <w:bottom w:val="nil"/>
              <w:right w:val="nil"/>
            </w:tcBorders>
          </w:tcPr>
          <w:p>
            <w:pPr>
              <w:pStyle w:val="Normal6a"/>
            </w:pPr>
            <w:r>
              <w:t>(27)</w:t>
            </w:r>
            <w:r>
              <w:tab/>
            </w:r>
            <w:r>
              <w:t xml:space="preserve">Komisji należy przekazać uprawnienia do przyjmowania aktów zgodnie z art. 290 Traktatu o funkcjonowaniu Unii Europejskiej, aby umożliwić określenie warunków, na jakich inwestycje mają przyczyniać się do realizacji określonych celów związanych z transformacją lub zrównoważonym rozwojem bądź uwzględniać czynniki zrównoważonego rozwoju do celów klasyfikacji produktów finansowych jako produkty związane ze zrównoważonym rozwojem, a także w odniesieniu do szablonów ujawniania informacji dotyczących takich produktów finansowych. </w:t>
            </w:r>
            <w:r>
              <w:rPr>
                <w:b/>
                <w:i/>
              </w:rPr>
              <w:t>W ramach uprawnienia Komisji Europejskiej do przeglądu rozporządzenia ocena Komisji powinna również zawierać sekcję poświęconą najbardziej aktualnym oszacowaniom naukowym i modelom dotyczącym różnych przyczyn i zjawisk leżących u podstaw zdarzeń związanych ze zrównoważonym rozwojem.</w:t>
            </w:r>
            <w:r>
              <w:t xml:space="preserve"> </w:t>
            </w:r>
            <w:r>
              <w:rPr>
                <w:b/>
                <w:i/>
              </w:rPr>
              <w:t>Jeżeli w ramach oceny uzna się za stosowne zaktualizowanie definicji, wyłączeń lub celów określonych w art. 7, 8 lub 9, należy odpowiednio zmienić te definicje, wyłączenia lub cele.</w:t>
            </w:r>
            <w:r>
              <w:t xml:space="preserve"> Szczególnie ważne jest, aby w czasie prac przygotowawczych Komisja prowadziła stosowne konsultacje, w tym z Europejskimi Urzędami Nadzoru ustanowionymi rozporządzeniem Parlamentu Europejskiego i Rady (UE) nr 1093/2010</w:t>
            </w:r>
            <w:r>
              <w:rPr>
                <w:vertAlign w:val="superscript"/>
              </w:rPr>
              <w:t>34</w:t>
            </w:r>
            <w:r>
              <w:t>, rozporządzeniem Parlamentu Europejskiego i Rady (UE) nr 1094/2010</w:t>
            </w:r>
            <w:r>
              <w:rPr>
                <w:vertAlign w:val="superscript"/>
              </w:rPr>
              <w:t>35</w:t>
            </w:r>
            <w:r>
              <w:t xml:space="preserve"> i rozporządzeniem Parlamentu Europejskiego i Rady (UE) nr 1095/2010</w:t>
            </w:r>
            <w:r>
              <w:rPr>
                <w:vertAlign w:val="superscript"/>
              </w:rPr>
              <w:t>36</w:t>
            </w:r>
            <w:r>
              <w:t>, a także, w stosownych przypadkach, z grupą ekspertów z państw członkowskich ds. zrównoważonego finansowania. Europejskie Urzędy Nadzoru powinny również wspierać Komisję w przeprowadzaniu odpowiednich badań wśród konsumentów i inwestorów, aby uzyskać informacje na temat sposobu, w jaki dystrybutorzy produktów w jak najlepszy sposób identyfikują produkty odpowiadające preferencjom klientów w zakresie zrównoważonego rozwoju zgodnie z rozporządzeniem delegowanym Komisji (UE) 2017/565, dyrektywą delegowaną Komisji (UE) 2017/593 oraz rozporządzeniami delegowanymi Komisji (UE) 2017/2358 i (UE) 2017/2359, w oparciu o klasyfikację, oraz zapewnić, aby związane z tym szczegółowe informacje dla inwestorów były łatwo zrozumiałe we wszystkich językach urzędowych Unii. Konsultacje te powinny być prowadzone zgodnie z zasadami określonymi w Porozumieniu międzyinstytucjonalnym w sprawie lepszego stanowienia prawa z dnia 13 kwietnia 2016 </w:t>
            </w:r>
            <w:r>
              <w:rPr>
                <w:b/>
                <w:i/>
              </w:rPr>
              <w:t>roku</w:t>
            </w:r>
            <w:r>
              <w:rPr>
                <w:vertAlign w:val="superscript"/>
              </w:rPr>
              <w:t>37</w:t>
            </w:r>
            <w:r>
              <w:rPr>
                <w:b/>
                <w:i/>
              </w:rPr>
              <w:t>.</w:t>
            </w:r>
            <w:r>
              <w:t xml:space="preserve"> W szczególności, aby zapewnić Parlamentowi Europejskiemu i Radzie udział na równych zasadach w przygotowaniu aktów delegowanych, instytucje te powinny otrzymywać wszelkie dokumenty w tym samym czasie co eksperci państw członkowskich, a eksperci tych instytucji powinni mieć możliwość systematycznego udziału w posiedzeniach grup eksperckich Komisji zajmujących się przygotowaniem aktów delegowanych.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34</w:t>
            </w:r>
            <w:r>
              <w:t xml:space="preserve"> </w:t>
            </w:r>
            <w:r>
              <w:t>Rozporządzenie Parlamentu Europejskiego i Rady (UE) nr 1093/2010 z dnia 24 listopada 2010 r. w sprawie ustanowienia Europejskiego Urzędu Nadzoru (Europejskiego Urzędu Nadzoru Bankowego), zmiany decyzji nr 716/2009/WE oraz uchylenia decyzji Komisji 2009/78/WE (Dz.U. L 331 z 15.12.2010, s. 12, ELI: http://data.europa.eu/eli/reg/2010/1093/oj).</w:t>
            </w:r>
          </w:p>
        </w:tc>
        <w:tc>
          <w:tcPr>
            <w:tcW w:w="4876" w:type="dxa"/>
            <w:tcBorders>
              <w:top w:val="nil"/>
              <w:left w:val="nil"/>
              <w:bottom w:val="nil"/>
              <w:right w:val="nil"/>
            </w:tcBorders>
          </w:tcPr>
          <w:p>
            <w:pPr>
              <w:pStyle w:val="Normal6a"/>
            </w:pPr>
            <w:r>
              <w:rPr>
                <w:vertAlign w:val="superscript"/>
              </w:rPr>
              <w:t>34</w:t>
            </w:r>
            <w:r>
              <w:t xml:space="preserve"> </w:t>
            </w:r>
            <w:r>
              <w:t>Rozporządzenie Parlamentu Europejskiego i Rady (UE) nr 1093/2010 z dnia 24 listopada 2010 r. w sprawie ustanowienia Europejskiego Urzędu Nadzoru (Europejskiego Urzędu Nadzoru Bankowego), zmiany decyzji nr 716/2009/WE oraz uchylenia decyzji Komisji 2009/78/WE (Dz.U. L 331 z 15.12.2010, s. 12, ELI: http://data.europa.eu/eli/reg/2010/1093/oj).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35</w:t>
            </w:r>
            <w:r>
              <w:t xml:space="preserve"> </w:t>
            </w:r>
            <w:r>
              <w:t>Rozporządzenie Parlamentu Europejskiego i Rady (UE) nr 1094/2010 z dnia 24 listopada 2010 r. w sprawie ustanowienia Europejskiego Urzędu Nadzoru (Europejskiego Urzędu Nadzoru Ubezpieczeń i Pracowniczych Programów Emerytalnych), zmiany decyzji nr 716/2009/WE i uchylenia decyzji Komisji 2009/79/WE (Dz.U. L 331 z 15.12.2010, s. 48, ELI: http://data.europa.eu/eli/reg/2010/1094/oj).</w:t>
            </w:r>
          </w:p>
        </w:tc>
        <w:tc>
          <w:tcPr>
            <w:tcW w:w="4876" w:type="dxa"/>
            <w:tcBorders>
              <w:top w:val="nil"/>
              <w:left w:val="nil"/>
              <w:bottom w:val="nil"/>
              <w:right w:val="nil"/>
            </w:tcBorders>
          </w:tcPr>
          <w:p>
            <w:pPr>
              <w:pStyle w:val="Normal6a"/>
            </w:pPr>
            <w:r>
              <w:rPr>
                <w:vertAlign w:val="superscript"/>
              </w:rPr>
              <w:t>35</w:t>
            </w:r>
            <w:r>
              <w:t xml:space="preserve"> </w:t>
            </w:r>
            <w:r>
              <w:t>Rozporządzenie Parlamentu Europejskiego i Rady (UE) nr 1094/2010 z dnia 24 listopada 2010 r. w sprawie ustanowienia Europejskiego Urzędu Nadzoru (Europejskiego Urzędu Nadzoru Ubezpieczeń i Pracowniczych Programów Emerytalnych), zmiany decyzji nr 716/2009/WE i uchylenia decyzji Komisji 2009/79/WE (Dz.U. L 331 z 15.12.2010, s. 48, ELI: http://data.europa.eu/eli/reg/2010/1094/oj).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36</w:t>
            </w:r>
            <w:r>
              <w:t xml:space="preserve"> </w:t>
            </w:r>
            <w:r>
              <w:t xml:space="preserve">Rozporządzenie Parlamentu Europejskiego i Rady (UE) nr 1095/2010 z dnia 24 listopada 2010 r. w sprawie ustanowienia Europejskiego Urzędu Nadzoru (Europejskiego Urzędu Nadzoru Giełd i Papierów Wartościowych), zmiany decyzji nr 716/2009/WE </w:t>
            </w:r>
            <w:r>
              <w:rPr>
                <w:b/>
                <w:i/>
              </w:rPr>
              <w:t>oraz</w:t>
            </w:r>
            <w:r>
              <w:t xml:space="preserve"> uchylenia decyzji Komisji 2009/77/WE (Dz.U. L 331 z 15.12.2010, s. 84, ELI: http://data.europa.eu/eli/reg/2010/1095/oj).</w:t>
            </w:r>
          </w:p>
        </w:tc>
        <w:tc>
          <w:tcPr>
            <w:tcW w:w="4876" w:type="dxa"/>
            <w:tcBorders>
              <w:top w:val="nil"/>
              <w:left w:val="nil"/>
              <w:bottom w:val="nil"/>
              <w:right w:val="nil"/>
            </w:tcBorders>
          </w:tcPr>
          <w:p>
            <w:pPr>
              <w:pStyle w:val="Normal6a"/>
            </w:pPr>
            <w:r>
              <w:rPr>
                <w:vertAlign w:val="superscript"/>
              </w:rPr>
              <w:t>36</w:t>
            </w:r>
            <w:r>
              <w:t xml:space="preserve"> </w:t>
            </w:r>
            <w:r>
              <w:t xml:space="preserve">Rozporządzenie Parlamentu Europejskiego i Rady (UE) nr 1095/2010 z dnia 24 listopada 2010 r. w sprawie ustanowienia Europejskiego Urzędu Nadzoru (Europejskiego Urzędu Nadzoru Giełd i Papierów Wartościowych), zmiany decyzji nr 716/2009/WE </w:t>
            </w:r>
            <w:r>
              <w:rPr>
                <w:b/>
                <w:i/>
              </w:rPr>
              <w:t>i</w:t>
            </w:r>
            <w:r>
              <w:t xml:space="preserve"> uchylenia decyzji Komisji 2009/77/WE (Dz.U. L 331 z 15.12.2010, s. 84, ELI: http://data.europa.eu/eli/reg/2010/1095/oj).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37</w:t>
            </w:r>
            <w:r>
              <w:t xml:space="preserve"> </w:t>
            </w:r>
            <w:r>
              <w:t>Porozumienie międzyinstytucjonalne pomiędzy Parlamentem Europejskim, Radą Unii Europejskiej a Komisją Europejską w sprawie lepszego stanowienia prawa (Dz.U. L 123 z 12.5.2016, s. 1, ELI: http://data.europa.eu/eli/agree_interinstit/2016/512/oj).</w:t>
            </w:r>
          </w:p>
        </w:tc>
        <w:tc>
          <w:tcPr>
            <w:tcW w:w="4876" w:type="dxa"/>
            <w:tcBorders>
              <w:top w:val="nil"/>
              <w:left w:val="nil"/>
              <w:bottom w:val="nil"/>
              <w:right w:val="nil"/>
            </w:tcBorders>
          </w:tcPr>
          <w:p>
            <w:pPr>
              <w:pStyle w:val="Normal6a"/>
            </w:pPr>
            <w:r>
              <w:rPr>
                <w:vertAlign w:val="superscript"/>
              </w:rPr>
              <w:t>37</w:t>
            </w:r>
            <w:r>
              <w:t xml:space="preserve"> </w:t>
            </w:r>
            <w:r>
              <w:t>Porozumienie międzyinstytucjonalne pomiędzy Parlamentem Europejskim, Radą Unii Europejskiej a Komisją Europejską w sprawie lepszego stanowienia prawa (Dz.U. L 123 z 12.5.2016, s. 1, ELI: http://data.europa.eu/eli/agree_interinstit/2016/512/oj).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Lara Wolters, Jonás Fernández, Aurore Lalucq, Niels Fuglsang, Evelyn Regner, César Luena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Komisji należy przekazać uprawnienia do przyjmowania aktów zgodnie z art. 290 Traktatu o funkcjonowaniu Unii Europejskiej, aby umożliwić określenie warunków, na jakich inwestycje mają przyczyniać się do realizacji określonych celów związanych z transformacją lub zrównoważonym rozwojem bądź uwzględniać czynniki zrównoważonego rozwoju do celów klasyfikacji produktów finansowych jako produkty związane ze zrównoważonym rozwojem, a także w odniesieniu do szablonów ujawniania informacji dotyczących takich produktów finansowych. Szczególnie ważne jest, aby w czasie prac przygotowawczych Komisja prowadziła stosowne konsultacje, w tym z Europejskimi Urzędami Nadzoru ustanowionymi rozporządzeniem Parlamentu Europejskiego i Rady (UE) nr 1093/2010</w:t>
            </w:r>
            <w:r>
              <w:rPr>
                <w:vertAlign w:val="superscript"/>
              </w:rPr>
              <w:t>34</w:t>
            </w:r>
            <w:r>
              <w:t>, rozporządzeniem Parlamentu Europejskiego i Rady (UE) nr 1094/2010</w:t>
            </w:r>
            <w:r>
              <w:rPr>
                <w:vertAlign w:val="superscript"/>
              </w:rPr>
              <w:t>35</w:t>
            </w:r>
            <w:r>
              <w:t>i rozporządzeniem Parlamentu Europejskiego i Rady (UE) nr 1095/2010</w:t>
            </w:r>
            <w:r>
              <w:rPr>
                <w:vertAlign w:val="superscript"/>
              </w:rPr>
              <w:t>36</w:t>
            </w:r>
            <w:r>
              <w:t xml:space="preserve">, a także, w stosownych przypadkach, z grupą ekspertów z państw członkowskich ds. zrównoważonego finansowania. Europejskie Urzędy Nadzoru powinny również wspierać Komisję w przeprowadzaniu odpowiednich badań wśród konsumentów i inwestorów, aby </w:t>
            </w:r>
            <w:r>
              <w:rPr>
                <w:b/>
                <w:i/>
              </w:rPr>
              <w:t>uzyskać informacje na temat sposobu, w jaki dystrybutorzy</w:t>
            </w:r>
            <w:r>
              <w:t xml:space="preserve"> produktów </w:t>
            </w:r>
            <w:r>
              <w:rPr>
                <w:b/>
                <w:i/>
              </w:rPr>
              <w:t>w jak najlepszy sposób identyfikują produkty odpowiadające preferencjom klientów w zakresie zrównoważonego rozwoju zgodnie z rozporządzeniem delegowanym Komisji (UE) 2017/565, dyrektywą delegowaną Komisji (UE) 2017/593 oraz rozporządzeniami delegowanymi Komisji (UE) 2017/2358 i (UE) 2017/2359, w oparciu o klasyfikację, oraz zapewnić, aby związane z tym szczegółowe</w:t>
            </w:r>
            <w:r>
              <w:t xml:space="preserve"> informacje </w:t>
            </w:r>
            <w:r>
              <w:rPr>
                <w:b/>
                <w:i/>
              </w:rPr>
              <w:t>dla inwestorów</w:t>
            </w:r>
            <w:r>
              <w:t xml:space="preserve"> były łatwo zrozumiałe we wszystkich językach urzędowych Unii. Konsultacje te powinny być prowadzone zgodnie z zasadami określonymi w Porozumieniu międzyinstytucjonalnym w sprawie lepszego stanowienia prawa z dnia 13 kwietnia 2016 </w:t>
            </w:r>
            <w:r>
              <w:rPr>
                <w:b/>
                <w:i/>
              </w:rPr>
              <w:t>r.</w:t>
            </w:r>
            <w:r>
              <w:rPr>
                <w:vertAlign w:val="superscript"/>
              </w:rPr>
              <w:t>37</w:t>
            </w:r>
            <w:r>
              <w:t>W szczególności, aby zapewnić Parlamentowi Europejskiemu i Radzie udział na równych zasadach w przygotowaniu aktów delegowanych, instytucje te powinny otrzymywać wszelkie dokumenty w tym samym czasie co eksperci państw członkowskich, a eksperci tych instytucji powinni mieć możliwość systematycznego udziału w posiedzeniach grup eksperckich Komisji zajmujących się przygotowaniem aktów delegowanych.</w:t>
            </w:r>
          </w:p>
        </w:tc>
        <w:tc>
          <w:tcPr>
            <w:tcW w:w="4876" w:type="dxa"/>
            <w:tcBorders>
              <w:top w:val="nil"/>
              <w:left w:val="nil"/>
              <w:bottom w:val="nil"/>
              <w:right w:val="nil"/>
            </w:tcBorders>
          </w:tcPr>
          <w:p>
            <w:pPr>
              <w:pStyle w:val="Normal6a"/>
            </w:pPr>
            <w:r>
              <w:t>(27)</w:t>
            </w:r>
            <w:r>
              <w:tab/>
            </w:r>
            <w:r>
              <w:t>Komisji należy przekazać uprawnienia do przyjmowania aktów zgodnie z art. 290 Traktatu o funkcjonowaniu Unii Europejskiej, aby umożliwić określenie warunków, na jakich inwestycje mają przyczyniać się do realizacji określonych celów związanych z transformacją lub zrównoważonym rozwojem bądź uwzględniać czynniki zrównoważonego rozwoju do celów klasyfikacji produktów finansowych jako produkty związane ze zrównoważonym rozwojem, a także w odniesieniu do szablonów ujawniania informacji dotyczących takich produktów finansowych. Szczególnie ważne jest, aby w czasie prac przygotowawczych Komisja prowadziła stosowne konsultacje, w tym z Europejskimi Urzędami Nadzoru ustanowionymi rozporządzeniem Parlamentu Europejskiego i Rady (UE) nr 1093/2010</w:t>
            </w:r>
            <w:r>
              <w:rPr>
                <w:vertAlign w:val="superscript"/>
              </w:rPr>
              <w:t>34</w:t>
            </w:r>
            <w:r>
              <w:t>, rozporządzeniem Parlamentu Europejskiego i Rady (UE) nr 1094/2010</w:t>
            </w:r>
            <w:r>
              <w:rPr>
                <w:vertAlign w:val="superscript"/>
              </w:rPr>
              <w:t>35</w:t>
            </w:r>
            <w:r>
              <w:t xml:space="preserve"> i rozporządzeniem Parlamentu Europejskiego i Rady (UE) nr 1095/2010</w:t>
            </w:r>
            <w:r>
              <w:rPr>
                <w:vertAlign w:val="superscript"/>
              </w:rPr>
              <w:t>36</w:t>
            </w:r>
            <w:r>
              <w:t xml:space="preserve">, a także, w stosownych przypadkach, z grupą ekspertów z państw członkowskich ds. zrównoważonego finansowania. Europejskie Urzędy Nadzoru powinny również wspierać Komisję w przeprowadzaniu odpowiednich badań wśród konsumentów i inwestorów, aby </w:t>
            </w:r>
            <w:r>
              <w:rPr>
                <w:b/>
                <w:i/>
              </w:rPr>
              <w:t>ocenić jasność, zrozumiałość i użyteczność informacji ujawnianych inwestorom w związku z kategoryzacją</w:t>
            </w:r>
            <w:r>
              <w:t xml:space="preserve"> produktów </w:t>
            </w:r>
            <w:r>
              <w:rPr>
                <w:b/>
                <w:i/>
              </w:rPr>
              <w:t>finansowych na podstawie niniejszego rozporządzenia, w tym w zapewnianiu, aby takie ujawniane</w:t>
            </w:r>
            <w:r>
              <w:t xml:space="preserve"> informacje były łatwo zrozumiałe we wszystkich językach urzędowych Unii. Konsultacje te powinny być prowadzone zgodnie z zasadami określonymi w Porozumieniu międzyinstytucjonalnym w sprawie lepszego stanowienia prawa z dnia 13 kwietnia 2016 </w:t>
            </w:r>
            <w:r>
              <w:rPr>
                <w:b/>
                <w:i/>
              </w:rPr>
              <w:t>roku</w:t>
            </w:r>
            <w:r>
              <w:rPr>
                <w:vertAlign w:val="superscript"/>
              </w:rPr>
              <w:t>37</w:t>
            </w:r>
            <w:r>
              <w:rPr>
                <w:b/>
                <w:i/>
              </w:rPr>
              <w:t>.</w:t>
            </w:r>
            <w:r>
              <w:t xml:space="preserve"> W szczególności, aby zapewnić Parlamentowi Europejskiemu i Radzie udział na równych zasadach w przygotowaniu aktów delegowanych, instytucje te powinny otrzymywać wszelkie dokumenty w tym samym czasie co eksperci państw członkowskich, a eksperci tych instytucji powinni mieć możliwość systematycznego udziału w posiedzeniach grup eksperckich Komisji zajmujących się przygotowaniem aktów delegowanych.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34</w:t>
            </w:r>
            <w:r>
              <w:t xml:space="preserve"> </w:t>
            </w:r>
            <w:r>
              <w:t>Rozporządzenie Parlamentu Europejskiego i Rady (UE) nr 1093/2010 z dnia 24 listopada 2010 r. w sprawie ustanowienia Europejskiego Urzędu Nadzoru (Europejskiego Urzędu Nadzoru Bankowego), zmiany decyzji nr 716/2009/WE oraz uchylenia decyzji Komisji 2009/78/WE (Dz.U. L 331 z 15.12.2010, s. 12, ELI: http://data.europa.eu/eli/reg/2010/1093/oj).</w:t>
            </w:r>
          </w:p>
        </w:tc>
        <w:tc>
          <w:tcPr>
            <w:tcW w:w="4876" w:type="dxa"/>
            <w:tcBorders>
              <w:top w:val="nil"/>
              <w:left w:val="nil"/>
              <w:bottom w:val="nil"/>
              <w:right w:val="nil"/>
            </w:tcBorders>
          </w:tcPr>
          <w:p>
            <w:pPr>
              <w:pStyle w:val="Normal6a"/>
            </w:pPr>
            <w:r>
              <w:rPr>
                <w:vertAlign w:val="superscript"/>
              </w:rPr>
              <w:t>34</w:t>
            </w:r>
            <w:r>
              <w:t xml:space="preserve"> </w:t>
            </w:r>
            <w:r>
              <w:t>Rozporządzenie Parlamentu Europejskiego i Rady (UE) nr 1093/2010 z dnia 24 listopada 2010 r. w sprawie ustanowienia Europejskiego Urzędu Nadzoru (Europejskiego Urzędu Nadzoru Bankowego), zmiany decyzji nr 716/2009/WE oraz uchylenia decyzji Komisji 2009/78/WE (Dz.U. L 331 z 15.12.2010, s. 12, ELI: http://data.europa.eu/eli/reg/2010/1093/oj).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35</w:t>
            </w:r>
            <w:r>
              <w:t xml:space="preserve"> </w:t>
            </w:r>
            <w:r>
              <w:t>Rozporządzenie Parlamentu Europejskiego i Rady (UE) nr 1094/2010 z dnia 24 listopada 2010 r. w sprawie ustanowienia Europejskiego Urzędu Nadzoru (Europejskiego Urzędu Nadzoru Ubezpieczeń i Pracowniczych Programów Emerytalnych), zmiany decyzji nr 716/2009/WE i uchylenia decyzji Komisji 2009/79/WE (Dz.U. L 331 z 15.12.2010, s. 48, ELI: http://data.europa.eu/eli/reg/2010/1094/oj).</w:t>
            </w:r>
          </w:p>
        </w:tc>
        <w:tc>
          <w:tcPr>
            <w:tcW w:w="4876" w:type="dxa"/>
            <w:tcBorders>
              <w:top w:val="nil"/>
              <w:left w:val="nil"/>
              <w:bottom w:val="nil"/>
              <w:right w:val="nil"/>
            </w:tcBorders>
          </w:tcPr>
          <w:p>
            <w:pPr>
              <w:pStyle w:val="Normal6a"/>
            </w:pPr>
            <w:r>
              <w:rPr>
                <w:vertAlign w:val="superscript"/>
              </w:rPr>
              <w:t>35</w:t>
            </w:r>
            <w:r>
              <w:t xml:space="preserve"> </w:t>
            </w:r>
            <w:r>
              <w:t>Rozporządzenie Parlamentu Europejskiego i Rady (UE) nr 1094/2010 z dnia 24 listopada 2010 r. w sprawie ustanowienia Europejskiego Urzędu Nadzoru (Europejskiego Urzędu Nadzoru Ubezpieczeń i Pracowniczych Programów Emerytalnych), zmiany decyzji nr 716/2009/WE i uchylenia decyzji Komisji 2009/79/WE (Dz.U. L 331 z 15.12.2010, s. 48, ELI: http://data.europa.eu/eli/reg/2010/1094/oj).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36</w:t>
            </w:r>
            <w:r>
              <w:t xml:space="preserve"> </w:t>
            </w:r>
            <w:r>
              <w:t xml:space="preserve">Rozporządzenie Parlamentu Europejskiego i Rady (UE) nr 1095/2010 z dnia 24 listopada 2010 r. w sprawie ustanowienia Europejskiego Urzędu Nadzoru (Europejskiego Urzędu Nadzoru Giełd i Papierów Wartościowych), zmiany decyzji nr 716/2009/WE </w:t>
            </w:r>
            <w:r>
              <w:rPr>
                <w:b/>
                <w:i/>
              </w:rPr>
              <w:t>oraz</w:t>
            </w:r>
            <w:r>
              <w:t xml:space="preserve"> uchylenia decyzji Komisji 2009/77/WE (Dz.U. L 331 z 15.12.2010, s. 84, ELI: http://data.europa.eu/eli/reg/2010/1095/oj).</w:t>
            </w:r>
          </w:p>
        </w:tc>
        <w:tc>
          <w:tcPr>
            <w:tcW w:w="4876" w:type="dxa"/>
            <w:tcBorders>
              <w:top w:val="nil"/>
              <w:left w:val="nil"/>
              <w:bottom w:val="nil"/>
              <w:right w:val="nil"/>
            </w:tcBorders>
          </w:tcPr>
          <w:p>
            <w:pPr>
              <w:pStyle w:val="Normal6a"/>
            </w:pPr>
            <w:r>
              <w:rPr>
                <w:vertAlign w:val="superscript"/>
              </w:rPr>
              <w:t>36</w:t>
            </w:r>
            <w:r>
              <w:t xml:space="preserve"> </w:t>
            </w:r>
            <w:r>
              <w:t xml:space="preserve">Rozporządzenie Parlamentu Europejskiego i Rady (UE) nr 1095/2010 z dnia 24 listopada 2010 r. w sprawie ustanowienia Europejskiego Urzędu Nadzoru (Europejskiego Urzędu Nadzoru Giełd i Papierów Wartościowych), zmiany decyzji nr 716/2009/WE </w:t>
            </w:r>
            <w:r>
              <w:rPr>
                <w:b/>
                <w:i/>
              </w:rPr>
              <w:t>i</w:t>
            </w:r>
            <w:r>
              <w:t xml:space="preserve"> uchylenia decyzji Komisji 2009/77/WE (Dz.U. L 331 z 15.12.2010, s. 84, ELI: http://data.europa.eu/eli/reg/2010/1095/oj).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37</w:t>
            </w:r>
            <w:r>
              <w:t xml:space="preserve"> </w:t>
            </w:r>
            <w:r>
              <w:t>Porozumienie międzyinstytucjonalne pomiędzy Parlamentem Europejskim, Radą Unii Europejskiej a Komisją Europejską w sprawie lepszego stanowienia prawa (Dz.U. L 123 z 12.5.2016, s. 1, ELI: http://data.europa.eu/eli/agree_interinstit/2016/512/oj).</w:t>
            </w:r>
          </w:p>
        </w:tc>
        <w:tc>
          <w:tcPr>
            <w:tcW w:w="4876" w:type="dxa"/>
            <w:tcBorders>
              <w:top w:val="nil"/>
              <w:left w:val="nil"/>
              <w:bottom w:val="nil"/>
              <w:right w:val="nil"/>
            </w:tcBorders>
          </w:tcPr>
          <w:p>
            <w:pPr>
              <w:pStyle w:val="Normal6a"/>
            </w:pPr>
            <w:r>
              <w:rPr>
                <w:vertAlign w:val="superscript"/>
              </w:rPr>
              <w:t>37</w:t>
            </w:r>
            <w:r>
              <w:t xml:space="preserve"> </w:t>
            </w:r>
            <w:r>
              <w:t>Porozumienie międzyinstytucjonalne pomiędzy Parlamentem Europejskim, Radą Unii Europejskiej a Komisją Europejską w sprawie lepszego stanowienia prawa (Dz.U. L 123 z 12.5.2016, s. 1, ELI: http://data.europa.eu/eli/agree_interinstit/2016/512/oj).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27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(27a)</w:t>
            </w:r>
            <w:r>
              <w:tab/>
            </w:r>
            <w:r>
              <w:rPr>
                <w:b/>
                <w:i/>
              </w:rPr>
              <w:t>Komisja powinna nadal dążyć do całościowego i zintegrowanego podejścia do zrównoważonego finansowania, zmierzając do wprowadzenia zharmonizowanego i opartego na podstawach naukowych pomiaru, obejmującego cały cykl życia i łańcuch wartości, wskaźników środowiskowych i społecznych oraz standardów obliczeniowych na równi z ekwiwalentami finansowymi, przy jednoczesnym rzeczywistym uproszczeniu wdrażania dla przedsiębiorstw poprzez zintegrowaną sprawozdawczość w jednym sprawozdaniu rocznym.</w:t>
            </w:r>
            <w:r>
              <w:t xml:space="preserve"> </w:t>
            </w:r>
            <w:r>
              <w:rPr>
                <w:b/>
                <w:i/>
              </w:rPr>
              <w:t>Wymaga to równoległego opracowania scentralizowanego cyfrowego interfejsu sprawozdawczości i platformy na potrzeby sprawozdań nadających się do odczytu maszynowego, w oparciu o europejski pojedynczy punkt dostępu, aby ułatwić zarówno pracę przedsiębiorstw w zakresie sprawozdawczości, jak i porównywanie informacji przez inwestorów.</w:t>
            </w:r>
            <w:r>
              <w:t xml:space="preserve"> </w:t>
            </w:r>
            <w:r>
              <w:rPr>
                <w:b/>
                <w:i/>
              </w:rPr>
              <w:t>Zrównoważone finansowanie wymaga wspólnej metodyki, aby umożliwić porównywanie wskaźników zrównoważonego rozwoju w ramach różnych gałęzi przemysłu i między nimi.</w:t>
            </w:r>
            <w:r>
              <w:t xml:space="preserve"> </w:t>
            </w:r>
            <w:r>
              <w:rPr>
                <w:b/>
                <w:i/>
              </w:rPr>
              <w:t>Zamiast progów binarnych należy zająć się kwestią transformacji i klasyfikacji przedsiębiorstw jako zrównoważonych na skalę, w której przedsiębiorstwa są w stanie ocenić swoją ścieżkę transformacji i kroki w jaśniejszy sposób:</w:t>
            </w:r>
            <w:r>
              <w:t xml:space="preserve"> </w:t>
            </w:r>
            <w:r>
              <w:rPr>
                <w:b/>
                <w:i/>
              </w:rPr>
              <w:t>najlepiej sformułować ruchome cele na potrzeby postępu oraz jasno określić pierwsze i drugie czynniki ryzyka istotności stanowiące drugi koniec skali.</w:t>
            </w:r>
            <w:r>
              <w:t xml:space="preserve"> </w:t>
            </w:r>
            <w:r>
              <w:rPr>
                <w:b/>
                <w:i/>
              </w:rPr>
              <w:t>Miejsce przedsiębiorstw na skali jest zgłaszane i oceniane na podstawie ich skontrolowanych planów transformacji i ich wdrażania.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Stéphanie Yon-Courtin, Pascal Canfin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29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(29a)</w:t>
            </w:r>
            <w:r>
              <w:tab/>
            </w:r>
            <w:r>
              <w:rPr>
                <w:b/>
                <w:i/>
              </w:rPr>
              <w:t>Przegląd rozporządzenia (UE) nr 1286/2014 w ramach pakietu dotyczącego strategii inwestycji detalicznych ma na celu wspieranie celów unii oszczędności i inwestycji, a mianowicie poprawy dostępu do rynków finansowych, zwiększenia oferty dla konsumentów i wzmocnienia zdolności inwestorów detalicznych do podejmowania świadomych decyzji inwestycyjnych.</w:t>
            </w:r>
            <w:r>
              <w:t xml:space="preserve"> </w:t>
            </w:r>
            <w:r>
              <w:rPr>
                <w:b/>
                <w:i/>
              </w:rPr>
              <w:t>W tym kontekście zmiany w ujawnianiu informacji związanych ze zrównoważonym rozwojem na podstawie rozporządzenia w sprawie ujawniania informacji związanych ze zrównoważonym rozwojem w sektorze usług finansowych powinny prowadzić do tego, że konsumenci otrzymują wyczerpujące, ale łatwe do zrozumienia informacje, a jednocześnie pozostawiać wystarczającą elastyczność, aby szczegółowy projekt i prezentacja takich informacji były opracowywane i walidowane w drodze testów konsumenckich i branżowych;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Stéphanie Yon-Courtin, Pascal Canfin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29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(29b)</w:t>
            </w:r>
            <w:r>
              <w:tab/>
            </w:r>
            <w:r>
              <w:rPr>
                <w:b/>
                <w:i/>
              </w:rPr>
              <w:t>Doświadczenia związane z obecnymi przepisami pokazały, że zbyt długie lub skomplikowane dokumenty informacyjne mogą zmniejszyć ich skuteczność i zniechęcać inwestorów detalicznych do korzystania z przekazywanych informacji.</w:t>
            </w:r>
            <w:r>
              <w:t xml:space="preserve"> </w:t>
            </w:r>
            <w:r>
              <w:rPr>
                <w:b/>
                <w:i/>
              </w:rPr>
              <w:t>Należy zatem zadbać, aby treść i prezentacja informacji w dokumencie zawierającym kluczowe informacje nadal koncentrowały się na informacjach mających największe znaczenie dla inwestorów detalicznych, przy jednoczesnym zachowaniu ochrony konsumentów.</w:t>
            </w:r>
            <w:r>
              <w:t xml:space="preserve"> </w:t>
            </w:r>
            <w:r>
              <w:rPr>
                <w:b/>
                <w:i/>
              </w:rPr>
              <w:t>W tym celu zmiana rozporządzenia (UE) nr 1286/2014 w ramach pakietu dotyczącego strategii inwestycji detalicznych dba o systemowe określanie sposobu prezentacji wszystkich kluczowych informacji dotyczących PRIIP na podstawie informacji zebranych w ramach badań konsumenckich.</w:t>
            </w:r>
            <w:r>
              <w:t xml:space="preserve"> </w:t>
            </w:r>
            <w:r>
              <w:rPr>
                <w:b/>
                <w:i/>
              </w:rPr>
              <w:t>Badania konsumenckie i branżowe powinny pozostać odpowiednim narzędziem, które determinuje prezentację informacji w najprostszy i najbardziej zrozumiały dla konsumentów sposób, czy to za pomocą wykresów, tekstu, czy innych formatów, które ułatwiają zrozumienie i umożliwiają konsumentom podejmowanie świadomych decyzji;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Markus Ferber, Janusz Lewandowski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 xml:space="preserve">Uczestnicy rynku finansowego </w:t>
            </w:r>
            <w:r>
              <w:rPr>
                <w:b/>
                <w:i/>
              </w:rPr>
              <w:t>zaczną stosować niniejsze rozporządzenie do ubezpieczeniowych produktów inwestycyjnych, produktów emerytalnych, programów emerytalnych i OIPE po upływie 12 miesięcy</w:t>
            </w:r>
            <w:r>
              <w:t xml:space="preserve"> od daty rozpoczęcia stosowania niniejszego rozporządzenia</w:t>
            </w:r>
            <w:r>
              <w:rPr>
                <w:b/>
                <w:i/>
              </w:rPr>
              <w:t>.</w:t>
            </w:r>
            <w:r>
              <w:t xml:space="preserve"> </w:t>
            </w:r>
            <w:r>
              <w:rPr>
                <w:b/>
                <w:i/>
              </w:rPr>
              <w:t>Produkty te nie są objęte wytycznymi ESMA dotyczącymi nazw funduszy, dlatego też w ich przypadku wdrożenie nowych kryteriów bazowych, a zwłaszcza wyłączeń, będzie wymagało więcej czasu</w:t>
            </w:r>
            <w:r>
              <w:t>.</w:t>
            </w:r>
          </w:p>
        </w:tc>
        <w:tc>
          <w:tcPr>
            <w:tcW w:w="4876" w:type="dxa"/>
            <w:tcBorders>
              <w:top w:val="nil"/>
              <w:left w:val="nil"/>
              <w:bottom w:val="nil"/>
              <w:right w:val="nil"/>
            </w:tcBorders>
          </w:tcPr>
          <w:p>
            <w:pPr>
              <w:pStyle w:val="Normal6a"/>
            </w:pPr>
            <w:r>
              <w:t>(32)</w:t>
            </w:r>
            <w:r>
              <w:tab/>
            </w:r>
            <w:r>
              <w:rPr>
                <w:b/>
                <w:i/>
              </w:rPr>
              <w:t>Produkty finansowe, które zostały wprowadzone do obrotu zgodnie z rozporządzeniem (UE) 2019/2088 przed datą rozpoczęcia stosowania niniejszego rozporządzenia, mogą zawierać mierzalne zobowiązania dotyczące zrównoważonego rozwoju, w tym minimalny udział zrównoważonych inwestycji i zobowiązanie do przestrzegania zasady „nie czyń poważnych szkód”, które opracowano na podstawie definicji i pojęć zniesionych niniejszym rozporządzeniem.</w:t>
            </w:r>
            <w:r>
              <w:t xml:space="preserve"> </w:t>
            </w:r>
            <w:r>
              <w:rPr>
                <w:b/>
                <w:i/>
              </w:rPr>
              <w:t>Zobowiązanie uczestników rynku finansowego do dalszego wywiązywania się z tych zobowiązań na mocy prawa Unii po dacie rozpoczęcia stosowania naraziłoby ich na obowiązki wynikające ze zniesionych przepisów i mogłoby uniemożliwić odpowiednie zarządzanie portfelem w interesie inwestorów.</w:t>
            </w:r>
            <w:r>
              <w:t xml:space="preserve"> Uczestnicy rynku finansowego </w:t>
            </w:r>
            <w:r>
              <w:rPr>
                <w:b/>
                <w:i/>
              </w:rPr>
              <w:t>powinni zatem zostać zwolnieni z takich zobowiązań na mocy prawa Unii</w:t>
            </w:r>
            <w:r>
              <w:t xml:space="preserve"> od daty rozpoczęcia stosowania niniejszego rozporządzenia</w:t>
            </w:r>
            <w:r>
              <w:rPr>
                <w:b/>
                <w:i/>
              </w:rPr>
              <w:t>, z zastrzeżeniem proporcjonalnego obowiązku informowania obecnych inwestorów o wynikających z tego zmianach.</w:t>
            </w:r>
            <w:r>
              <w:t xml:space="preserve"> </w:t>
            </w:r>
            <w:r>
              <w:rPr>
                <w:b/>
                <w:i/>
              </w:rPr>
              <w:t>Obowiązek poinformowania nie powinien wymagać pełnej ponownej oceny produktu lub preferencji inwestora w zakresie zrównoważonego rozwoju i powinno się móc go wypełnić w ramach kolejnego sprawozdania okresowego dla inwestorów</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Denis Nesci, Francesco Ventola, Mariateresa Vivaldini, Marco Falcone, Marco Squarta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32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(32a)</w:t>
            </w:r>
            <w:r>
              <w:tab/>
            </w:r>
            <w:r>
              <w:rPr>
                <w:b/>
                <w:i/>
              </w:rPr>
              <w:t>Biorąc pod uwagę istotną rolę niniejszego rozporządzenia w unijnych ramach zrównoważonego finansowania, przejście na zmieniony system powinno być jasne, przewidywalne i dobrze skoordynowane, w tym przez ścisłe dostosowanie środków poziomu 1 i 2 oraz spójność z rozporządzeniem (UE) 2020/852, rozporządzeniem (UE) 2016/1011, dyrektywą 2014/65/UE i wytycznymi ESMA w sprawie używania w nazwach funduszy terminów związanych z ESG lub zrównoważonym rozwojem.</w:t>
            </w:r>
            <w:r>
              <w:t xml:space="preserve"> </w:t>
            </w:r>
            <w:r>
              <w:rPr>
                <w:b/>
                <w:i/>
              </w:rPr>
              <w:t>W stosownych przypadkach należy rozważyć środki przejściowe w celu zmniejszenia zbędnych obciążeń operacyjnych bez uszczerbku dla celów niniejszego rozporządzenia.</w:t>
            </w:r>
            <w:r>
              <w:t xml:space="preserve"> </w:t>
            </w:r>
            <w:r>
              <w:rPr>
                <w:b/>
                <w:i/>
              </w:rPr>
              <w:t>Po rozpoczęciu stosowania niniejszego rozporządzenia kwestie wyczerpująco zharmonizowane niniejszym rozporządzeniem, w tym system klasyfikacji produktów finansowych związanych ze zrównoważonym rozwojem, powinny zostać objęte niniejszym rozporządzeniem, a wszelkie pokrywające się wytyczne nadzorcze należy interpretować w sposób z nim spójny, przy czym w przypadku niespójności pierwszeństwo ma niniejsze rozporządzenie.</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Markus Ferber, Janusz Lewandowski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Motyw 33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(33a)</w:t>
            </w:r>
            <w:r>
              <w:tab/>
            </w:r>
            <w:r>
              <w:rPr>
                <w:b/>
                <w:i/>
              </w:rPr>
              <w:t>Aby zmniejszyć obciążenie regulacyjne oraz zadbać o spójne i skuteczne wdrożenie niniejszego rozporządzenia, nie powinno ono mieć zastosowania do czasu wejścia w życie aktów delegowanych niezbędnych do jego funkcjonowania.</w:t>
            </w:r>
            <w:r>
              <w:t xml:space="preserve"> </w:t>
            </w:r>
            <w:r>
              <w:rPr>
                <w:b/>
                <w:i/>
              </w:rPr>
              <w:t>W szczególności rozporządzenie delegowane Komisji, które ma zostać przyjęte na podstawie art. 19c niniejszego rozporządzenia, a także odpowiednie zmiany rozporządzenia delegowanego Komisji (UE) 2017/565 i rozporządzenia delegowanego Komisji (UE) 2017/2359 zmieniającego wymogi dotyczące preferencji w zakresie zrównoważonego rozwoju na podstawie dyrektywy 2014/65/UE i dyrektywy (UE) 2016/97 powinny wejść w życie przed datą rozpoczęcia stosowania niniejszego rozporządzenia, tak aby system kategoryzacji ustanowiony niniejszym rozporządzeniem, wzory do celów ujawniania informacji służące jego wykonaniu oraz ramy dystrybucji, za pomocą których docierają one do inwestorów końcowych, funkcjonowały jako spójna i kompletna całość od daty rozpoczęcia stosowania niniejszego rozporządzenia.</w:t>
            </w:r>
            <w:r>
              <w:t xml:space="preserve"> </w:t>
            </w:r>
            <w:r>
              <w:rPr>
                <w:b/>
                <w:i/>
              </w:rPr>
              <w:t>Okres wdrażania, który rozpocznie się przed ustanowieniem szczegółowych przepisów, nie miałby zastosowania.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Doświadczenia ze stosowania SFDR 1.0 pokazały, że wprowadzenie poziomu 1 przed poziomem 2 wiąże się z nieproporcjonalnymi kosztami i nie zapewnia jasności.</w:t>
      </w:r>
      <w:r>
        <w:t xml:space="preserve"> </w:t>
      </w:r>
      <w:r>
        <w:t>Aby uniknąć niepewności na etapie wdrażania, należy wybrać podejście etapowe.</w:t>
      </w:r>
    </w:p>
    <w:p>
      <w:r>
        <w:rPr>
          <w:rStyle w:val="HideTWBExt"/>
        </w:rPr>
        <w:t>&lt;/Amend&gt;</w:t>
      </w:r>
    </w:p>
    <w:p>
      <w:pPr>
        <w:pStyle w:val="AmNumberTabs"/>
      </w:pPr>
      <w:r>
        <w:rPr>
          <w:rStyle w:val="HideTWBExt"/>
        </w:rPr>
        <w:t>&lt;Amend&gt;</w:t>
      </w:r>
      <w:r>
        <w:t>Poprawka</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Martin Günther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ustęp 1 – punkt 2 – litera a</w:t>
      </w:r>
      <w:r>
        <w:rPr>
          <w:rStyle w:val="HideTWBExt"/>
        </w:rPr>
        <w:t>&lt;/Article&gt;</w:t>
      </w:r>
    </w:p>
    <w:p>
      <w:r>
        <w:rPr>
          <w:rStyle w:val="HideTWBExt"/>
        </w:rPr>
        <w:t>&lt;DocAmend2&gt;</w:t>
      </w:r>
      <w:r>
        <w:t>Rozporządzenie (UE) 2019/2088</w:t>
      </w:r>
      <w:r>
        <w:rPr>
          <w:rStyle w:val="HideTWBExt"/>
        </w:rPr>
        <w:t>&lt;/DocAmend2&gt;</w:t>
      </w:r>
    </w:p>
    <w:p>
      <w:r>
        <w:rPr>
          <w:rStyle w:val="HideTWBExt"/>
        </w:rPr>
        <w:t>&lt;Article2&gt;</w:t>
      </w:r>
      <w:r>
        <w:t>Artykuł 2 – ustęp 1 – punkt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rPr>
                <w:b/>
                <w:i/>
              </w:rPr>
              <w:t>w pkt 1 wprowadza się następujące zmiany:</w:t>
            </w:r>
          </w:p>
        </w:tc>
        <w:tc>
          <w:tcPr>
            <w:tcW w:w="4876" w:type="dxa"/>
            <w:tcBorders>
              <w:top w:val="nil"/>
              <w:left w:val="nil"/>
              <w:bottom w:val="nil"/>
              <w:right w:val="nil"/>
            </w:tcBorders>
          </w:tcPr>
          <w:p>
            <w:pPr>
              <w:pStyle w:val="Normal6a"/>
            </w:pPr>
            <w:r>
              <w:rPr>
                <w:b/>
                <w:i/>
              </w:rPr>
              <w:t>skreśla się</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 uchyla się lit. b);</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(ii) uchyla się lit. j);</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ustęp 1 – punkt 2 – litera a – podpunkt i</w:t>
      </w:r>
      <w:r>
        <w:rPr>
          <w:rStyle w:val="HideTWBExt"/>
        </w:rPr>
        <w:t>&lt;/Article&gt;</w:t>
      </w:r>
    </w:p>
    <w:p>
      <w:r>
        <w:rPr>
          <w:rStyle w:val="HideTWBExt"/>
        </w:rPr>
        <w:t>&lt;DocAmend2&gt;</w:t>
      </w:r>
      <w:r>
        <w:t>Rozporządzenie (UE) 2019/2088</w:t>
      </w:r>
      <w:r>
        <w:rPr>
          <w:rStyle w:val="HideTWBExt"/>
        </w:rPr>
        <w:t>&lt;/DocAmend2&gt;</w:t>
      </w:r>
    </w:p>
    <w:p>
      <w:r>
        <w:rPr>
          <w:rStyle w:val="HideTWBExt"/>
        </w:rPr>
        <w:t>&lt;Article2&gt;</w:t>
      </w:r>
      <w:r>
        <w:t>Artykuł 2 – litera b</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w:t>
            </w:r>
            <w:r>
              <w:tab/>
            </w:r>
            <w:r>
              <w:rPr>
                <w:b/>
                <w:i/>
              </w:rPr>
              <w:t>uchyla się lit. b);</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ustęp 1 – punkt 2 – litera a – podpunkt ii</w:t>
      </w:r>
      <w:r>
        <w:rPr>
          <w:rStyle w:val="HideTWBExt"/>
        </w:rPr>
        <w:t>&lt;/Article&gt;</w:t>
      </w:r>
    </w:p>
    <w:p>
      <w:r>
        <w:rPr>
          <w:rStyle w:val="HideTWBExt"/>
        </w:rPr>
        <w:t>&lt;DocAmend2&gt;</w:t>
      </w:r>
      <w:r>
        <w:t>Rozporządzenie (UE) 2019/2088</w:t>
      </w:r>
      <w:r>
        <w:rPr>
          <w:rStyle w:val="HideTWBExt"/>
        </w:rPr>
        <w:t>&lt;/DocAmend2&gt;</w:t>
      </w:r>
    </w:p>
    <w:p>
      <w:r>
        <w:rPr>
          <w:rStyle w:val="HideTWBExt"/>
        </w:rPr>
        <w:t>&lt;Article2&gt;</w:t>
      </w:r>
      <w:r>
        <w:t>Artykuł 2 – litera j</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(ii)</w:t>
            </w:r>
            <w:r>
              <w:tab/>
            </w:r>
            <w:r>
              <w:rPr>
                <w:b/>
                <w:i/>
              </w:rPr>
              <w:t>uchyla się lit. j);</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Martin Günther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ustęp 1 – punkt 2 – litera a – podpunkt ii a (nowy)</w:t>
      </w:r>
      <w:r>
        <w:rPr>
          <w:rStyle w:val="HideTWBExt"/>
        </w:rPr>
        <w:t>&lt;/Article&gt;</w:t>
      </w:r>
    </w:p>
    <w:p>
      <w:r>
        <w:rPr>
          <w:rStyle w:val="HideTWBExt"/>
        </w:rPr>
        <w:t>&lt;DocAmend2&gt;</w:t>
      </w:r>
      <w:r>
        <w:t>Rozporządzenie (UE) 2019/2088</w:t>
      </w:r>
      <w:r>
        <w:rPr>
          <w:rStyle w:val="HideTWBExt"/>
        </w:rPr>
        <w:t>&lt;/DocAmend2&gt;</w:t>
      </w:r>
    </w:p>
    <w:p>
      <w:r>
        <w:rPr>
          <w:rStyle w:val="HideTWBExt"/>
        </w:rPr>
        <w:t>&lt;Article2&gt;</w:t>
      </w:r>
      <w:r>
        <w:t>Artykuł 2 – ustęp 1 – punkt 1 – litera k) i l) (nowa)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(iia)</w:t>
            </w:r>
            <w:r>
              <w:tab/>
            </w:r>
            <w:r>
              <w:rPr>
                <w:b/>
                <w:i/>
              </w:rPr>
              <w:t>dodaje się litery w brzmieniu: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 firmę inwestycyjną, która świadczy usługi doradztwa inwestycyjnego;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l) instytucję kredytową, która świadczy usługi doradztwa inwestycyjnego.”;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Denis Nesci, Francesco Ventola, Mariateresa Vivaldini, Marco Falcone, Marco Squarta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akapit 1 – punkt 2 – litera a – podpunkt ii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(iia)</w:t>
            </w:r>
            <w:r>
              <w:tab/>
            </w:r>
            <w:r>
              <w:rPr>
                <w:b/>
                <w:i/>
              </w:rPr>
              <w:t>(iii) dodaje się literę w brzmieniu: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ja)</w:t>
            </w:r>
            <w:r>
              <w:t xml:space="preserve"> </w:t>
            </w:r>
            <w:r>
              <w:rPr>
                <w:b/>
                <w:i/>
              </w:rPr>
              <w:t>twórca detalicznych produktów zbiorowego inwestowania i ubezpieczeniowych produktów inwestycyjnych lub „twórca PRIIP”;</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Martin Günther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ustęp 1 – punkt 2 – litera b</w:t>
      </w:r>
      <w:r>
        <w:rPr>
          <w:rStyle w:val="HideTWBExt"/>
        </w:rPr>
        <w:t>&lt;/Article&gt;</w:t>
      </w:r>
    </w:p>
    <w:p>
      <w:r>
        <w:rPr>
          <w:rStyle w:val="HideTWBExt"/>
        </w:rPr>
        <w:t>&lt;DocAmend2&gt;</w:t>
      </w:r>
      <w:r>
        <w:t>Rozporządzenie (UE) 2019/2088</w:t>
      </w:r>
      <w:r>
        <w:rPr>
          <w:rStyle w:val="HideTWBExt"/>
        </w:rPr>
        <w:t>&lt;/DocAmend2&gt;</w:t>
      </w:r>
    </w:p>
    <w:p>
      <w:r>
        <w:rPr>
          <w:rStyle w:val="HideTWBExt"/>
        </w:rPr>
        <w:t>&lt;Article2&gt;</w:t>
      </w:r>
      <w:r>
        <w:t>Artykuł 2 – ustęp 1 – punkty 5 i 6</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uchyla się pkt 5 i 6;</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ustęp 1 – punkt 2 – litera b</w:t>
      </w:r>
      <w:r>
        <w:rPr>
          <w:rStyle w:val="HideTWBExt"/>
        </w:rPr>
        <w:t>&lt;/Article&gt;</w:t>
      </w:r>
    </w:p>
    <w:p>
      <w:r>
        <w:rPr>
          <w:rStyle w:val="HideTWBExt"/>
        </w:rPr>
        <w:t>&lt;DocAmend2&gt;</w:t>
      </w:r>
      <w:r>
        <w:t>Rozporządzenie (UE) 2019/2088</w:t>
      </w:r>
      <w:r>
        <w:rPr>
          <w:rStyle w:val="HideTWBExt"/>
        </w:rPr>
        <w:t>&lt;/DocAmend2&gt;</w:t>
      </w:r>
    </w:p>
    <w:p>
      <w:r>
        <w:rPr>
          <w:rStyle w:val="HideTWBExt"/>
        </w:rPr>
        <w:t>&lt;Article2&gt;</w:t>
      </w:r>
      <w:r>
        <w:t>Artykuł 2 – ustęp 1 – punkty 5 i 6</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uchyla się pkt 5 i 6;</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Lara Wolters, Jonás Fernández, Aurore Lalucq, Niels Fuglsang, Evelyn Regner, César Luena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ustęp 1 – punkt 2 – litera b</w:t>
      </w:r>
      <w:r>
        <w:rPr>
          <w:rStyle w:val="HideTWBExt"/>
        </w:rPr>
        <w:t>&lt;/Article&gt;</w:t>
      </w:r>
    </w:p>
    <w:p>
      <w:r>
        <w:rPr>
          <w:rStyle w:val="HideTWBExt"/>
        </w:rPr>
        <w:t>&lt;DocAmend2&gt;</w:t>
      </w:r>
      <w:r>
        <w:t>Rozporządzenie (UE) 2019/2088</w:t>
      </w:r>
      <w:r>
        <w:rPr>
          <w:rStyle w:val="HideTWBExt"/>
        </w:rPr>
        <w:t>&lt;/DocAmend2&gt;</w:t>
      </w:r>
    </w:p>
    <w:p>
      <w:r>
        <w:rPr>
          <w:rStyle w:val="HideTWBExt"/>
        </w:rPr>
        <w:t>&lt;Article2&gt;</w:t>
      </w:r>
      <w:r>
        <w:t>Artykuł 2 – ustęp 1 – punkty 5 i 6</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uchyla się pkt 5 i 6;</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Martin Günther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ustęp 1 – punkt 2 – litera d</w:t>
      </w:r>
      <w:r>
        <w:rPr>
          <w:rStyle w:val="HideTWBExt"/>
        </w:rPr>
        <w:t>&lt;/Article&gt;</w:t>
      </w:r>
    </w:p>
    <w:p>
      <w:r>
        <w:rPr>
          <w:rStyle w:val="HideTWBExt"/>
        </w:rPr>
        <w:t>&lt;DocAmend2&gt;</w:t>
      </w:r>
      <w:r>
        <w:t>Rozporządzenie (UE) 2019/2088</w:t>
      </w:r>
      <w:r>
        <w:rPr>
          <w:rStyle w:val="HideTWBExt"/>
        </w:rPr>
        <w:t>&lt;/DocAmend2&gt;</w:t>
      </w:r>
    </w:p>
    <w:p>
      <w:r>
        <w:rPr>
          <w:rStyle w:val="HideTWBExt"/>
        </w:rPr>
        <w:t>&lt;Article2&gt;</w:t>
      </w:r>
      <w:r>
        <w:t>Artykuł 2 – ustęp 1 – punkt 12 – litera 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w pkt 12 uchyla się lit. a);</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ustęp 1 – punkt 2 – litera d</w:t>
      </w:r>
      <w:r>
        <w:rPr>
          <w:rStyle w:val="HideTWBExt"/>
        </w:rPr>
        <w:t>&lt;/Article&gt;</w:t>
      </w:r>
    </w:p>
    <w:p>
      <w:r>
        <w:rPr>
          <w:rStyle w:val="HideTWBExt"/>
        </w:rPr>
        <w:t>&lt;DocAmend2&gt;</w:t>
      </w:r>
      <w:r>
        <w:t>Rozporządzenie (UE) 2019/2088</w:t>
      </w:r>
      <w:r>
        <w:rPr>
          <w:rStyle w:val="HideTWBExt"/>
        </w:rPr>
        <w:t>&lt;/DocAmend2&gt;</w:t>
      </w:r>
    </w:p>
    <w:p>
      <w:r>
        <w:rPr>
          <w:rStyle w:val="HideTWBExt"/>
        </w:rPr>
        <w:t>&lt;Article2&gt;</w:t>
      </w:r>
      <w:r>
        <w:t>Artykuł 2 – ustęp 1 – punkt 12 – litera 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w pkt 12 uchyla się lit. a);</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Denis Nesci, Francesco Ventola, Mariateresa Vivaldini, Marco Falcone, Marco Squarta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akapit 1 – punkt 2 – litera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w pkt 12 </w:t>
            </w:r>
            <w:r>
              <w:rPr>
                <w:b/>
                <w:i/>
              </w:rPr>
              <w:t>uchyla się lit. a);</w:t>
            </w:r>
          </w:p>
        </w:tc>
        <w:tc>
          <w:tcPr>
            <w:tcW w:w="4876" w:type="dxa"/>
            <w:tcBorders>
              <w:top w:val="nil"/>
              <w:left w:val="nil"/>
              <w:bottom w:val="nil"/>
              <w:right w:val="nil"/>
            </w:tcBorders>
          </w:tcPr>
          <w:p>
            <w:pPr>
              <w:pStyle w:val="Normal6a"/>
            </w:pPr>
            <w:r>
              <w:t>d)</w:t>
            </w:r>
            <w:r>
              <w:tab/>
            </w:r>
            <w:r>
              <w:t xml:space="preserve">w pkt 12 </w:t>
            </w:r>
            <w:r>
              <w:rPr>
                <w:b/>
                <w:i/>
              </w:rPr>
              <w:t>wprowadza się następujące zmiany: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skreśla się lit. 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(ii) dodaje się lit. ga) w brzmieniu: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 detaliczny produkt zbiorowego inwestowania i ubezpieczeniowy produkt inwestycyjny lub „PRIIP”</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Martin Günther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ustęp 1 – punkt 2 – litera d a (nowa)</w:t>
      </w:r>
      <w:r>
        <w:rPr>
          <w:rStyle w:val="HideTWBExt"/>
        </w:rPr>
        <w:t>&lt;/Article&gt;</w:t>
      </w:r>
    </w:p>
    <w:p>
      <w:r>
        <w:rPr>
          <w:rStyle w:val="HideTWBExt"/>
        </w:rPr>
        <w:t>&lt;DocAmend2&gt;</w:t>
      </w:r>
      <w:r>
        <w:t>Rozporządzenie (UE) 2019/2088</w:t>
      </w:r>
      <w:r>
        <w:rPr>
          <w:rStyle w:val="HideTWBExt"/>
        </w:rPr>
        <w:t>&lt;/DocAmend2&gt;</w:t>
      </w:r>
    </w:p>
    <w:p>
      <w:r>
        <w:rPr>
          <w:rStyle w:val="HideTWBExt"/>
        </w:rPr>
        <w:t>&lt;Article2&gt;</w:t>
      </w:r>
      <w:r>
        <w:t>Artykuł 2 – ustęp 1 – punkt 12 – litera h (nowa)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w pkt 12 dodaje się literę w brzmieniu: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każdy inny portfel, w przypadku którego firma inwestycyjna świadczy usługę obejmującą okresowe oceny odpowiedniości zgodnie z art. 54 ust. 13 rozporządzenia delegowanego (UE) 2017/565;”;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Martin Günther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ustęp 1 – punkt 2 – litera e</w:t>
      </w:r>
      <w:r>
        <w:rPr>
          <w:rStyle w:val="HideTWBExt"/>
        </w:rPr>
        <w:t>&lt;/Article&gt;</w:t>
      </w:r>
    </w:p>
    <w:p>
      <w:r>
        <w:rPr>
          <w:rStyle w:val="HideTWBExt"/>
        </w:rPr>
        <w:t>&lt;DocAmend2&gt;</w:t>
      </w:r>
      <w:r>
        <w:t>Rozporządzenie (UE) 2019/2088</w:t>
      </w:r>
      <w:r>
        <w:rPr>
          <w:rStyle w:val="HideTWBExt"/>
        </w:rPr>
        <w:t>&lt;/DocAmend2&gt;</w:t>
      </w:r>
    </w:p>
    <w:p>
      <w:r>
        <w:rPr>
          <w:rStyle w:val="HideTWBExt"/>
        </w:rPr>
        <w:t>&lt;Article2&gt;</w:t>
      </w:r>
      <w:r>
        <w:t>Artykuł 2 – ustęp 1 – punkt 17</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uchyla się pkt </w:t>
            </w:r>
            <w:r>
              <w:rPr>
                <w:b/>
                <w:i/>
              </w:rPr>
              <w:t>16 i</w:t>
            </w:r>
            <w:r>
              <w:t xml:space="preserve"> 17;</w:t>
            </w:r>
          </w:p>
        </w:tc>
        <w:tc>
          <w:tcPr>
            <w:tcW w:w="4876" w:type="dxa"/>
            <w:tcBorders>
              <w:top w:val="nil"/>
              <w:left w:val="nil"/>
              <w:bottom w:val="nil"/>
              <w:right w:val="nil"/>
            </w:tcBorders>
          </w:tcPr>
          <w:p>
            <w:pPr>
              <w:pStyle w:val="Normal6a"/>
            </w:pPr>
            <w:r>
              <w:t>e)</w:t>
            </w:r>
            <w:r>
              <w:tab/>
            </w:r>
            <w:r>
              <w:t>uchyla się pkt 17;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Lara Wolters, Jonás Fernández, Aurore Lalucq, Niels Fuglsang, Evelyn Regner, César Luena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ustęp 1 – punkt 2 – litera e</w:t>
      </w:r>
      <w:r>
        <w:rPr>
          <w:rStyle w:val="HideTWBExt"/>
        </w:rPr>
        <w:t>&lt;/Article&gt;</w:t>
      </w:r>
    </w:p>
    <w:p>
      <w:r>
        <w:rPr>
          <w:rStyle w:val="HideTWBExt"/>
        </w:rPr>
        <w:t>&lt;DocAmend2&gt;</w:t>
      </w:r>
      <w:r>
        <w:t>Rozporządzenie (UE) 2019/2088</w:t>
      </w:r>
      <w:r>
        <w:rPr>
          <w:rStyle w:val="HideTWBExt"/>
        </w:rPr>
        <w:t>&lt;/DocAmend2&gt;</w:t>
      </w:r>
    </w:p>
    <w:p>
      <w:r>
        <w:rPr>
          <w:rStyle w:val="HideTWBExt"/>
        </w:rPr>
        <w:t>&lt;Article2&gt;</w:t>
      </w:r>
      <w:r>
        <w:t>Artykuł 2 – ustęp 1 – punkt 17</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uchyla się pkt </w:t>
            </w:r>
            <w:r>
              <w:rPr>
                <w:b/>
                <w:i/>
              </w:rPr>
              <w:t>16 i</w:t>
            </w:r>
            <w:r>
              <w:t xml:space="preserve"> 17;</w:t>
            </w:r>
          </w:p>
        </w:tc>
        <w:tc>
          <w:tcPr>
            <w:tcW w:w="4876" w:type="dxa"/>
            <w:tcBorders>
              <w:top w:val="nil"/>
              <w:left w:val="nil"/>
              <w:bottom w:val="nil"/>
              <w:right w:val="nil"/>
            </w:tcBorders>
          </w:tcPr>
          <w:p>
            <w:pPr>
              <w:pStyle w:val="Normal6a"/>
            </w:pPr>
            <w:r>
              <w:t>e)</w:t>
            </w:r>
            <w:r>
              <w:tab/>
            </w:r>
            <w:r>
              <w:t>uchyla się pkt 17;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ustęp 1 – punkt 2 – litera e</w:t>
      </w:r>
      <w:r>
        <w:rPr>
          <w:rStyle w:val="HideTWBExt"/>
        </w:rPr>
        <w:t>&lt;/Article&gt;</w:t>
      </w:r>
    </w:p>
    <w:p>
      <w:r>
        <w:rPr>
          <w:rStyle w:val="HideTWBExt"/>
        </w:rPr>
        <w:t>&lt;DocAmend2&gt;</w:t>
      </w:r>
      <w:r>
        <w:t>Rozporządzenie (UE) 2019/2088</w:t>
      </w:r>
      <w:r>
        <w:rPr>
          <w:rStyle w:val="HideTWBExt"/>
        </w:rPr>
        <w:t>&lt;/DocAmend2&gt;</w:t>
      </w:r>
    </w:p>
    <w:p>
      <w:r>
        <w:rPr>
          <w:rStyle w:val="HideTWBExt"/>
        </w:rPr>
        <w:t>&lt;Article2&gt;</w:t>
      </w:r>
      <w:r>
        <w:t>Artykuł 2 – ustęp 1 – punkt 16</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uchyla się pkt 16 </w:t>
            </w:r>
            <w:r>
              <w:rPr>
                <w:b/>
                <w:i/>
              </w:rPr>
              <w:t>i 17</w:t>
            </w:r>
            <w:r>
              <w:t>;</w:t>
            </w:r>
          </w:p>
        </w:tc>
        <w:tc>
          <w:tcPr>
            <w:tcW w:w="4876" w:type="dxa"/>
            <w:tcBorders>
              <w:top w:val="nil"/>
              <w:left w:val="nil"/>
              <w:bottom w:val="nil"/>
              <w:right w:val="nil"/>
            </w:tcBorders>
          </w:tcPr>
          <w:p>
            <w:pPr>
              <w:pStyle w:val="Normal6a"/>
            </w:pPr>
            <w:r>
              <w:t>e)</w:t>
            </w:r>
            <w:r>
              <w:tab/>
            </w:r>
            <w:r>
              <w:t>uchyla się pkt 16;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Lara Wolters, Jonás Fernández, Aurore Lalucq, Niels Fuglsang, Evelyn Regner, César Luena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ustęp 1 – punkt 2 – litera g – wprowadzenie</w:t>
      </w:r>
      <w:r>
        <w:rPr>
          <w:rStyle w:val="HideTWBExt"/>
        </w:rPr>
        <w:t>&lt;/Article&gt;</w:t>
      </w:r>
    </w:p>
    <w:p>
      <w:r>
        <w:rPr>
          <w:rStyle w:val="HideTWBExt"/>
        </w:rPr>
        <w:t>&lt;DocAmend2&gt;</w:t>
      </w:r>
      <w:r>
        <w:t>Rozporządzenie (UE) 2019/2088</w:t>
      </w:r>
      <w:r>
        <w:rPr>
          <w:rStyle w:val="HideTWBExt"/>
        </w:rPr>
        <w:t>&lt;/DocAmend2&gt;</w:t>
      </w:r>
    </w:p>
    <w:p>
      <w:r>
        <w:rPr>
          <w:rStyle w:val="HideTWBExt"/>
        </w:rPr>
        <w:t>&lt;Article2&gt;</w:t>
      </w:r>
      <w:r>
        <w:t>Artykuł 2 – ustęp 1 – punkt 28 a (nowy)</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dodaje się pkt 25–</w:t>
            </w:r>
            <w:r>
              <w:rPr>
                <w:b/>
                <w:i/>
              </w:rPr>
              <w:t>28</w:t>
            </w:r>
            <w:r>
              <w:t xml:space="preserve"> w brzmieniu:</w:t>
            </w:r>
          </w:p>
        </w:tc>
        <w:tc>
          <w:tcPr>
            <w:tcW w:w="4876" w:type="dxa"/>
            <w:tcBorders>
              <w:top w:val="nil"/>
              <w:left w:val="nil"/>
              <w:bottom w:val="nil"/>
              <w:right w:val="nil"/>
            </w:tcBorders>
          </w:tcPr>
          <w:p>
            <w:pPr>
              <w:pStyle w:val="Normal6a"/>
            </w:pPr>
            <w:r>
              <w:t>g)</w:t>
            </w:r>
            <w:r>
              <w:tab/>
            </w:r>
            <w:r>
              <w:t>dodaje się pkt 25–</w:t>
            </w:r>
            <w:r>
              <w:rPr>
                <w:b/>
                <w:i/>
              </w:rPr>
              <w:t>28a</w:t>
            </w:r>
            <w:r>
              <w:t xml:space="preserve"> w brzmieniu: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Denis Nesci, Francesco Ventola, Mariateresa Vivaldini, Marco Falcone, Marco Squarta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akapit 1 – punkt 2 – litera g</w:t>
      </w:r>
      <w:r>
        <w:rPr>
          <w:rStyle w:val="HideTWBExt"/>
        </w:rPr>
        <w:t>&lt;/Article&gt;</w:t>
      </w:r>
    </w:p>
    <w:p>
      <w:r>
        <w:rPr>
          <w:rStyle w:val="HideTWBExt"/>
        </w:rPr>
        <w:t>&lt;DocAmend2&gt;</w:t>
      </w:r>
      <w:r>
        <w:t>Rozporządzenie (UE) 2019/2088</w:t>
      </w:r>
      <w:r>
        <w:rPr>
          <w:rStyle w:val="HideTWBExt"/>
        </w:rPr>
        <w:t>&lt;/DocAmend2&gt;</w:t>
      </w:r>
    </w:p>
    <w:p>
      <w:r>
        <w:rPr>
          <w:rStyle w:val="HideTWBExt"/>
        </w:rPr>
        <w:t>&lt;Article2&gt;</w:t>
      </w:r>
      <w:r>
        <w:t>Artykuł 2 – ustęp 1 – punkt 28 a (nowy)</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(28a)</w:t>
            </w:r>
            <w:r>
              <w:tab/>
            </w:r>
            <w:r>
              <w:rPr>
                <w:b/>
                <w:i/>
              </w:rPr>
              <w:t>„detaliczny produkt zbiorowego inwestowania i ubezpieczeniowy produkt inwestycyjny” oznacza detaliczny produkt zbiorowego inwestowania i ubezpieczeniowy produkt inwestycyjny lub „PRIIP” zgodnie z definicją w art. 4 pkt 3 rozporządzenia (UE) nr</w:t>
            </w:r>
            <w:r>
              <w:t xml:space="preserve"> </w:t>
            </w:r>
            <w:r>
              <w:rPr>
                <w:b/>
                <w:i/>
              </w:rPr>
              <w:t>1286/2014 inny niż UCITS, AFI lub produkt pochodny, o których mowa w pkt 4–10 sekcji C załącznika I do dyrektywy 2014/65/UE, lub niż jakikolwiek inny produkt, o którym mowa w art. 2 ust. 2 rozporządzenia</w:t>
            </w:r>
            <w:r>
              <w:t xml:space="preserve"> </w:t>
            </w:r>
            <w:r>
              <w:rPr>
                <w:b/>
                <w:i/>
              </w:rPr>
              <w:t>Parlamentu Europejskiego i Rady (UE) nr 1286/2014;</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Lara Wolters, Jonás Fernández, Aurore Lalucq, Niels Fuglsang, Evelyn Regner, César Luena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–ustęp 1 – punkt 2 – litera g</w:t>
      </w:r>
      <w:r>
        <w:rPr>
          <w:rStyle w:val="HideTWBExt"/>
        </w:rPr>
        <w:t>&lt;/Article&gt;</w:t>
      </w:r>
    </w:p>
    <w:p>
      <w:r>
        <w:rPr>
          <w:rStyle w:val="HideTWBExt"/>
        </w:rPr>
        <w:t>&lt;DocAmend2&gt;</w:t>
      </w:r>
      <w:r>
        <w:t>Rozporządzenie (UE) 2019/2088</w:t>
      </w:r>
      <w:r>
        <w:rPr>
          <w:rStyle w:val="HideTWBExt"/>
        </w:rPr>
        <w:t>&lt;/DocAmend2&gt;</w:t>
      </w:r>
    </w:p>
    <w:p>
      <w:r>
        <w:rPr>
          <w:rStyle w:val="HideTWBExt"/>
        </w:rPr>
        <w:t>&lt;Article2&gt;</w:t>
      </w:r>
      <w:r>
        <w:t>Artykuł 2 – ustęp 1 – punkt 28 a (nowy)</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(28a)</w:t>
            </w:r>
            <w:r>
              <w:tab/>
            </w:r>
            <w:r>
              <w:rPr>
                <w:b/>
                <w:i/>
              </w:rPr>
              <w:t>„cele społeczne” odnoszą się do tematów i podtematów społecznych zawartych w załączniku A do ESRS1 do rozporządzenia delegowanego Komisji [odniesienie zostanie dostosowane do nowego aktu delegowanego w sprawie ESRS po jego sfinalizowaniu], a mianowicie pozytywnego wkładu w prawa pracownicze, prawa pracowników w łańcuchu wartości, zainteresowanych społeczności oraz konsumentów i użytkowników końcowych;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Pascal Canfin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–ustęp 1 – punkt 2 – litera g</w:t>
      </w:r>
      <w:r>
        <w:rPr>
          <w:rStyle w:val="HideTWBExt"/>
        </w:rPr>
        <w:t>&lt;/Article&gt;</w:t>
      </w:r>
    </w:p>
    <w:p>
      <w:r>
        <w:rPr>
          <w:rStyle w:val="HideTWBExt"/>
        </w:rPr>
        <w:t>&lt;DocAmend2&gt;</w:t>
      </w:r>
      <w:r>
        <w:t>Rozporządzenie (UE) 2019/2088</w:t>
      </w:r>
      <w:r>
        <w:rPr>
          <w:rStyle w:val="HideTWBExt"/>
        </w:rPr>
        <w:t>&lt;/DocAmend2&gt;</w:t>
      </w:r>
    </w:p>
    <w:p>
      <w:r>
        <w:rPr>
          <w:rStyle w:val="HideTWBExt"/>
        </w:rPr>
        <w:t>&lt;Article2&gt;</w:t>
      </w:r>
      <w:r>
        <w:t>Artykuł 2 – ustęp 1 – punkt 28 a (nowy)</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(28a)</w:t>
            </w:r>
            <w:r>
              <w:tab/>
            </w:r>
            <w:r>
              <w:rPr>
                <w:b/>
                <w:i/>
              </w:rPr>
              <w:t>„dostawca danych” oznacza osobę prawną, której działalność zawodowa obejmuje dostarczanie uczestnikom rynku finansowego produktów uzyskanych z danych;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ustęp 1 – punkt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uchyla się art. 2a;</w:t>
            </w:r>
          </w:p>
        </w:tc>
        <w:tc>
          <w:tcPr>
            <w:tcW w:w="4876" w:type="dxa"/>
            <w:tcBorders>
              <w:top w:val="nil"/>
              <w:left w:val="nil"/>
              <w:bottom w:val="nil"/>
              <w:right w:val="nil"/>
            </w:tcBorders>
          </w:tcPr>
          <w:p>
            <w:pPr>
              <w:pStyle w:val="Normal6a"/>
            </w:pPr>
            <w:r>
              <w:t>3)</w:t>
            </w:r>
            <w:r>
              <w:tab/>
            </w:r>
            <w:r>
              <w:rPr>
                <w:b/>
                <w:i/>
              </w:rPr>
              <w:t>art. 2a otrzymuje brzmienie: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Minimalne gwarancje w zakresie polityki społecznej i ładu korporacyjnego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 przypadku produktów finansowych wymienionych w art. 7–9a niniejszego rozporządzenia uczestnicy rynku finansowego powinni dopilnować, aby inwestycje były zgodne z Wytycznymi OECD dla przedsiębiorstw wielonarodowych oraz Wytycznymi ONZ dotyczącymi biznesu i praw człowieka, w tym zasadami i prawami określonymi w ośmiu podstawowych konwencjach wskazanych w Deklaracji Międzynarodowej Organizacji Pracy dotyczącej podstawowych zasad i praw w pracy oraz zasadami i prawami określonymi w Międzynarodowej karcie praw człowieka.</w:t>
            </w:r>
            <w:r>
              <w:t xml:space="preserve"> </w:t>
            </w:r>
            <w:r>
              <w:rPr>
                <w:b/>
                <w:i/>
              </w:rPr>
              <w:t>Ponadto inwestycje muszą być zgodne z zasadą „nie czyń poważnych szkód” zgodnie z rozporządzeniem (UE) 2020/852.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Lara Wolters, Jonás Fernández, Aurore Lalucq, Niels Fuglsang, Evelyn Regner, César Luena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ustęp 1 – punkt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uchyla się art. 2a;</w:t>
            </w:r>
          </w:p>
        </w:tc>
        <w:tc>
          <w:tcPr>
            <w:tcW w:w="4876" w:type="dxa"/>
            <w:tcBorders>
              <w:top w:val="nil"/>
              <w:left w:val="nil"/>
              <w:bottom w:val="nil"/>
              <w:right w:val="nil"/>
            </w:tcBorders>
          </w:tcPr>
          <w:p>
            <w:pPr>
              <w:pStyle w:val="Normal6a"/>
            </w:pPr>
            <w:r>
              <w:t>3)</w:t>
            </w:r>
            <w:r>
              <w:tab/>
            </w:r>
            <w:r>
              <w:rPr>
                <w:b/>
                <w:i/>
              </w:rPr>
              <w:t>art. 2a otrzymuje brzmienie: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Minimalne gwarancje w zakresie polityki społecznej i ładu korporacyjnego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 przypadku produktów finansowych wymienionych w art. 7, 8 i 9 niniejszego rozporządzenia uczestnicy rynku finansowego dopilnowują, aby inwestycje nie stały w sprzeczności ze standardami społecznymi wymienionymi w Wytycznych OECD dla przedsiębiorstw wielonarodowych oraz Wytycznych ONZ dotyczącymi biznesu i praw człowieka, w tym w zasadach i prawach określonych w ośmiu podstawowych konwencjach wskazanych w Deklaracji Międzynarodowej Organizacji Pracy dotyczącej podstawowych zasad i praw w pracy oraz zasadach i prawach określonych w Międzynarodowej karcie praw człowieka.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ustęp 1 – punkt 4</w:t>
      </w:r>
      <w:r>
        <w:rPr>
          <w:rStyle w:val="HideTWBExt"/>
        </w:rPr>
        <w:t>&lt;/Article&gt;</w:t>
      </w:r>
    </w:p>
    <w:p>
      <w:r>
        <w:rPr>
          <w:rStyle w:val="HideTWBExt"/>
        </w:rPr>
        <w:t>&lt;DocAmend2&gt;</w:t>
      </w:r>
      <w:r>
        <w:t>Rozporządzenie (UE) 2019/2088</w:t>
      </w:r>
      <w:r>
        <w:rPr>
          <w:rStyle w:val="HideTWBExt"/>
        </w:rPr>
        <w:t>&lt;/DocAmend2&gt;</w:t>
      </w:r>
    </w:p>
    <w:p>
      <w:r>
        <w:rPr>
          <w:rStyle w:val="HideTWBExt"/>
        </w:rPr>
        <w:t>&lt;Article2&gt;</w:t>
      </w:r>
      <w:r>
        <w:t>Artykuł 3 – nagłówek</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Przejrzystość strategii dotyczących ryzyka dla zrównoważonego rozwoju w odniesieniu do uwzględniania ryzyk dla zrównoważonego rozwoju</w:t>
            </w:r>
          </w:p>
        </w:tc>
        <w:tc>
          <w:tcPr>
            <w:tcW w:w="4876" w:type="dxa"/>
            <w:tcBorders>
              <w:top w:val="nil"/>
              <w:left w:val="nil"/>
              <w:bottom w:val="nil"/>
              <w:right w:val="nil"/>
            </w:tcBorders>
          </w:tcPr>
          <w:p>
            <w:pPr>
              <w:pStyle w:val="Normal6a"/>
            </w:pPr>
            <w:r>
              <w:t xml:space="preserve">Przejrzystość strategii dotyczących ryzyka dla zrównoważonego rozwoju w odniesieniu do uwzględniania ryzyk dla zrównoważonego rozwoju </w:t>
            </w:r>
            <w:r>
              <w:rPr>
                <w:b/>
                <w:i/>
              </w:rPr>
              <w:t>i łagodzenia niekorzystnego wpływu na czynniki zrównoważonego rozwoju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Lara Wolters, Jonás Fernández, Aurore Lalucq, Niels Fuglsang, Evelyn Regner, César Luena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ustęp 1 – punkt 4</w:t>
      </w:r>
      <w:r>
        <w:rPr>
          <w:rStyle w:val="HideTWBExt"/>
        </w:rPr>
        <w:t>&lt;/Article&gt;</w:t>
      </w:r>
    </w:p>
    <w:p>
      <w:r>
        <w:rPr>
          <w:rStyle w:val="HideTWBExt"/>
        </w:rPr>
        <w:t>&lt;DocAmend2&gt;</w:t>
      </w:r>
      <w:r>
        <w:t>Rozporządzenie (UE) 2019/2088</w:t>
      </w:r>
      <w:r>
        <w:rPr>
          <w:rStyle w:val="HideTWBExt"/>
        </w:rPr>
        <w:t>&lt;/DocAmend2&gt;</w:t>
      </w:r>
    </w:p>
    <w:p>
      <w:r>
        <w:rPr>
          <w:rStyle w:val="HideTWBExt"/>
        </w:rPr>
        <w:t>&lt;Article2&gt;</w:t>
      </w:r>
      <w:r>
        <w:t>Artykuł 3 – nagłówek</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Przejrzystość strategii dotyczących </w:t>
            </w:r>
            <w:r>
              <w:rPr>
                <w:b/>
                <w:i/>
              </w:rPr>
              <w:t>ryzyka dla</w:t>
            </w:r>
            <w:r>
              <w:t xml:space="preserve"> zrównoważonego rozwoju </w:t>
            </w:r>
            <w:r>
              <w:rPr>
                <w:b/>
                <w:i/>
              </w:rPr>
              <w:t>w odniesieniu do uwzględniania ryzyk dla zrównoważonego rozwoju</w:t>
            </w:r>
          </w:p>
        </w:tc>
        <w:tc>
          <w:tcPr>
            <w:tcW w:w="4876" w:type="dxa"/>
            <w:tcBorders>
              <w:top w:val="nil"/>
              <w:left w:val="nil"/>
              <w:bottom w:val="nil"/>
              <w:right w:val="nil"/>
            </w:tcBorders>
          </w:tcPr>
          <w:p>
            <w:pPr>
              <w:pStyle w:val="Normal6a"/>
            </w:pPr>
            <w:r>
              <w:t>Przejrzystość strategii dotyczących zrównoważonego rozwoju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ustęp 1 – punkt 4</w:t>
      </w:r>
      <w:r>
        <w:rPr>
          <w:rStyle w:val="HideTWBExt"/>
        </w:rPr>
        <w:t>&lt;/Article&gt;</w:t>
      </w:r>
    </w:p>
    <w:p>
      <w:r>
        <w:rPr>
          <w:rStyle w:val="HideTWBExt"/>
        </w:rPr>
        <w:t>&lt;DocAmend2&gt;</w:t>
      </w:r>
      <w:r>
        <w:t>Rozporządzenie (UE) 2019/2088</w:t>
      </w:r>
      <w:r>
        <w:rPr>
          <w:rStyle w:val="HideTWBExt"/>
        </w:rPr>
        <w:t>&lt;/DocAmend2&gt;</w:t>
      </w:r>
    </w:p>
    <w:p>
      <w:r>
        <w:rPr>
          <w:rStyle w:val="HideTWBExt"/>
        </w:rPr>
        <w:t>&lt;Article2&gt;</w:t>
      </w:r>
      <w:r>
        <w:t>Artykuł 3 – nagłówek</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Przejrzystość strategii dotyczących </w:t>
            </w:r>
            <w:r>
              <w:rPr>
                <w:b/>
                <w:i/>
              </w:rPr>
              <w:t>ryzyka dla</w:t>
            </w:r>
            <w:r>
              <w:t xml:space="preserve"> zrównoważonego rozwoju w odniesieniu do uwzględniania ryzyk dla zrównoważonego rozwoju</w:t>
            </w:r>
          </w:p>
        </w:tc>
        <w:tc>
          <w:tcPr>
            <w:tcW w:w="4876" w:type="dxa"/>
            <w:tcBorders>
              <w:top w:val="nil"/>
              <w:left w:val="nil"/>
              <w:bottom w:val="nil"/>
              <w:right w:val="nil"/>
            </w:tcBorders>
          </w:tcPr>
          <w:p>
            <w:pPr>
              <w:pStyle w:val="Normal6a"/>
            </w:pPr>
            <w:r>
              <w:t>Przejrzystość strategii dotyczących zrównoważonego rozwoju w odniesieniu do uwzględniania ryzyk dla zrównoważonego rozwoju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Lara Wolters, Jonás Fernández, Aurore Lalucq, Niels Fuglsang, Evelyn Regner, César Luena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ustęp 1 – punkt 4</w:t>
      </w:r>
      <w:r>
        <w:rPr>
          <w:rStyle w:val="HideTWBExt"/>
        </w:rPr>
        <w:t>&lt;/Article&gt;</w:t>
      </w:r>
    </w:p>
    <w:p>
      <w:r>
        <w:rPr>
          <w:rStyle w:val="HideTWBExt"/>
        </w:rPr>
        <w:t>&lt;DocAmend2&gt;</w:t>
      </w:r>
      <w:r>
        <w:t>Rozporządzenie (UE) 2019/2088</w:t>
      </w:r>
      <w:r>
        <w:rPr>
          <w:rStyle w:val="HideTWBExt"/>
        </w:rPr>
        <w:t>&lt;/DocAmend2&gt;</w:t>
      </w:r>
    </w:p>
    <w:p>
      <w:r>
        <w:rPr>
          <w:rStyle w:val="HideTWBExt"/>
        </w:rPr>
        <w:t>&lt;Article2&gt;</w:t>
      </w:r>
      <w:r>
        <w:t>Artykuł 3 – ustęp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Uczestnicy rynku finansowego publikują na swoich stronach internetowych informacje na temat swoich strategii dotyczących uwzględniania ryzyk dla zrównoważonego rozwoju w procesie podejmowania decyzji inwestycyjnych.</w:t>
            </w:r>
            <w:r>
              <w:rPr>
                <w:b/>
                <w:i/>
              </w:rPr>
              <w:t>;</w:t>
            </w:r>
          </w:p>
        </w:tc>
        <w:tc>
          <w:tcPr>
            <w:tcW w:w="4876" w:type="dxa"/>
            <w:tcBorders>
              <w:top w:val="nil"/>
              <w:left w:val="nil"/>
              <w:bottom w:val="nil"/>
              <w:right w:val="nil"/>
            </w:tcBorders>
          </w:tcPr>
          <w:p>
            <w:pPr>
              <w:pStyle w:val="Normal6a"/>
            </w:pPr>
            <w:r>
              <w:rPr>
                <w:b/>
                <w:i/>
              </w:rPr>
              <w:t>1.</w:t>
            </w:r>
            <w:r>
              <w:t xml:space="preserve"> Uczestnicy rynku finansowego publikują na swoich stronach internetowych informacje na temat swoich strategii dotyczących uwzględniania ryzyk dla zrównoważonego rozwoju w procesie podejmowania decyzji inwestycyjnych. </w:t>
            </w:r>
            <w:r>
              <w:rPr>
                <w:b/>
                <w:i/>
              </w:rPr>
              <w:t>Uczestnicy rynku finansowego publikują na swojej stronie internetowej jednolity dokument zawierający informacje na temat ich strategii uwzględniania ryzyka dla zrównoważonego rozwoju w procesie podejmowania decyzji inwestycyjnych, w tym opis tego, czy i w jaki sposób strategie uwzględniają (i) ryzyka, jakie czynniki zrównoważonego rozwoju stwarzają dla wartości inwestycji, oraz (ii) niekorzystny wpływ decyzji inwestycyjnych na czynniki zrównoważonego rozwoju.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 xml:space="preserve"> </w:t>
            </w:r>
            <w:r>
              <w:rPr>
                <w:b/>
                <w:i/>
              </w:rPr>
              <w:t>Uczestnicy rynku finansowego włączają do informacji publikowanych zgodnie z ust. 1 przynajmniej: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opis ich polityki dotyczącej zaangażowania, w tym:</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zestaw wymiernych i określonych w czasie celów związanych ze zrównoważonym rozwojem, w tym oczekiwania sektorowe;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(ii) plan wdrażania z określonymi w czasie celami pośrednimi i działaniami, które należy podjąć, aby je osiągnąć;</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(iii) jasne i solidne ramy eskalacji w przypadku nieosiągnięcia oczekiwanych kamieni milowych i celów, co może prowadzić do decyzji o zbyciu i realokacji kapitału;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(iv) sposób, w jaki są one wspierane, w stosownych przypadkach, przez politykę głosowania ukierunkowaną na zrównoważony rozwój.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odsetek zarządzanych przez nie aktywów oraz, w stosownych przypadkach, odsetek oferowanych produktów, które zainwestowano w art. 7, 8 i 9, w stosunku odpowiednio do ich łącznych zarządzanych aktywów i całkowitej liczby produktów.</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podsumowanie strategii w zakresie wykluczeń oraz informację, czy wykraczają one poza zgodność z minimalnymi wyłączeniami ustanowionymi w art. 7 ust. 1 lit. b) i c), art. 8 ust. 1 lit. b) i art. 9 ust. 1 lit. b)–ca) niniejszego rozporządzenia, w tym, w stosownych przypadkach, link do dokumentów zawierających szczegółowe informacje na temat ich polityki w zakresie wykluczenia na poziomie podmiotu.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oświadczenie na temat strategii w zakresie należytej staranności ustanowionych w celu identyfikowania, łagodzenia i niwelowania niekorzystnych skutków ich produktów inwestycyjnych ujawnianych zgodnie z art. 7 ust. 1 lit. d), art. 8 ust. 1 lit. c) i art. 9 ust. 1 lit. d) niniejszego rozporządzenia oraz zapobiegania tym skutkom, w tym, w stosownych przypadkach, link do dokumentów zawierających szczegółowe informacje na temat ich strategii w zakresie należytej staranności na poziomie podmiotu.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br/>
            </w:r>
            <w:r>
              <w:rPr>
                <w:b/>
                <w:i/>
              </w:rPr>
              <w:t>2.</w:t>
            </w:r>
            <w:r>
              <w:t xml:space="preserve"> </w:t>
            </w:r>
            <w:r>
              <w:rPr>
                <w:b/>
                <w:i/>
              </w:rPr>
              <w:t>W tym samym dokumencie uczestnicy rynku finansowego publikują ograniczony zestaw głównych niekorzystnych skutków dla czynników zrównoważonego rozwoju zgodnie z aktem delegowanym przyjętym na podstawie art. 19b.</w:t>
            </w:r>
            <w:r>
              <w:t xml:space="preserve"> </w:t>
            </w:r>
            <w:r>
              <w:rPr>
                <w:b/>
                <w:i/>
              </w:rPr>
              <w:t>Ograniczony zestaw:</w:t>
            </w:r>
            <w:r>
              <w:br/>
            </w:r>
            <w:r>
              <w:br/>
            </w:r>
            <w:r>
              <w:rPr>
                <w:b/>
                <w:i/>
              </w:rPr>
              <w:t>(i) opiera się na wskaźnikach, o których mowa w rozporządzeniu delegowanym Komisji (UE) [odniesienie zostanie dostosowane do nowego aktu delegowanego w sprawie ESRS po jego sfinalizowaniu];</w:t>
            </w:r>
            <w:r>
              <w:br/>
            </w:r>
            <w:r>
              <w:rPr>
                <w:b/>
                <w:i/>
              </w:rPr>
              <w:t>(ii) ogranicza się do wskaźników, w odniesieniu do których dane są powszechnie dostępne, albo poprzez ujawnienie informacji przez spółki, w które dokonano inwestycji, albo za pomocą wiarygodnych metod szacowania;</w:t>
            </w:r>
            <w:r>
              <w:t xml:space="preserve"> </w:t>
            </w:r>
            <w:r>
              <w:rPr>
                <w:b/>
                <w:i/>
              </w:rPr>
              <w:t>oraz</w:t>
            </w:r>
            <w:r>
              <w:br/>
            </w:r>
            <w:r>
              <w:rPr>
                <w:b/>
                <w:i/>
              </w:rPr>
              <w:t>(iii) nie przekracza łącznie 4 wskaźników.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ustęp 1 – punkt 4</w:t>
      </w:r>
      <w:r>
        <w:rPr>
          <w:rStyle w:val="HideTWBExt"/>
        </w:rPr>
        <w:t>&lt;/Article&gt;</w:t>
      </w:r>
    </w:p>
    <w:p>
      <w:r>
        <w:rPr>
          <w:rStyle w:val="HideTWBExt"/>
        </w:rPr>
        <w:t>&lt;DocAmend2&gt;</w:t>
      </w:r>
      <w:r>
        <w:t>Rozporządzenie (UE) 2019/2088</w:t>
      </w:r>
      <w:r>
        <w:rPr>
          <w:rStyle w:val="HideTWBExt"/>
        </w:rPr>
        <w:t>&lt;/DocAmend2&gt;</w:t>
      </w:r>
    </w:p>
    <w:p>
      <w:r>
        <w:rPr>
          <w:rStyle w:val="HideTWBExt"/>
        </w:rPr>
        <w:t>&lt;Article2&gt;</w:t>
      </w:r>
      <w:r>
        <w:t>Artykuł 3 – ustęp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Uczestnicy rynku finansowego publikują na </w:t>
            </w:r>
            <w:r>
              <w:rPr>
                <w:b/>
                <w:i/>
              </w:rPr>
              <w:t>swoich stronach internetowych</w:t>
            </w:r>
            <w:r>
              <w:t xml:space="preserve"> informacje na temat </w:t>
            </w:r>
            <w:r>
              <w:rPr>
                <w:b/>
                <w:i/>
              </w:rPr>
              <w:t>swoich</w:t>
            </w:r>
            <w:r>
              <w:t xml:space="preserve"> strategii </w:t>
            </w:r>
            <w:r>
              <w:rPr>
                <w:b/>
                <w:i/>
              </w:rPr>
              <w:t>dotyczących</w:t>
            </w:r>
            <w:r>
              <w:t xml:space="preserve"> uwzględniania </w:t>
            </w:r>
            <w:r>
              <w:rPr>
                <w:b/>
                <w:i/>
              </w:rPr>
              <w:t>ryzyk</w:t>
            </w:r>
            <w:r>
              <w:t xml:space="preserve"> dla zrównoważonego rozwoju w procesie podejmowania decyzji inwestycyjnych.</w:t>
            </w:r>
            <w:r>
              <w:rPr>
                <w:b/>
                <w:i/>
              </w:rPr>
              <w:t>;</w:t>
            </w:r>
          </w:p>
        </w:tc>
        <w:tc>
          <w:tcPr>
            <w:tcW w:w="4876" w:type="dxa"/>
            <w:tcBorders>
              <w:top w:val="nil"/>
              <w:left w:val="nil"/>
              <w:bottom w:val="nil"/>
              <w:right w:val="nil"/>
            </w:tcBorders>
          </w:tcPr>
          <w:p>
            <w:pPr>
              <w:pStyle w:val="Normal6a"/>
            </w:pPr>
            <w:r>
              <w:rPr>
                <w:b/>
                <w:i/>
              </w:rPr>
              <w:t>1.</w:t>
            </w:r>
            <w:r>
              <w:t xml:space="preserve"> Uczestnicy rynku finansowego publikują na </w:t>
            </w:r>
            <w:r>
              <w:rPr>
                <w:b/>
                <w:i/>
              </w:rPr>
              <w:t>swojej stronie internetowej</w:t>
            </w:r>
            <w:r>
              <w:t xml:space="preserve"> informacje na temat </w:t>
            </w:r>
            <w:r>
              <w:rPr>
                <w:b/>
                <w:i/>
              </w:rPr>
              <w:t>ich</w:t>
            </w:r>
            <w:r>
              <w:t xml:space="preserve"> strategii uwzględniania </w:t>
            </w:r>
            <w:r>
              <w:rPr>
                <w:b/>
                <w:i/>
              </w:rPr>
              <w:t>ryzyka</w:t>
            </w:r>
            <w:r>
              <w:t xml:space="preserve"> dla zrównoważonego rozwoju w procesie podejmowania decyzji inwestycyjnych</w:t>
            </w:r>
            <w:r>
              <w:rPr>
                <w:b/>
                <w:i/>
              </w:rPr>
              <w:t>, w tym opis tego, czy i w jaki sposób strategie uwzględniają (i) ryzyka, jakie czynniki zrównoważonego rozwoju stwarzają dla wartości inwestycji, oraz (ii) niekorzystny wpływ decyzji inwestycyjnych na czynniki zrównoważonego rozwoju</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 xml:space="preserve"> </w:t>
            </w:r>
            <w:r>
              <w:rPr>
                <w:b/>
                <w:i/>
              </w:rPr>
              <w:t>Uczestnicy rynku finansowego publikują na swojej stronie internetowej informacje na temat swojej polityki dotyczącej zaangażowania, w tym:</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zestaw wymiernych i określonych w czasie celów związanych ze zrównoważonym rozwojem, w tym oczekiwania sektorowe;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plan wdrażania z określonymi w czasie celami pośrednimi i działaniami, które należy podjąć, aby je osiągnąć;</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jasne i solidne ramy eskalacji w przypadku nieosiągnięcia oczekiwanych kamieni milowych i celów, co może prowadzić do decyzji o zbyciu i realokacji kapitału;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sposób, w jaki są one wspierane, w stosownych przypadkach, przez politykę głosowania ukierunkowaną na zrównoważony rozwój.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t xml:space="preserve"> </w:t>
            </w:r>
            <w:r>
              <w:rPr>
                <w:b/>
                <w:i/>
              </w:rPr>
              <w:t>Uczestnicy rynku finansowego publikują na swojej stronie internetowej informacje na temat odsetka zarządzanych przez nich aktywów i odsetka liczby produktów zainwestowanych w każdej kategorii zgodnie z art. 7, 8 i 9 w stosunku do, odpowiednio, ich łącznych zarządzanych aktywów i całkowitej liczby produktów.</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t xml:space="preserve"> </w:t>
            </w:r>
            <w:r>
              <w:rPr>
                <w:b/>
                <w:i/>
              </w:rPr>
              <w:t>W tym samym dokumencie co dokument, o którym mowa w ust. 3, uczestnicy rynku finansowego publikują:</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narażenie podmiotu na główne niekorzystne skutki dla czynników zrównoważonego rozwoju, w szczególności emisje gazów cieplarnianych, narażenie przedsiębiorstw działających w sektorze paliw kopalnych, naruszenia wytycznych ONZ i Wytycznych OECD dla przedsiębiorstw wielonarodowych oraz narażenie na broń kontrowersyjną;</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(ii) zagregowany wykaz głównych niekorzystnych skutków na poziomie produktu;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(iii) procesy i metody stosowane w celu zidentyfikowania i uszeregowania pod względem ważności głównych niekorzystnych skutków, a także działania podjęte w celu ograniczenia związanego z nimi ryzyka i skutków.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ustęp 1 – punkt 4</w:t>
      </w:r>
      <w:r>
        <w:rPr>
          <w:rStyle w:val="HideTWBExt"/>
        </w:rPr>
        <w:t>&lt;/Article&gt;</w:t>
      </w:r>
    </w:p>
    <w:p>
      <w:r>
        <w:rPr>
          <w:rStyle w:val="HideTWBExt"/>
        </w:rPr>
        <w:t>&lt;DocAmend2&gt;</w:t>
      </w:r>
      <w:r>
        <w:t>Rozporządzenie (UE) 2019/2088</w:t>
      </w:r>
      <w:r>
        <w:rPr>
          <w:rStyle w:val="HideTWBExt"/>
        </w:rPr>
        <w:t>&lt;/DocAmend2&gt;</w:t>
      </w:r>
    </w:p>
    <w:p>
      <w:r>
        <w:rPr>
          <w:rStyle w:val="HideTWBExt"/>
        </w:rPr>
        <w:t>&lt;Article2&gt;</w:t>
      </w:r>
      <w:r>
        <w:t>Artykuł 3 – ustęp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Uczestnicy rynku finansowego publikują na swoich stronach internetowych informacje na temat </w:t>
            </w:r>
            <w:r>
              <w:rPr>
                <w:b/>
                <w:i/>
              </w:rPr>
              <w:t>swoich strategii dotyczących uwzględniania ryzyk dla zrównoważonego rozwoju w procesie podejmowania decyzji inwestycyjnych.;</w:t>
            </w:r>
          </w:p>
        </w:tc>
        <w:tc>
          <w:tcPr>
            <w:tcW w:w="4876" w:type="dxa"/>
            <w:tcBorders>
              <w:top w:val="nil"/>
              <w:left w:val="nil"/>
              <w:bottom w:val="nil"/>
              <w:right w:val="nil"/>
            </w:tcBorders>
          </w:tcPr>
          <w:p>
            <w:pPr>
              <w:pStyle w:val="Normal6a"/>
            </w:pPr>
            <w:r>
              <w:t>Uczestnicy rynku finansowego publikują na swoich stronach internetowych informacje na temat</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swoich strategii dotyczących uwzględniania ryzyk dla zrównoważonego rozwoju w procesie podejmowania decyzji inwestycyjnych;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czy i w jaki sposób ograniczają one główne niekorzystne wpływy decyzji inwestycyjnych na czynniki zrównoważonego rozwoju zgodnie z art. 9aa i 19b;</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odsetek zarządzanych przez nich aktywów zainwestowanych odpowiednio w produkty finansowe sklasyfikowane zgodnie z art. 7, 8 i 9, wyrażony jako procent całkowitej wartości zarządzanych przez nich aktywów.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ustęp 1 – punkt 4</w:t>
      </w:r>
      <w:r>
        <w:rPr>
          <w:rStyle w:val="HideTWBExt"/>
        </w:rPr>
        <w:t>&lt;/Article&gt;</w:t>
      </w:r>
    </w:p>
    <w:p>
      <w:r>
        <w:rPr>
          <w:rStyle w:val="HideTWBExt"/>
        </w:rPr>
        <w:t>&lt;DocAmend2&gt;</w:t>
      </w:r>
      <w:r>
        <w:t>Rozporządzenie (UE) 2019/2088</w:t>
      </w:r>
      <w:r>
        <w:rPr>
          <w:rStyle w:val="HideTWBExt"/>
        </w:rPr>
        <w:t>&lt;/DocAmend2&gt;</w:t>
      </w:r>
    </w:p>
    <w:p>
      <w:r>
        <w:rPr>
          <w:rStyle w:val="HideTWBExt"/>
        </w:rPr>
        <w:t>&lt;Article2&gt;</w:t>
      </w:r>
      <w:r>
        <w:t>Artykuł 3 – ustęp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Uczestnicy rynku finansowego publikują na swoich stronach internetowych informacje na temat swoich strategii dotyczących uwzględniania ryzyk dla zrównoważonego rozwoju w procesie podejmowania decyzji inwestycyjnych.</w:t>
            </w:r>
            <w:r>
              <w:rPr>
                <w:b/>
                <w:i/>
              </w:rPr>
              <w:t>;</w:t>
            </w:r>
          </w:p>
        </w:tc>
        <w:tc>
          <w:tcPr>
            <w:tcW w:w="4876" w:type="dxa"/>
            <w:tcBorders>
              <w:top w:val="nil"/>
              <w:left w:val="nil"/>
              <w:bottom w:val="nil"/>
              <w:right w:val="nil"/>
            </w:tcBorders>
          </w:tcPr>
          <w:p>
            <w:pPr>
              <w:pStyle w:val="Normal6a"/>
            </w:pPr>
            <w:r>
              <w:t>Uczestnicy rynku finansowego publikują na swoich stronach internetowych informacje na temat swoich strategii dotyczących uwzględniania ryzyk dla zrównoważonego rozwoju w procesie podejmowania decyzji inwestycyjnych</w:t>
            </w:r>
            <w:r>
              <w:rPr>
                <w:b/>
                <w:i/>
              </w:rPr>
              <w:t>, z wyłączeniem funduszy zarezerwowanych dla inwestorów profesjonalnych</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akapit 1 – punkt 5</w:t>
      </w:r>
      <w:r>
        <w:rPr>
          <w:rStyle w:val="HideTWBExt"/>
        </w:rPr>
        <w:t>&lt;/Article&gt;</w:t>
      </w:r>
    </w:p>
    <w:p>
      <w:r>
        <w:rPr>
          <w:rStyle w:val="HideTWBExt"/>
        </w:rPr>
        <w:t>&lt;DocAmend2&gt;</w:t>
      </w:r>
      <w:r>
        <w:t>Rozporządzenie (UE) 2019/2088</w:t>
      </w:r>
      <w:r>
        <w:rPr>
          <w:rStyle w:val="HideTWBExt"/>
        </w:rPr>
        <w:t>&lt;/DocAmend2&gt;</w:t>
      </w:r>
    </w:p>
    <w:p>
      <w:r>
        <w:rPr>
          <w:rStyle w:val="HideTWBExt"/>
        </w:rPr>
        <w:t>&lt;Article2&gt;</w:t>
      </w:r>
      <w:r>
        <w:t>Artykuł 4 i 5</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uchyla się art. 4 i 5;</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Martin Günther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akapit 1 – punkt 5</w:t>
      </w:r>
      <w:r>
        <w:rPr>
          <w:rStyle w:val="HideTWBExt"/>
        </w:rPr>
        <w:t>&lt;/Article&gt;</w:t>
      </w:r>
    </w:p>
    <w:p>
      <w:r>
        <w:rPr>
          <w:rStyle w:val="HideTWBExt"/>
        </w:rPr>
        <w:t>&lt;DocAmend2&gt;</w:t>
      </w:r>
      <w:r>
        <w:t>Rozporządzenie (UE) 2019/2088</w:t>
      </w:r>
      <w:r>
        <w:rPr>
          <w:rStyle w:val="HideTWBExt"/>
        </w:rPr>
        <w:t>&lt;/DocAmend2&gt;</w:t>
      </w:r>
    </w:p>
    <w:p>
      <w:r>
        <w:rPr>
          <w:rStyle w:val="HideTWBExt"/>
        </w:rPr>
        <w:t>&lt;Article2&gt;</w:t>
      </w:r>
      <w:r>
        <w:t>Artykuł 4 i 5</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uchyla się art. 4 i 5;</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ustęp 1 – punkt 5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Artykuł 5 Przejrzystość strategii wynagrodzeniowych w związku z uwzględnianiem ryzyk dla zrównoważonego rozwoju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Uczestnicy rynku finansowego i doradcy finansowi ujmują w swoich politykach wynagrodzeń informacje o sposobie zapewniania spójności tych polityk z wprowadzaniem do działalności ryzyk dla zrównoważonego rozwoju oraz publikują te informacje na swoich stronach internetowych.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ustęp 1 – punkt 5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5b)</w:t>
            </w:r>
            <w:r>
              <w:tab/>
            </w:r>
            <w:r>
              <w:rPr>
                <w:b/>
                <w:i/>
              </w:rPr>
              <w:t>Artykuł 5a Przejrzystość polityki dotyczącej zaangażowania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Uczestnicy rynku finansowego publikują na swoich stronach internetowych informacje na temat swojej polityki zaangażowania, w tym sposobu, w jaki polityka ta jest zaprojektowana z myślą o wspieraniu celów związanych ze zrównoważonym rozwojem produktów finansowych, które wytwarzają, którymi zarządzają lub które udostępniają, oraz, w stosownych przypadkach, stopnia ich spójności z polityką zaangażowania, o której mowa w art. 3g dyrektywy 2007/36/WE.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akapit 1 – punkt 6 – litera a</w:t>
      </w:r>
      <w:r>
        <w:rPr>
          <w:rStyle w:val="HideTWBExt"/>
        </w:rPr>
        <w:t>&lt;/Article&gt;</w:t>
      </w:r>
    </w:p>
    <w:p>
      <w:r>
        <w:rPr>
          <w:rStyle w:val="HideTWBExt"/>
        </w:rPr>
        <w:t>&lt;DocAmend2&gt;</w:t>
      </w:r>
      <w:r>
        <w:t>Rozporządzenie (UE) 2019/2088</w:t>
      </w:r>
      <w:r>
        <w:rPr>
          <w:rStyle w:val="HideTWBExt"/>
        </w:rPr>
        <w:t>&lt;/DocAmend2&gt;</w:t>
      </w:r>
    </w:p>
    <w:p>
      <w:r>
        <w:rPr>
          <w:rStyle w:val="HideTWBExt"/>
        </w:rPr>
        <w:t>&lt;Article2&gt;</w:t>
      </w:r>
      <w:r>
        <w:t>Artykuł 6 – nagłówek</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Przejrzystość w zakresie uwzględniania ryzyk dla zrównoważonego rozwoju w informacjach ujawnianych </w:t>
            </w:r>
            <w:r>
              <w:rPr>
                <w:b/>
                <w:i/>
              </w:rPr>
              <w:t>przed zawarciem umowy</w:t>
            </w:r>
            <w:r>
              <w:t xml:space="preserve"> w odniesieniu do wszystkich produktów finansowych;</w:t>
            </w:r>
          </w:p>
        </w:tc>
        <w:tc>
          <w:tcPr>
            <w:tcW w:w="4876" w:type="dxa"/>
            <w:tcBorders>
              <w:top w:val="nil"/>
              <w:left w:val="nil"/>
              <w:bottom w:val="nil"/>
              <w:right w:val="nil"/>
            </w:tcBorders>
          </w:tcPr>
          <w:p>
            <w:pPr>
              <w:pStyle w:val="Normal6a"/>
            </w:pPr>
            <w:r>
              <w:t xml:space="preserve">Przejrzystość w zakresie uwzględniania ryzyk dla zrównoważonego rozwoju </w:t>
            </w:r>
            <w:r>
              <w:rPr>
                <w:b/>
                <w:i/>
              </w:rPr>
              <w:t>i główne niekorzystne wpływy</w:t>
            </w:r>
            <w:r>
              <w:t xml:space="preserve"> w informacjach ujawnianych w odniesieniu do wszystkich produktów finansowych;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ustęp 1 – punkt 6 – litera c a (nowa)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4.</w:t>
            </w:r>
            <w:r>
              <w:t xml:space="preserve"> </w:t>
            </w:r>
            <w:r>
              <w:rPr>
                <w:b/>
                <w:i/>
              </w:rPr>
              <w:t>Uczestnicy rynku finansowego co roku ujawniają w sprawozdaniach okresowych dotyczących każdego produktu finansowego ograniczoną liczbę głównych niekorzystnych wpływów na czynniki zrównoważonego rozwoju.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ustęp 1 – punkt 6 – litera c b (nowa)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cb)</w:t>
            </w:r>
            <w:r>
              <w:tab/>
            </w:r>
            <w:r>
              <w:rPr>
                <w:b/>
                <w:i/>
              </w:rPr>
              <w:t>5.</w:t>
            </w:r>
            <w:r>
              <w:t xml:space="preserve"> </w:t>
            </w:r>
            <w:r>
              <w:rPr>
                <w:b/>
                <w:i/>
              </w:rPr>
              <w:t>Informacje, o których mowa w ust. 4, ujawnia się w sposób określony w art. 11 ust. 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ustęp 1 – punkt 6 – litera c c (nowa)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cc)</w:t>
            </w:r>
            <w:r>
              <w:tab/>
            </w:r>
            <w:r>
              <w:rPr>
                <w:b/>
                <w:i/>
              </w:rPr>
              <w:t>6.</w:t>
            </w:r>
            <w:r>
              <w:rPr>
                <w:b/>
                <w:i/>
              </w:rPr>
              <w:t>Głównymi niekorzystnymi wpływami na czynniki zrównoważonego rozwoju, o których mowa w ust. 4, są następujące wskaźniki wymienione w rozporządzeniu delegowanym 2023/2772:</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w:t>
            </w:r>
            <w:r>
              <w:rPr>
                <w:b/>
                <w:i/>
              </w:rPr>
              <w:t>intensywność emisji gazów cieplarnianych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w:t>
            </w:r>
            <w:r>
              <w:rPr>
                <w:b/>
                <w:i/>
              </w:rPr>
              <w:t>emisje do wody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w:t>
            </w:r>
            <w:r>
              <w:rPr>
                <w:b/>
                <w:i/>
              </w:rPr>
              <w:t>odpady niebezpieczne i odpady promieniotwórcze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w:t>
            </w:r>
            <w:r>
              <w:rPr>
                <w:b/>
                <w:i/>
              </w:rPr>
              <w:t>Naruszenia zasad inicjatywy ONZ Global Compact i wytycznych OECD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w:t>
            </w:r>
            <w:r>
              <w:rPr>
                <w:b/>
                <w:i/>
              </w:rPr>
              <w:t>Brak polityki dotyczącej poszanowania praw człowieka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w:t>
            </w:r>
            <w:r>
              <w:rPr>
                <w:b/>
                <w:i/>
              </w:rPr>
              <w:t>Nieskorygowana luka płacowa między kobietami a mężczyznami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w:t>
            </w:r>
            <w:r>
              <w:t xml:space="preserve"> </w:t>
            </w:r>
            <w:r>
              <w:rPr>
                <w:b/>
                <w:i/>
              </w:rPr>
              <w:t>broń kontrowersyjna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Martin Günther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ustęp 1 – punkt 7</w:t>
      </w:r>
      <w:r>
        <w:rPr>
          <w:rStyle w:val="HideTWBExt"/>
        </w:rPr>
        <w:t>&lt;/Article&gt;</w:t>
      </w:r>
    </w:p>
    <w:p>
      <w:r>
        <w:rPr>
          <w:rStyle w:val="HideTWBExt"/>
        </w:rPr>
        <w:t>&lt;DocAmend2&gt;</w:t>
      </w:r>
      <w:r>
        <w:t>Rozporządzenie (UE) 2019/2088</w:t>
      </w:r>
      <w:r>
        <w:rPr>
          <w:rStyle w:val="HideTWBExt"/>
        </w:rPr>
        <w:t>&lt;/DocAmend2&gt;</w:t>
      </w:r>
    </w:p>
    <w:p>
      <w:r>
        <w:rPr>
          <w:rStyle w:val="HideTWBExt"/>
        </w:rPr>
        <w:t>&lt;Article2&gt;</w:t>
      </w:r>
      <w:r>
        <w:t>Artykuł 6a – nagłówek</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Dobrowolna</w:t>
            </w:r>
            <w:r>
              <w:t xml:space="preserve"> przejrzystość w zakresie uwzględniania czynników zrównoważonego rozwoju w informacjach ujawnianych przed zawarciem umowy w odniesieniu do produktów, które nie zostały sklasyfikowane jako produkty finansowe związane ze zrównoważonym rozwojem</w:t>
            </w:r>
          </w:p>
        </w:tc>
        <w:tc>
          <w:tcPr>
            <w:tcW w:w="4876" w:type="dxa"/>
            <w:tcBorders>
              <w:top w:val="nil"/>
              <w:left w:val="nil"/>
              <w:bottom w:val="nil"/>
              <w:right w:val="nil"/>
            </w:tcBorders>
          </w:tcPr>
          <w:p>
            <w:pPr>
              <w:pStyle w:val="Normal6a"/>
            </w:pPr>
            <w:r>
              <w:t>Przejrzystość w zakresie uwzględniania czynników zrównoważonego rozwoju w informacjach ujawnianych przed zawarciem umowy w odniesieniu do produktów, które nie zostały sklasyfikowane jako produkty finansowe związane ze zrównoważonym rozwojem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ustęp 1 – punkt 7</w:t>
      </w:r>
      <w:r>
        <w:rPr>
          <w:rStyle w:val="HideTWBExt"/>
        </w:rPr>
        <w:t>&lt;/Article&gt;</w:t>
      </w:r>
    </w:p>
    <w:p>
      <w:r>
        <w:rPr>
          <w:rStyle w:val="HideTWBExt"/>
        </w:rPr>
        <w:t>&lt;DocAmend2&gt;</w:t>
      </w:r>
      <w:r>
        <w:t>Rozporządzenie (UE) 2019/2088</w:t>
      </w:r>
      <w:r>
        <w:rPr>
          <w:rStyle w:val="HideTWBExt"/>
        </w:rPr>
        <w:t>&lt;/DocAmend2&gt;</w:t>
      </w:r>
    </w:p>
    <w:p>
      <w:r>
        <w:rPr>
          <w:rStyle w:val="HideTWBExt"/>
        </w:rPr>
        <w:t>&lt;Article2&gt;</w:t>
      </w:r>
      <w:r>
        <w:t>Artykuł 6a – nagłówek</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Dobrowolna</w:t>
            </w:r>
            <w:r>
              <w:t xml:space="preserve"> przejrzystość w zakresie uwzględniania czynników zrównoważonego rozwoju w informacjach ujawnianych przed zawarciem umowy w odniesieniu do produktów, które nie zostały sklasyfikowane jako produkty finansowe związane ze zrównoważonym rozwojem</w:t>
            </w:r>
          </w:p>
        </w:tc>
        <w:tc>
          <w:tcPr>
            <w:tcW w:w="4876" w:type="dxa"/>
            <w:tcBorders>
              <w:top w:val="nil"/>
              <w:left w:val="nil"/>
              <w:bottom w:val="nil"/>
              <w:right w:val="nil"/>
            </w:tcBorders>
          </w:tcPr>
          <w:p>
            <w:pPr>
              <w:pStyle w:val="Normal6a"/>
            </w:pPr>
            <w:r>
              <w:t>Przejrzystość w zakresie uwzględniania czynników zrównoważonego rozwoju w informacjach ujawnianych przed zawarciem umowy w odniesieniu do produktów, które nie zostały sklasyfikowane jako produkty finansowe związane ze zrównoważonym rozwojem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ustęp 1 – punkt 7</w:t>
      </w:r>
      <w:r>
        <w:rPr>
          <w:rStyle w:val="HideTWBExt"/>
        </w:rPr>
        <w:t>&lt;/Article&gt;</w:t>
      </w:r>
    </w:p>
    <w:p>
      <w:r>
        <w:rPr>
          <w:rStyle w:val="HideTWBExt"/>
        </w:rPr>
        <w:t>&lt;DocAmend2&gt;</w:t>
      </w:r>
      <w:r>
        <w:t>Rozporządzenie (UE) 2019/2088</w:t>
      </w:r>
      <w:r>
        <w:rPr>
          <w:rStyle w:val="HideTWBExt"/>
        </w:rPr>
        <w:t>&lt;/DocAmend2&gt;</w:t>
      </w:r>
    </w:p>
    <w:p>
      <w:r>
        <w:rPr>
          <w:rStyle w:val="HideTWBExt"/>
        </w:rPr>
        <w:t>&lt;Article2&gt;</w:t>
      </w:r>
      <w:r>
        <w:t>Artykuł 6a (nowy) – ustęp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Uczestnicy rynku finansowego nieprzestrzegający art. 7, 8 lub 9 niniejszego rozporządzenia muszą poinformować inwestorów, że ich produkty finansowe mogą wiązać się z ryzykami z zakresu ESG i ryzykami dla zrównoważonego rozwoju.</w:t>
            </w:r>
            <w:r>
              <w:t xml:space="preserve"> </w:t>
            </w:r>
            <w:r>
              <w:rPr>
                <w:b/>
                <w:i/>
              </w:rPr>
              <w:t>Informacje te ujawnia się zarówno na poziomie produktu finansowego w formie ostrzeżenia, jak i w sprawozdawczości rocznej uczestnika.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ustęp 1 – punkt 7</w:t>
      </w:r>
      <w:r>
        <w:rPr>
          <w:rStyle w:val="HideTWBExt"/>
        </w:rPr>
        <w:t>&lt;/Article&gt;</w:t>
      </w:r>
    </w:p>
    <w:p>
      <w:r>
        <w:rPr>
          <w:rStyle w:val="HideTWBExt"/>
        </w:rPr>
        <w:t>&lt;DocAmend2&gt;</w:t>
      </w:r>
      <w:r>
        <w:t>Rozporządzenie (UE) 2019/2088</w:t>
      </w:r>
      <w:r>
        <w:rPr>
          <w:rStyle w:val="HideTWBExt"/>
        </w:rPr>
        <w:t>&lt;/DocAmend2&gt;</w:t>
      </w:r>
    </w:p>
    <w:p>
      <w:r>
        <w:rPr>
          <w:rStyle w:val="HideTWBExt"/>
        </w:rPr>
        <w:t>&lt;Article2&gt;</w:t>
      </w:r>
      <w:r>
        <w:t>Artykuł 6a (nowy) – ustęp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Uczestnikom</w:t>
            </w:r>
            <w:r>
              <w:t xml:space="preserve"> rynku finansowego </w:t>
            </w:r>
            <w:r>
              <w:rPr>
                <w:b/>
                <w:i/>
              </w:rPr>
              <w:t>nie zabrania się umieszczania</w:t>
            </w:r>
            <w:r>
              <w:t xml:space="preserve"> w udostępnianej przed zawarciem umowy dokumentacji dotyczącej produktów finansowych innych niż produkty finansowe, które sklasyfikowano jako produkty finansowe związane ze zrównoważonym rozwojem zgodnie z art. 7, 8 lub 9, </w:t>
            </w:r>
            <w:r>
              <w:rPr>
                <w:b/>
                <w:i/>
              </w:rPr>
              <w:t>informacji o tym, czy i w jaki sposób produkty te uwzględniają czynniki zrównoważonego rozwoju, pod warunkiem że</w:t>
            </w:r>
            <w:r>
              <w:t xml:space="preserve"> informacje </w:t>
            </w:r>
            <w:r>
              <w:rPr>
                <w:b/>
                <w:i/>
              </w:rPr>
              <w:t>te</w:t>
            </w:r>
            <w:r>
              <w:t>:</w:t>
            </w:r>
          </w:p>
        </w:tc>
        <w:tc>
          <w:tcPr>
            <w:tcW w:w="4876" w:type="dxa"/>
            <w:tcBorders>
              <w:top w:val="nil"/>
              <w:left w:val="nil"/>
              <w:bottom w:val="nil"/>
              <w:right w:val="nil"/>
            </w:tcBorders>
          </w:tcPr>
          <w:p>
            <w:pPr>
              <w:pStyle w:val="Normal6a"/>
            </w:pPr>
            <w:r>
              <w:rPr>
                <w:b/>
                <w:i/>
              </w:rPr>
              <w:t>Uczestnicy</w:t>
            </w:r>
            <w:r>
              <w:t xml:space="preserve"> rynku finansowego </w:t>
            </w:r>
            <w:r>
              <w:rPr>
                <w:b/>
                <w:i/>
              </w:rPr>
              <w:t>umieszczają</w:t>
            </w:r>
            <w:r>
              <w:t xml:space="preserve"> w udostępnianej przed zawarciem umowy dokumentacji dotyczącej produktów finansowych innych niż produkty finansowe, które sklasyfikowano jako produkty finansowe związane ze zrównoważonym rozwojem zgodnie z art. 7, 8 lub 9, informacje </w:t>
            </w:r>
            <w:r>
              <w:rPr>
                <w:b/>
                <w:i/>
              </w:rPr>
              <w:t>o tym</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czy i w jaki sposób produkty te uwzględniają ryzyko dla zrównoważonego rozwoju;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czy i w jaki sposób ograniczają one główne niekorzystne wpływy decyzji inwestycyjnych na czynniki zrównoważonego rozwoju zgodnie z art. 9aa;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jaka jest oczekiwana intensywność emisji gazów cieplarnianych związana z produktami finansowymi;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jaka jest ekspozycja produktu finansowego na poszukiwanie, produkcję, przetwarzanie, dystrybucję, magazynowanie lub spalanie paliw kopalnych.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Informacje 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ustęp 1 – punkt 7</w:t>
      </w:r>
      <w:r>
        <w:rPr>
          <w:rStyle w:val="HideTWBExt"/>
        </w:rPr>
        <w:t>&lt;/Article&gt;</w:t>
      </w:r>
    </w:p>
    <w:p>
      <w:r>
        <w:rPr>
          <w:rStyle w:val="HideTWBExt"/>
        </w:rPr>
        <w:t>&lt;DocAmend2&gt;</w:t>
      </w:r>
      <w:r>
        <w:t>Rozporządzenie (UE) 2019/2088</w:t>
      </w:r>
      <w:r>
        <w:rPr>
          <w:rStyle w:val="HideTWBExt"/>
        </w:rPr>
        <w:t>&lt;/DocAmend2&gt;</w:t>
      </w:r>
    </w:p>
    <w:p>
      <w:r>
        <w:rPr>
          <w:rStyle w:val="HideTWBExt"/>
        </w:rPr>
        <w:t>&lt;Article2&gt;</w:t>
      </w:r>
      <w:r>
        <w:t>Artykuł 6a – ustęp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Uczestnikom rynku finansowego nie zabrania się umieszczania w udostępnianej przed zawarciem umowy dokumentacji dotyczącej produktów finansowych innych niż produkty finansowe, które sklasyfikowano jako produkty finansowe związane ze zrównoważonym rozwojem zgodnie z art. 7, 8 lub 9, informacji o tym, czy i w jaki sposób produkty te uwzględniają czynniki zrównoważonego rozwoju, pod warunkiem że informacje te:</w:t>
            </w:r>
          </w:p>
        </w:tc>
        <w:tc>
          <w:tcPr>
            <w:tcW w:w="4876" w:type="dxa"/>
            <w:tcBorders>
              <w:top w:val="nil"/>
              <w:left w:val="nil"/>
              <w:bottom w:val="nil"/>
              <w:right w:val="nil"/>
            </w:tcBorders>
          </w:tcPr>
          <w:p>
            <w:pPr>
              <w:pStyle w:val="Normal6a"/>
            </w:pPr>
            <w:r>
              <w:t xml:space="preserve">Uczestnikom rynku finansowego nie zabrania się umieszczania w udostępnianej przed zawarciem umowy dokumentacji dotyczącej produktów finansowych innych niż produkty finansowe, które sklasyfikowano jako produkty finansowe związane ze zrównoważonym rozwojem zgodnie z art. 7, 8 lub 9, informacji o tym, czy i w jaki sposób produkty te uwzględniają czynniki zrównoważonego rozwoju, pod warunkiem że informacje te </w:t>
            </w:r>
            <w:r>
              <w:rPr>
                <w:b/>
                <w:i/>
              </w:rPr>
              <w:t>dokładnie odzwierciedlają prawdziwy skład inwestycji w ramach produktu finansowego oraz pod warunkiem że informacje te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Martin Günther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ustęp 1 – punkt 7</w:t>
      </w:r>
      <w:r>
        <w:rPr>
          <w:rStyle w:val="HideTWBExt"/>
        </w:rPr>
        <w:t>&lt;/Article&gt;</w:t>
      </w:r>
    </w:p>
    <w:p>
      <w:r>
        <w:rPr>
          <w:rStyle w:val="HideTWBExt"/>
        </w:rPr>
        <w:t>&lt;DocAmend2&gt;</w:t>
      </w:r>
      <w:r>
        <w:t>Rozporządzenie (UE) 2019/2088</w:t>
      </w:r>
      <w:r>
        <w:rPr>
          <w:rStyle w:val="HideTWBExt"/>
        </w:rPr>
        <w:t>&lt;/DocAmend2&gt;</w:t>
      </w:r>
    </w:p>
    <w:p>
      <w:r>
        <w:rPr>
          <w:rStyle w:val="HideTWBExt"/>
        </w:rPr>
        <w:t>&lt;Article2&gt;</w:t>
      </w:r>
      <w:r>
        <w:t>Artykuł 6a – ustęp 1 – akapit 1 – wprowadzenie</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Uczestnikom rynku finansowego nie zabrania się umieszczania w udostępnianej przed zawarciem umowy dokumentacji dotyczącej produktów finansowych innych niż produkty finansowe, które sklasyfikowano jako produkty finansowe związane ze zrównoważonym rozwojem zgodnie z art. 7, 8 lub 9, informacji o tym, czy i w jaki sposób produkty te uwzględniają czynniki zrównoważonego rozwoju, pod warunkiem że informacje te:</w:t>
            </w:r>
          </w:p>
        </w:tc>
        <w:tc>
          <w:tcPr>
            <w:tcW w:w="4876" w:type="dxa"/>
            <w:tcBorders>
              <w:top w:val="nil"/>
              <w:left w:val="nil"/>
              <w:bottom w:val="nil"/>
              <w:right w:val="nil"/>
            </w:tcBorders>
          </w:tcPr>
          <w:p>
            <w:pPr>
              <w:pStyle w:val="Normal6a"/>
            </w:pPr>
            <w:r>
              <w:t xml:space="preserve">Uczestnikom rynku finansowego nie zabrania się umieszczania w udostępnianej przed zawarciem umowy dokumentacji dotyczącej produktów finansowych innych niż produkty finansowe, które sklasyfikowano jako produkty finansowe związane ze zrównoważonym rozwojem zgodnie z art. 7, 8 lub 9, informacji o tym, czy i w jaki sposób produkty te uwzględniają czynniki zrównoważonego rozwoju, </w:t>
            </w:r>
            <w:r>
              <w:rPr>
                <w:b/>
                <w:i/>
              </w:rPr>
              <w:t>innych niż informacje na podstawie ust. 1a niniejszego artykułu,</w:t>
            </w:r>
            <w:r>
              <w:t xml:space="preserve"> pod warunkiem że informacje 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ustęp 1 – punkt 7</w:t>
      </w:r>
      <w:r>
        <w:rPr>
          <w:rStyle w:val="HideTWBExt"/>
        </w:rPr>
        <w:t>&lt;/Article&gt;</w:t>
      </w:r>
    </w:p>
    <w:p>
      <w:r>
        <w:rPr>
          <w:rStyle w:val="HideTWBExt"/>
        </w:rPr>
        <w:t>&lt;DocAmend2&gt;</w:t>
      </w:r>
      <w:r>
        <w:t>Rozporządzenie (UE) 2019/2088</w:t>
      </w:r>
      <w:r>
        <w:rPr>
          <w:rStyle w:val="HideTWBExt"/>
        </w:rPr>
        <w:t>&lt;/DocAmend2&gt;</w:t>
      </w:r>
    </w:p>
    <w:p>
      <w:r>
        <w:rPr>
          <w:rStyle w:val="HideTWBExt"/>
        </w:rPr>
        <w:t>&lt;Article2&gt;</w:t>
      </w:r>
      <w:r>
        <w:t>Artykuł 6a – ustęp 1 – akapit 1 – litera 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rPr>
                <w:b/>
                <w:i/>
              </w:rPr>
              <w:t>nie są centralnym elementem informacji na temat produktu finansowego ujawnianych przed zawarciem umowy;</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ustęp 1 – punkt 7</w:t>
      </w:r>
      <w:r>
        <w:rPr>
          <w:rStyle w:val="HideTWBExt"/>
        </w:rPr>
        <w:t>&lt;/Article&gt;</w:t>
      </w:r>
    </w:p>
    <w:p>
      <w:r>
        <w:rPr>
          <w:rStyle w:val="HideTWBExt"/>
        </w:rPr>
        <w:t>&lt;DocAmend2&gt;</w:t>
      </w:r>
      <w:r>
        <w:t>Rozporządzenie (UE) 2019/2088</w:t>
      </w:r>
      <w:r>
        <w:rPr>
          <w:rStyle w:val="HideTWBExt"/>
        </w:rPr>
        <w:t>&lt;/DocAmend2&gt;</w:t>
      </w:r>
    </w:p>
    <w:p>
      <w:r>
        <w:rPr>
          <w:rStyle w:val="HideTWBExt"/>
        </w:rPr>
        <w:t>&lt;Article2&gt;</w:t>
      </w:r>
      <w:r>
        <w:t>Artykuł 6a – ustęp 1 – akapit 1 – litera 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nie </w:t>
            </w:r>
            <w:r>
              <w:rPr>
                <w:b/>
                <w:i/>
              </w:rPr>
              <w:t>są</w:t>
            </w:r>
            <w:r>
              <w:t xml:space="preserve"> centralnym elementem informacji na temat produktu finansowego ujawnianych przed zawarciem umowy;</w:t>
            </w:r>
          </w:p>
        </w:tc>
        <w:tc>
          <w:tcPr>
            <w:tcW w:w="4876" w:type="dxa"/>
            <w:tcBorders>
              <w:top w:val="nil"/>
              <w:left w:val="nil"/>
              <w:bottom w:val="nil"/>
              <w:right w:val="nil"/>
            </w:tcBorders>
          </w:tcPr>
          <w:p>
            <w:pPr>
              <w:pStyle w:val="Normal6a"/>
            </w:pPr>
            <w:r>
              <w:t>a)</w:t>
            </w:r>
            <w:r>
              <w:tab/>
            </w:r>
            <w:r>
              <w:t xml:space="preserve">nie </w:t>
            </w:r>
            <w:r>
              <w:rPr>
                <w:b/>
                <w:i/>
              </w:rPr>
              <w:t>być</w:t>
            </w:r>
            <w:r>
              <w:t xml:space="preserve"> centralnym elementem informacji na temat produktu finansowego ujawnianych przed zawarciem umowy;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ustęp 1 – punkt 7</w:t>
      </w:r>
      <w:r>
        <w:rPr>
          <w:rStyle w:val="HideTWBExt"/>
        </w:rPr>
        <w:t>&lt;/Article&gt;</w:t>
      </w:r>
    </w:p>
    <w:p>
      <w:r>
        <w:rPr>
          <w:rStyle w:val="HideTWBExt"/>
        </w:rPr>
        <w:t>&lt;DocAmend2&gt;</w:t>
      </w:r>
      <w:r>
        <w:t>Rozporządzenie (UE) 2019/2088</w:t>
      </w:r>
      <w:r>
        <w:rPr>
          <w:rStyle w:val="HideTWBExt"/>
        </w:rPr>
        <w:t>&lt;/DocAmend2&gt;</w:t>
      </w:r>
    </w:p>
    <w:p>
      <w:r>
        <w:rPr>
          <w:rStyle w:val="HideTWBExt"/>
        </w:rPr>
        <w:t>&lt;Article2&gt;</w:t>
      </w:r>
      <w:r>
        <w:t>Artykuł 6a – ustęp 1 – akapit 1 – litera b</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nie są uwzględnione w dokumencie zawierającym kluczowe informacje dla inwestorów, o którym mowa w art. 78 dyrektywy 2009/65/WE, ani w dokumencie zawierającym kluczowe informacje, o którym mowa w rozdziale II rozporządzenia (UE) nr 1286/2014</w:t>
            </w:r>
            <w:r>
              <w:rPr>
                <w:b/>
                <w:i/>
                <w:vertAlign w:val="superscript"/>
              </w:rPr>
              <w:t>*3</w:t>
            </w:r>
            <w:r>
              <w:rPr>
                <w:b/>
                <w:i/>
              </w:rPr>
              <w:t>;</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ustęp 1 – punkt 7</w:t>
      </w:r>
      <w:r>
        <w:rPr>
          <w:rStyle w:val="HideTWBExt"/>
        </w:rPr>
        <w:t>&lt;/Article&gt;</w:t>
      </w:r>
    </w:p>
    <w:p>
      <w:r>
        <w:rPr>
          <w:rStyle w:val="HideTWBExt"/>
        </w:rPr>
        <w:t>&lt;DocAmend2&gt;</w:t>
      </w:r>
      <w:r>
        <w:t>Rozporządzenie (UE) 2019/2088</w:t>
      </w:r>
      <w:r>
        <w:rPr>
          <w:rStyle w:val="HideTWBExt"/>
        </w:rPr>
        <w:t>&lt;/DocAmend2&gt;</w:t>
      </w:r>
    </w:p>
    <w:p>
      <w:r>
        <w:rPr>
          <w:rStyle w:val="HideTWBExt"/>
        </w:rPr>
        <w:t>&lt;Article2&gt;</w:t>
      </w:r>
      <w:r>
        <w:t>Artykuł 6a – ustęp 1 – akapit 1 – litera b</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nie są uwzględnione w dokumencie zawierającym kluczowe informacje dla inwestorów, o którym mowa w art. 78 dyrektywy 2009/65/WE, ani w dokumencie zawierającym kluczowe informacje, o którym mowa w rozdziale II rozporządzenia (UE) nr 1286/2014</w:t>
            </w:r>
            <w:r>
              <w:rPr>
                <w:b/>
                <w:i/>
                <w:vertAlign w:val="superscript"/>
              </w:rPr>
              <w:t>*3</w:t>
            </w:r>
            <w:r>
              <w:rPr>
                <w:b/>
                <w:i/>
              </w:rPr>
              <w:t>;</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ustęp 1 – punkt 7</w:t>
      </w:r>
      <w:r>
        <w:rPr>
          <w:rStyle w:val="HideTWBExt"/>
        </w:rPr>
        <w:t>&lt;/Article&gt;</w:t>
      </w:r>
    </w:p>
    <w:p>
      <w:r>
        <w:rPr>
          <w:rStyle w:val="HideTWBExt"/>
        </w:rPr>
        <w:t>&lt;DocAmend2&gt;</w:t>
      </w:r>
      <w:r>
        <w:t>Rozporządzenie (UE) 2019/2088</w:t>
      </w:r>
      <w:r>
        <w:rPr>
          <w:rStyle w:val="HideTWBExt"/>
        </w:rPr>
        <w:t>&lt;/DocAmend2&gt;</w:t>
      </w:r>
    </w:p>
    <w:p>
      <w:r>
        <w:rPr>
          <w:rStyle w:val="HideTWBExt"/>
        </w:rPr>
        <w:t>&lt;Article2&gt;</w:t>
      </w:r>
      <w:r>
        <w:t>Artykuł 6a – ustęp 1 – akapit 1 – litera c</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nie </w:t>
            </w:r>
            <w:r>
              <w:rPr>
                <w:b/>
                <w:i/>
              </w:rPr>
              <w:t>stanowią twierdzenia</w:t>
            </w:r>
            <w:r>
              <w:t xml:space="preserve"> w rozumieniu art. 7 ust. 1, art. 8 ust. 1 lub art. 9 ust. 1.</w:t>
            </w:r>
          </w:p>
        </w:tc>
        <w:tc>
          <w:tcPr>
            <w:tcW w:w="4876" w:type="dxa"/>
            <w:tcBorders>
              <w:top w:val="nil"/>
              <w:left w:val="nil"/>
              <w:bottom w:val="nil"/>
              <w:right w:val="nil"/>
            </w:tcBorders>
          </w:tcPr>
          <w:p>
            <w:pPr>
              <w:pStyle w:val="Normal6a"/>
            </w:pPr>
            <w:r>
              <w:t>c)</w:t>
            </w:r>
            <w:r>
              <w:tab/>
            </w:r>
            <w:r>
              <w:t xml:space="preserve">nie </w:t>
            </w:r>
            <w:r>
              <w:rPr>
                <w:b/>
                <w:i/>
              </w:rPr>
              <w:t>są twierdzeniem</w:t>
            </w:r>
            <w:r>
              <w:t xml:space="preserve"> w rozumieniu art. 7 ust. 1, art. 8 ust. 1 lub art. 9 ust. 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Denis Nesci, Francesco Ventola, Mariateresa Vivaldini, Marco Falcone, Marco Squarta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ustęp 1 – punkt 7</w:t>
      </w:r>
      <w:r>
        <w:rPr>
          <w:rStyle w:val="HideTWBExt"/>
        </w:rPr>
        <w:t>&lt;/Article&gt;</w:t>
      </w:r>
    </w:p>
    <w:p>
      <w:r>
        <w:rPr>
          <w:rStyle w:val="HideTWBExt"/>
        </w:rPr>
        <w:t>&lt;DocAmend2&gt;</w:t>
      </w:r>
      <w:r>
        <w:t>Rozporządzenie (UE) 2019/2088</w:t>
      </w:r>
      <w:r>
        <w:rPr>
          <w:rStyle w:val="HideTWBExt"/>
        </w:rPr>
        <w:t>&lt;/DocAmend2&gt;</w:t>
      </w:r>
    </w:p>
    <w:p>
      <w:r>
        <w:rPr>
          <w:rStyle w:val="HideTWBExt"/>
        </w:rPr>
        <w:t>&lt;Article2&gt;</w:t>
      </w:r>
      <w:r>
        <w:t>Artykuł 6a – ustęp 1 – akapit 1 – litera c a (nowa)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c) nie stanowią roszczenia w rozumieniu art. 7 ust. 1, art. 8 ust. 1 lub art. 9 ust. 1 i nie muszą przedstawiać produktu finansowego jako należącego do żadnej z kategorii określonych w art. 7, 8 lub 9;</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mogą zawierać informacje na temat uwzględniania lub włączenia czynników zrównoważonego rozwoju, w tym wyłączeń, zaangażowania lub innych strategii związanych ze zrównoważonym rozwojem, których samych w sobie nie należy uznawać za oświadczenia dotyczące zrównoważonego rozwoju;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towarzyszy im jasne i wyraźne oświadczenie, że produkt finansowy nie należy do żadnej kategorii produktów finansowych związanych ze zrównoważonym rozwojem w rozumieniu niniejszego rozporządzenia.</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Martin Günther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ustęp 1 – punkt 7</w:t>
      </w:r>
      <w:r>
        <w:rPr>
          <w:rStyle w:val="HideTWBExt"/>
        </w:rPr>
        <w:t>&lt;/Article&gt;</w:t>
      </w:r>
    </w:p>
    <w:p>
      <w:r>
        <w:rPr>
          <w:rStyle w:val="HideTWBExt"/>
        </w:rPr>
        <w:t>&lt;DocAmend2&gt;</w:t>
      </w:r>
      <w:r>
        <w:t>Rozporządzenie (UE) 2019/2088</w:t>
      </w:r>
      <w:r>
        <w:rPr>
          <w:rStyle w:val="HideTWBExt"/>
        </w:rPr>
        <w:t>&lt;/DocAmend2&gt;</w:t>
      </w:r>
    </w:p>
    <w:p>
      <w:r>
        <w:rPr>
          <w:rStyle w:val="HideTWBExt"/>
        </w:rPr>
        <w:t>&lt;Article2&gt;</w:t>
      </w:r>
      <w:r>
        <w:t>Artykuł 6a – ustęp 1 – akapit 1 – litera c a (nowa)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oświadcza, że produkt nie spełnia wymogów dotyczących produktów finansowych określonych odpowiednio w art. 7 ust. 1, art. 8 ust. 1 i art. 9 ust. 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ustęp 1 – punkt 7</w:t>
      </w:r>
      <w:r>
        <w:rPr>
          <w:rStyle w:val="HideTWBExt"/>
        </w:rPr>
        <w:t>&lt;/Article&gt;</w:t>
      </w:r>
    </w:p>
    <w:p>
      <w:r>
        <w:rPr>
          <w:rStyle w:val="HideTWBExt"/>
        </w:rPr>
        <w:t>&lt;DocAmend2&gt;</w:t>
      </w:r>
      <w:r>
        <w:t>Rozporządzenie (UE) 2019/2088</w:t>
      </w:r>
      <w:r>
        <w:rPr>
          <w:rStyle w:val="HideTWBExt"/>
        </w:rPr>
        <w:t>&lt;/DocAmend2&gt;</w:t>
      </w:r>
    </w:p>
    <w:p>
      <w:r>
        <w:rPr>
          <w:rStyle w:val="HideTWBExt"/>
        </w:rPr>
        <w:t>&lt;Article2&gt;</w:t>
      </w:r>
      <w:r>
        <w:t>Artykuł 6a – ustęp 1 – akapit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Do celów akapitu pierwszego </w:t>
            </w:r>
            <w:r>
              <w:rPr>
                <w:b/>
                <w:i/>
              </w:rPr>
              <w:t>lit. a) informacji nie uznaje się za centralny element, jeżeli są drugorzędne w stosunku do prezentacji cech produktu zarówno pod względem zakresu, jak i pozycji w dokumencie, są neutralne i ograniczone do mniej niż 10 % objętości, którą zajmuje prezentacja strategii inwestycyjnej produktu</w:t>
            </w:r>
            <w:r>
              <w:t xml:space="preserve"> finansowego.</w:t>
            </w:r>
          </w:p>
        </w:tc>
        <w:tc>
          <w:tcPr>
            <w:tcW w:w="4876" w:type="dxa"/>
            <w:tcBorders>
              <w:top w:val="nil"/>
              <w:left w:val="nil"/>
              <w:bottom w:val="nil"/>
              <w:right w:val="nil"/>
            </w:tcBorders>
          </w:tcPr>
          <w:p>
            <w:pPr>
              <w:pStyle w:val="Normal6a"/>
            </w:pPr>
            <w:r>
              <w:t xml:space="preserve">Do celów akapitu pierwszego </w:t>
            </w:r>
            <w:r>
              <w:rPr>
                <w:b/>
                <w:i/>
              </w:rPr>
              <w:t>uczestnicy rynku</w:t>
            </w:r>
            <w:r>
              <w:t xml:space="preserve"> finansowego </w:t>
            </w:r>
            <w:r>
              <w:rPr>
                <w:b/>
                <w:i/>
              </w:rPr>
              <w:t>mogą ujawniać udział inwestycji objętych ich produktami, które spełniają kryteria określone w art</w:t>
            </w:r>
            <w:r>
              <w:t xml:space="preserve">. </w:t>
            </w:r>
            <w:r>
              <w:rPr>
                <w:b/>
                <w:i/>
              </w:rPr>
              <w:t>7, 8 lub 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Martin Günther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ustęp 1 – punkt 7</w:t>
      </w:r>
      <w:r>
        <w:rPr>
          <w:rStyle w:val="HideTWBExt"/>
        </w:rPr>
        <w:t>&lt;/Article&gt;</w:t>
      </w:r>
    </w:p>
    <w:p>
      <w:r>
        <w:rPr>
          <w:rStyle w:val="HideTWBExt"/>
        </w:rPr>
        <w:t>&lt;DocAmend2&gt;</w:t>
      </w:r>
      <w:r>
        <w:t>Rozporządzenie (UE) 2019/2088</w:t>
      </w:r>
      <w:r>
        <w:rPr>
          <w:rStyle w:val="HideTWBExt"/>
        </w:rPr>
        <w:t>&lt;/DocAmend2&gt;</w:t>
      </w:r>
    </w:p>
    <w:p>
      <w:r>
        <w:rPr>
          <w:rStyle w:val="HideTWBExt"/>
        </w:rPr>
        <w:t>&lt;Article2&gt;</w:t>
      </w:r>
      <w:r>
        <w:t>Artykuł 6a – ustęp 1 – akapit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Do celów akapitu pierwszego lit. a) informacji nie uznaje się za centralny element, jeżeli są drugorzędne w stosunku do prezentacji cech produktu zarówno pod względem zakresu, jak i pozycji w dokumencie, są neutralne i ograniczone do mniej niż </w:t>
            </w:r>
            <w:r>
              <w:rPr>
                <w:b/>
                <w:i/>
              </w:rPr>
              <w:t>10</w:t>
            </w:r>
            <w:r>
              <w:t xml:space="preserve"> % objętości, którą zajmuje prezentacja strategii inwestycyjnej produktu finansowego.</w:t>
            </w:r>
          </w:p>
        </w:tc>
        <w:tc>
          <w:tcPr>
            <w:tcW w:w="4876" w:type="dxa"/>
            <w:tcBorders>
              <w:top w:val="nil"/>
              <w:left w:val="nil"/>
              <w:bottom w:val="nil"/>
              <w:right w:val="nil"/>
            </w:tcBorders>
          </w:tcPr>
          <w:p>
            <w:pPr>
              <w:pStyle w:val="Normal6a"/>
            </w:pPr>
            <w:r>
              <w:t xml:space="preserve">Do celów akapitu pierwszego lit. a) informacji nie uznaje się za centralny element, jeżeli są drugorzędne w stosunku do prezentacji cech produktu zarówno pod względem zakresu, jak i pozycji w dokumencie, są neutralne i ograniczone do mniej niż </w:t>
            </w:r>
            <w:r>
              <w:rPr>
                <w:b/>
                <w:i/>
              </w:rPr>
              <w:t>5</w:t>
            </w:r>
            <w:r>
              <w:t> % objętości, którą zajmuje prezentacja strategii inwestycyjnej produktu finansowego.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Martin Günther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ustęp 1 – punkt 7</w:t>
      </w:r>
      <w:r>
        <w:rPr>
          <w:rStyle w:val="HideTWBExt"/>
        </w:rPr>
        <w:t>&lt;/Article&gt;</w:t>
      </w:r>
    </w:p>
    <w:p>
      <w:r>
        <w:rPr>
          <w:rStyle w:val="HideTWBExt"/>
        </w:rPr>
        <w:t>&lt;DocAmend2&gt;</w:t>
      </w:r>
      <w:r>
        <w:t>Rozporządzenie (UE) 2019/2088</w:t>
      </w:r>
      <w:r>
        <w:rPr>
          <w:rStyle w:val="HideTWBExt"/>
        </w:rPr>
        <w:t>&lt;/DocAmend2&gt;</w:t>
      </w:r>
    </w:p>
    <w:p>
      <w:r>
        <w:rPr>
          <w:rStyle w:val="HideTWBExt"/>
        </w:rPr>
        <w:t>&lt;Article2&gt;</w:t>
      </w:r>
      <w:r>
        <w:t>Artykuł 6a – ustęp 1 a (nowy)</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Uczestnicy rynku finansowego ujawniający informacje przed zawarciem umowy zawierają opisy następujących elementów:</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czy nie obejmują inwestycji w przedsiębiorstwa, o których mowa w art. 12 ust. 1 lit. a)–d) rozporządzenia delegowanego (UE) 2020/1818, z wyjątkiem inwestycji w instrumenty o konkretnym przeznaczeniu przychodów emitowane przez przedsiębiorstwa: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które są europejskimi zielonymi obligacjami zgodnie z art. 3 rozporządzenia (UE) 2023/2631;</w:t>
            </w:r>
            <w:r>
              <w:rPr>
                <w:b/>
                <w:i/>
              </w:rPr>
              <w:t>lub</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ii) czy przychody nie są przeznaczone na finansowanie żadnych działań wyłączonych na mocy art. 12 ust. 1 lit. a), b) i d) rozporządzenia delegowanego (UE) 2020/1818, pod warunkiem że emitent instrumentów o konkretnym przeznaczeniu przychodów nie podlega wyłączeniu na mocy art. 12 ust. 1 lit. c) tego rozporządzenia delegowanego;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czy nie obejmują inwestycji w przedsiębiorstwa, które: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opracowują nowe projekty dotyczące poszukiwania, wydobycia, dystrybucji lub rafinacji węgla kamiennego i brunatnego, paliw ropopochodnych lub paliw gazowych;</w:t>
            </w:r>
            <w:r>
              <w:rPr>
                <w:b/>
                <w:i/>
              </w:rPr>
              <w:t>lub</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(ii) opracowują nowe projekty dotyczące poszukiwania, wydobycia, dystrybucji, rafinacji lub eksploatacji węgla kamiennego lub brunatnego do celów wytwarzania energii elektrycznej lub nie mają planów wycofania się z tych działań;</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główne niekorzystne wpływy inwestycji na czynniki zrównoważonego rozwoju;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Lara Wolters, Jonás Fernández, Aurore Lalucq, Niels Fuglsang, Evelyn Regner, César Luena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ustęp 1 – punkt 7</w:t>
      </w:r>
      <w:r>
        <w:rPr>
          <w:rStyle w:val="HideTWBExt"/>
        </w:rPr>
        <w:t>&lt;/Article&gt;</w:t>
      </w:r>
    </w:p>
    <w:p>
      <w:r>
        <w:rPr>
          <w:rStyle w:val="HideTWBExt"/>
        </w:rPr>
        <w:t>&lt;DocAmend2&gt;</w:t>
      </w:r>
      <w:r>
        <w:t>Rozporządzenie (UE) 2019/2088</w:t>
      </w:r>
      <w:r>
        <w:rPr>
          <w:rStyle w:val="HideTWBExt"/>
        </w:rPr>
        <w:t>&lt;/DocAmend2&gt;</w:t>
      </w:r>
    </w:p>
    <w:p>
      <w:r>
        <w:rPr>
          <w:rStyle w:val="HideTWBExt"/>
        </w:rPr>
        <w:t>&lt;Article2&gt;</w:t>
      </w:r>
      <w:r>
        <w:t>Artykuł 6a – ustęp 1 a (nowy)</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Uczestnicy rynku finansowego oferujący produkty finansowe inne niż te sklasyfikowane na podstawie art. 7, 8 lub 9 niniejszego rozporządzenia zamieszczają w widoczny sposób w informacjach, o których mowa w art. 6 ust. 3 i art. 11 ust. 2, oświadczenie potwierdzające, że dany produkt nie spełnia norm UE dotyczących definiowania zrównoważonych produktów finansowych, zwalczania pseudoekologicznego marketingu i przejrzystości w zakresie niekorzystnych wpływów.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ustęp 1 – punkt 7</w:t>
      </w:r>
      <w:r>
        <w:rPr>
          <w:rStyle w:val="HideTWBExt"/>
        </w:rPr>
        <w:t>&lt;/Article&gt;</w:t>
      </w:r>
    </w:p>
    <w:p>
      <w:r>
        <w:rPr>
          <w:rStyle w:val="HideTWBExt"/>
        </w:rPr>
        <w:t>&lt;DocAmend2&gt;</w:t>
      </w:r>
      <w:r>
        <w:t>Rozporządzenie (UE) 2019/2088</w:t>
      </w:r>
      <w:r>
        <w:rPr>
          <w:rStyle w:val="HideTWBExt"/>
        </w:rPr>
        <w:t>&lt;/DocAmend2&gt;</w:t>
      </w:r>
    </w:p>
    <w:p>
      <w:r>
        <w:rPr>
          <w:rStyle w:val="HideTWBExt"/>
        </w:rPr>
        <w:t>&lt;Article2&gt;</w:t>
      </w:r>
      <w:r>
        <w:t>Artykuł 6a – ustęp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Uczestnicy rynku finansowego ujawniający informacje, o których mowa w ust. 1, co roku uwzględniają w swoich sprawozdaniach okresowych opis </w:t>
            </w:r>
            <w:r>
              <w:rPr>
                <w:b/>
                <w:i/>
              </w:rPr>
              <w:t>uwzględnienia czynników</w:t>
            </w:r>
            <w:r>
              <w:t xml:space="preserve"> zrównoważonego rozwoju. Warunki wymienione w ust. 1 lit. a)–c) stosuje się odpowiednio do wszelkich informacji związanych ze zrównoważonym rozwojem zawartych w wspomnianych sprawozdaniach okresowych.</w:t>
            </w:r>
          </w:p>
        </w:tc>
        <w:tc>
          <w:tcPr>
            <w:tcW w:w="4876" w:type="dxa"/>
            <w:tcBorders>
              <w:top w:val="nil"/>
              <w:left w:val="nil"/>
              <w:bottom w:val="nil"/>
              <w:right w:val="nil"/>
            </w:tcBorders>
          </w:tcPr>
          <w:p>
            <w:pPr>
              <w:pStyle w:val="Normal6a"/>
            </w:pPr>
            <w:r>
              <w:t>3.</w:t>
            </w:r>
            <w:r>
              <w:tab/>
            </w:r>
            <w:r>
              <w:t xml:space="preserve">Uczestnicy rynku finansowego ujawniający informacje, o których mowa w ust. 1, co roku uwzględniają w swoich sprawozdaniach okresowych opis </w:t>
            </w:r>
            <w:r>
              <w:rPr>
                <w:b/>
                <w:i/>
              </w:rPr>
              <w:t>uwzględniania ryzyka dla zrównoważonego rozwoju i łagodzenia głównych niekorzystnych wpływów decyzji inwestycyjnych na czynniki</w:t>
            </w:r>
            <w:r>
              <w:t xml:space="preserve"> zrównoważonego rozwoju. Warunki wymienione w ust. 1 lit. a)–c) stosuje się odpowiednio do wszelkich informacji związanych ze zrównoważonym rozwojem zawartych w wspomnianych sprawozdaniach okresowych.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ustęp 1 – punkt 7</w:t>
      </w:r>
      <w:r>
        <w:rPr>
          <w:rStyle w:val="HideTWBExt"/>
        </w:rPr>
        <w:t>&lt;/Article&gt;</w:t>
      </w:r>
    </w:p>
    <w:p>
      <w:r>
        <w:rPr>
          <w:rStyle w:val="HideTWBExt"/>
        </w:rPr>
        <w:t>&lt;DocAmend2&gt;</w:t>
      </w:r>
      <w:r>
        <w:t>Rozporządzenie (UE) 2019/2088</w:t>
      </w:r>
      <w:r>
        <w:rPr>
          <w:rStyle w:val="HideTWBExt"/>
        </w:rPr>
        <w:t>&lt;/DocAmend2&gt;</w:t>
      </w:r>
    </w:p>
    <w:p>
      <w:r>
        <w:rPr>
          <w:rStyle w:val="HideTWBExt"/>
        </w:rPr>
        <w:t>&lt;Article2&gt;</w:t>
      </w:r>
      <w:r>
        <w:t>Artykuł 6a – ustęp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Uczestnicy rynku finansowego ujawniający informacje, o których mowa w ust. 1, co roku uwzględniają w swoich sprawozdaniach okresowych opis uwzględnienia czynników zrównoważonego rozwoju. Warunki wymienione w ust. 1 lit. a)</w:t>
            </w:r>
            <w:r>
              <w:rPr>
                <w:b/>
                <w:i/>
              </w:rPr>
              <w:t>–c)</w:t>
            </w:r>
            <w:r>
              <w:t xml:space="preserve"> stosuje się odpowiednio do wszelkich informacji związanych ze zrównoważonym rozwojem zawartych w wspomnianych sprawozdaniach okresowych.</w:t>
            </w:r>
          </w:p>
        </w:tc>
        <w:tc>
          <w:tcPr>
            <w:tcW w:w="4876" w:type="dxa"/>
            <w:tcBorders>
              <w:top w:val="nil"/>
              <w:left w:val="nil"/>
              <w:bottom w:val="nil"/>
              <w:right w:val="nil"/>
            </w:tcBorders>
          </w:tcPr>
          <w:p>
            <w:pPr>
              <w:pStyle w:val="Normal6a"/>
            </w:pPr>
            <w:r>
              <w:t>3.</w:t>
            </w:r>
            <w:r>
              <w:tab/>
            </w:r>
            <w:r>
              <w:t>Uczestnicy rynku finansowego ujawniający informacje, o których mowa w ust. 1, co roku uwzględniają w swoich sprawozdaniach okresowych opis uwzględnienia czynników zrównoważonego rozwoju. Warunki wymienione w ust. 1 lit. a) stosuje się odpowiednio do wszelkich informacji związanych ze zrównoważonym rozwojem zawartych w wspomnianych sprawozdaniach okresowych.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ustęp 1 – punkt 7</w:t>
      </w:r>
      <w:r>
        <w:rPr>
          <w:rStyle w:val="HideTWBExt"/>
        </w:rPr>
        <w:t>&lt;/Article&gt;</w:t>
      </w:r>
    </w:p>
    <w:p>
      <w:r>
        <w:rPr>
          <w:rStyle w:val="HideTWBExt"/>
        </w:rPr>
        <w:t>&lt;DocAmend2&gt;</w:t>
      </w:r>
      <w:r>
        <w:t>Rozporządzenie (UE) 2019/2088</w:t>
      </w:r>
      <w:r>
        <w:rPr>
          <w:rStyle w:val="HideTWBExt"/>
        </w:rPr>
        <w:t>&lt;/DocAmend2&gt;</w:t>
      </w:r>
    </w:p>
    <w:p>
      <w:r>
        <w:rPr>
          <w:rStyle w:val="HideTWBExt"/>
        </w:rPr>
        <w:t>&lt;Article2&gt;</w:t>
      </w:r>
      <w:r>
        <w:t>Artykuł 6a – ustęp 3 a (nowy)</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Oprócz włączenia informacji do dokumentacji sporządzanej przed zawarciem umowy dotyczącej produktów finansowych, uczestnicy rynku finansowego będący IORP mogą ujawniać informacje, o których mowa w ust. 1 niniejszego artykułu, w sposób dostosowany do ich specyfiki oraz do komunikacji z członkami i beneficjentami.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ustęp 1 – punkt 7</w:t>
      </w:r>
      <w:r>
        <w:rPr>
          <w:rStyle w:val="HideTWBExt"/>
        </w:rPr>
        <w:t>&lt;/Article&gt;</w:t>
      </w:r>
    </w:p>
    <w:p>
      <w:r>
        <w:rPr>
          <w:rStyle w:val="HideTWBExt"/>
        </w:rPr>
        <w:t>&lt;DocAmend2&gt;</w:t>
      </w:r>
      <w:r>
        <w:t>Rozporządzenie (UE) 2019/2088</w:t>
      </w:r>
      <w:r>
        <w:rPr>
          <w:rStyle w:val="HideTWBExt"/>
        </w:rPr>
        <w:t>&lt;/DocAmend2&gt;</w:t>
      </w:r>
    </w:p>
    <w:p>
      <w:r>
        <w:rPr>
          <w:rStyle w:val="HideTWBExt"/>
        </w:rPr>
        <w:t>&lt;Article2&gt;</w:t>
      </w:r>
      <w:r>
        <w:t>Artykuł 6a – ustęp 4 a (nowy)</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W przypadku gdy uczestnicy rynku finansowego nie przekazują całości lub części informacji, o których mowa w ust. 1 lit. a), b), c) lub d), zamieszczają w udostępnianej przed zawarciem umowy dokumentacji, stosownie do przypadku, następujące oświadczenie: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„Ten produkt finansowy nie uwzględnia ryzyka dla zrównoważonego rozwoju”.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„Ten produkt finansowy nie ogranicza głównych negatywnych wpływów decyzji inwestycyjnych na czynniki zrównoważonego rozwoju”.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„Ten produkt finansowy nie ujawnia oczekiwanej intensywności emisji gazów cieplarnianych powiązanej z produktem finansowym”.</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„Ten produkt finansowy wykazuje ekspozycję na poszukiwanie, produkcję, przetwarzanie, dystrybucję, magazynowanie lub spalanie paliw kopalnych.”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Uczestnicy rynku finansowego dołączają do tego oświadczenia zwięzłe wyjaśnienie powodów nieprzekazania odpowiednich informacji.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ustęp 1 – punkt 8</w:t>
      </w:r>
      <w:r>
        <w:rPr>
          <w:rStyle w:val="HideTWBExt"/>
        </w:rPr>
        <w:t>&lt;/Article&gt;</w:t>
      </w:r>
    </w:p>
    <w:p>
      <w:r>
        <w:rPr>
          <w:rStyle w:val="HideTWBExt"/>
        </w:rPr>
        <w:t>&lt;DocAmend2&gt;</w:t>
      </w:r>
      <w:r>
        <w:t>Rozporządzenie (UE) 2019/2088</w:t>
      </w:r>
      <w:r>
        <w:rPr>
          <w:rStyle w:val="HideTWBExt"/>
        </w:rPr>
        <w:t>&lt;/DocAmend2&gt;</w:t>
      </w:r>
    </w:p>
    <w:p>
      <w:r>
        <w:rPr>
          <w:rStyle w:val="HideTWBExt"/>
        </w:rPr>
        <w:t>&lt;Article2&gt;</w:t>
      </w:r>
      <w:r>
        <w:t>Artykuł 7 – ustęp 1 – akapit 1 – litera 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osiągają próg wynoszący </w:t>
            </w:r>
            <w:r>
              <w:rPr>
                <w:b/>
                <w:i/>
              </w:rPr>
              <w:t>70</w:t>
            </w:r>
            <w:r>
              <w:t xml:space="preserve"> % udziału inwestycji realizujących jasny i mierzalny cel </w:t>
            </w:r>
            <w:r>
              <w:rPr>
                <w:b/>
                <w:i/>
              </w:rPr>
              <w:t>z zakresu transformacji</w:t>
            </w:r>
            <w:r>
              <w:t xml:space="preserve"> związany z czynnikami zrównoważonego rozwoju, </w:t>
            </w:r>
            <w:r>
              <w:rPr>
                <w:b/>
                <w:i/>
              </w:rPr>
              <w:t>w tym cel z zakresu transformacji środowiskowej lub społecznej</w:t>
            </w:r>
            <w:r>
              <w:t xml:space="preserve">, zgodnie z wiążącymi elementami strategii inwestycyjnej produktu finansowego, mierzony przy użyciu </w:t>
            </w:r>
            <w:r>
              <w:rPr>
                <w:b/>
                <w:i/>
              </w:rPr>
              <w:t>odpowiednich</w:t>
            </w:r>
            <w:r>
              <w:t xml:space="preserve"> wskaźników zrównoważonego rozwoju;</w:t>
            </w:r>
          </w:p>
        </w:tc>
        <w:tc>
          <w:tcPr>
            <w:tcW w:w="4876" w:type="dxa"/>
            <w:tcBorders>
              <w:top w:val="nil"/>
              <w:left w:val="nil"/>
              <w:bottom w:val="nil"/>
              <w:right w:val="nil"/>
            </w:tcBorders>
          </w:tcPr>
          <w:p>
            <w:pPr>
              <w:pStyle w:val="Normal6a"/>
            </w:pPr>
            <w:r>
              <w:t>a)</w:t>
            </w:r>
            <w:r>
              <w:tab/>
            </w:r>
            <w:r>
              <w:t xml:space="preserve">osiągają próg wynoszący </w:t>
            </w:r>
            <w:r>
              <w:rPr>
                <w:b/>
                <w:i/>
              </w:rPr>
              <w:t>80</w:t>
            </w:r>
            <w:r>
              <w:t xml:space="preserve"> % udziału inwestycji realizujących jasny i mierzalny cel związany z czynnikami zrównoważonego rozwoju, </w:t>
            </w:r>
            <w:r>
              <w:rPr>
                <w:b/>
                <w:i/>
              </w:rPr>
              <w:t>co obejmuje cele środowiskowe i społeczne</w:t>
            </w:r>
            <w:r>
              <w:t xml:space="preserve">, zgodnie z wiążącymi elementami strategii inwestycyjnej produktu finansowego, mierzony przy użyciu </w:t>
            </w:r>
            <w:r>
              <w:rPr>
                <w:b/>
                <w:i/>
              </w:rPr>
              <w:t>zharmonizowanych i opartych na podstawach naukowych</w:t>
            </w:r>
            <w:r>
              <w:t xml:space="preserve"> wskaźników zrównoważonego rozwoju </w:t>
            </w:r>
            <w:r>
              <w:rPr>
                <w:b/>
                <w:i/>
              </w:rPr>
              <w:t>obejmujących cały cykl życia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Martin Günther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ustęp 1 – punkt 8</w:t>
      </w:r>
      <w:r>
        <w:rPr>
          <w:rStyle w:val="HideTWBExt"/>
        </w:rPr>
        <w:t>&lt;/Article&gt;</w:t>
      </w:r>
    </w:p>
    <w:p>
      <w:r>
        <w:rPr>
          <w:rStyle w:val="HideTWBExt"/>
        </w:rPr>
        <w:t>&lt;DocAmend2&gt;</w:t>
      </w:r>
      <w:r>
        <w:t>Rozporządzenie (UE) 2019/2088</w:t>
      </w:r>
      <w:r>
        <w:rPr>
          <w:rStyle w:val="HideTWBExt"/>
        </w:rPr>
        <w:t>&lt;/DocAmend2&gt;</w:t>
      </w:r>
    </w:p>
    <w:p>
      <w:r>
        <w:rPr>
          <w:rStyle w:val="HideTWBExt"/>
        </w:rPr>
        <w:t>&lt;Article2&gt;</w:t>
      </w:r>
      <w:r>
        <w:t>Artykuł 7 – ustęp 1 – akapit 1 – litera 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osiągają próg wynoszący </w:t>
            </w:r>
            <w:r>
              <w:rPr>
                <w:b/>
                <w:i/>
              </w:rPr>
              <w:t>70</w:t>
            </w:r>
            <w:r>
              <w:t xml:space="preserve"> % udziału inwestycji realizujących jasny i mierzalny cel z zakresu transformacji związany z czynnikami zrównoważonego rozwoju, w tym cel z zakresu transformacji środowiskowej lub społecznej, zgodnie z wiążącymi elementami strategii inwestycyjnej produktu finansowego, mierzony przy użyciu odpowiednich wskaźników zrównoważonego rozwoju;</w:t>
            </w:r>
          </w:p>
        </w:tc>
        <w:tc>
          <w:tcPr>
            <w:tcW w:w="4876" w:type="dxa"/>
            <w:tcBorders>
              <w:top w:val="nil"/>
              <w:left w:val="nil"/>
              <w:bottom w:val="nil"/>
              <w:right w:val="nil"/>
            </w:tcBorders>
          </w:tcPr>
          <w:p>
            <w:pPr>
              <w:pStyle w:val="Normal6a"/>
            </w:pPr>
            <w:r>
              <w:t>a)</w:t>
            </w:r>
            <w:r>
              <w:tab/>
            </w:r>
            <w:r>
              <w:t xml:space="preserve">osiągają próg wynoszący </w:t>
            </w:r>
            <w:r>
              <w:rPr>
                <w:b/>
                <w:i/>
              </w:rPr>
              <w:t>100</w:t>
            </w:r>
            <w:r>
              <w:t> % udziału inwestycji realizujących jasny i mierzalny cel z zakresu transformacji związany z czynnikami zrównoważonego rozwoju, w tym cel z zakresu transformacji środowiskowej lub społecznej, zgodnie z wiążącymi elementami strategii inwestycyjnej produktu finansowego, mierzony przy użyciu odpowiednich wskaźników zrównoważonego rozwoju;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Markus Ferber, Janusz Lewandowski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ustęp 1 – punkt 8</w:t>
      </w:r>
      <w:r>
        <w:rPr>
          <w:rStyle w:val="HideTWBExt"/>
        </w:rPr>
        <w:t>&lt;/Article&gt;</w:t>
      </w:r>
    </w:p>
    <w:p>
      <w:r>
        <w:rPr>
          <w:rStyle w:val="HideTWBExt"/>
        </w:rPr>
        <w:t>&lt;DocAmend2&gt;</w:t>
      </w:r>
      <w:r>
        <w:t>Rozporządzenie (UE) 2019/2088</w:t>
      </w:r>
      <w:r>
        <w:rPr>
          <w:rStyle w:val="HideTWBExt"/>
        </w:rPr>
        <w:t>&lt;/DocAmend2&gt;</w:t>
      </w:r>
    </w:p>
    <w:p>
      <w:r>
        <w:rPr>
          <w:rStyle w:val="HideTWBExt"/>
        </w:rPr>
        <w:t>&lt;Article2&gt;</w:t>
      </w:r>
      <w:r>
        <w:t>Artykuł 7 – ustęp 1 – akapit 1 – litera 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osiągają próg wynoszący </w:t>
            </w:r>
            <w:r>
              <w:rPr>
                <w:b/>
                <w:i/>
              </w:rPr>
              <w:t>70</w:t>
            </w:r>
            <w:r>
              <w:t xml:space="preserve"> % udziału inwestycji realizujących jasny i mierzalny cel z zakresu transformacji związany z czynnikami zrównoważonego rozwoju, w tym cel z zakresu transformacji środowiskowej lub społecznej, zgodnie z wiążącymi elementami strategii inwestycyjnej produktu finansowego, mierzony przy użyciu odpowiednich wskaźników zrównoważonego rozwoju;</w:t>
            </w:r>
          </w:p>
        </w:tc>
        <w:tc>
          <w:tcPr>
            <w:tcW w:w="4876" w:type="dxa"/>
            <w:tcBorders>
              <w:top w:val="nil"/>
              <w:left w:val="nil"/>
              <w:bottom w:val="nil"/>
              <w:right w:val="nil"/>
            </w:tcBorders>
          </w:tcPr>
          <w:p>
            <w:pPr>
              <w:pStyle w:val="Normal6a"/>
            </w:pPr>
            <w:r>
              <w:t>a)</w:t>
            </w:r>
            <w:r>
              <w:tab/>
            </w:r>
            <w:r>
              <w:t xml:space="preserve">osiągają próg wynoszący </w:t>
            </w:r>
            <w:r>
              <w:rPr>
                <w:b/>
                <w:i/>
              </w:rPr>
              <w:t>50</w:t>
            </w:r>
            <w:r>
              <w:t> % udziału inwestycji realizujących jasny i mierzalny cel z zakresu transformacji związany z czynnikami zrównoważonego rozwoju, w tym cel z zakresu transformacji środowiskowej lub społecznej, zgodnie z wiążącymi elementami strategii inwestycyjnej produktu finansowego, mierzony przy użyciu odpowiednich wskaźników zrównoważonego rozwoju;</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Próg 70 % jest empirycznie nieosiągalny w przypadku zdywersyfikowanych upoważnień dotyczących wielu aktywów i ubezpieczeń ze względu na obecną dostępność danych, ograniczony zakres CSRD po pakiecie zbiorczym oraz niestosowanie sprawozdawczości w zakresie unijnej systematyki dotyczącej zrównoważonego rozwoju do emitentów spoza UE.</w:t>
      </w:r>
      <w:r>
        <w:t xml:space="preserve"> </w:t>
      </w:r>
      <w:r>
        <w:t>Próg 50 % w połączeniu z obowiązkowym ujawnieniem niekwalifikującej się części i wyłączeń kategorii zapewnia wystarczającą integralność rynku bez strukturalnego wykluczenia wiarygodnych strategii ESG z systemu kategoryzacji.</w:t>
      </w:r>
    </w:p>
    <w:p>
      <w:r>
        <w:rPr>
          <w:rStyle w:val="HideTWBExt"/>
        </w:rPr>
        <w:t>&lt;/Amend&gt;</w:t>
      </w:r>
    </w:p>
    <w:p>
      <w:pPr>
        <w:pStyle w:val="AmNumberTabs"/>
      </w:pPr>
      <w:r>
        <w:rPr>
          <w:rStyle w:val="HideTWBExt"/>
        </w:rPr>
        <w:t>&lt;Amend&gt;</w:t>
      </w:r>
      <w:r>
        <w:t>Poprawka</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ustęp 1 – punkt 8</w:t>
      </w:r>
      <w:r>
        <w:rPr>
          <w:rStyle w:val="HideTWBExt"/>
        </w:rPr>
        <w:t>&lt;/Article&gt;</w:t>
      </w:r>
    </w:p>
    <w:p>
      <w:r>
        <w:rPr>
          <w:rStyle w:val="HideTWBExt"/>
        </w:rPr>
        <w:t>&lt;DocAmend2&gt;</w:t>
      </w:r>
      <w:r>
        <w:t>Rozporządzenie (UE) 2019/2088</w:t>
      </w:r>
      <w:r>
        <w:rPr>
          <w:rStyle w:val="HideTWBExt"/>
        </w:rPr>
        <w:t>&lt;/DocAmend2&gt;</w:t>
      </w:r>
    </w:p>
    <w:p>
      <w:r>
        <w:rPr>
          <w:rStyle w:val="HideTWBExt"/>
        </w:rPr>
        <w:t>&lt;Article2&gt;</w:t>
      </w:r>
      <w:r>
        <w:t>Artykuł 7 – ustęp 1 – akapit 1 – litera 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osiągają próg wynoszący </w:t>
            </w:r>
            <w:r>
              <w:rPr>
                <w:b/>
                <w:i/>
              </w:rPr>
              <w:t>70</w:t>
            </w:r>
            <w:r>
              <w:t xml:space="preserve"> % udziału inwestycji realizujących jasny i mierzalny cel z zakresu transformacji związany z czynnikami zrównoważonego rozwoju, w tym cel z zakresu transformacji środowiskowej lub społecznej, zgodnie z wiążącymi elementami strategii inwestycyjnej produktu finansowego, mierzony przy użyciu odpowiednich wskaźników zrównoważonego rozwoju;</w:t>
            </w:r>
          </w:p>
        </w:tc>
        <w:tc>
          <w:tcPr>
            <w:tcW w:w="4876" w:type="dxa"/>
            <w:tcBorders>
              <w:top w:val="nil"/>
              <w:left w:val="nil"/>
              <w:bottom w:val="nil"/>
              <w:right w:val="nil"/>
            </w:tcBorders>
          </w:tcPr>
          <w:p>
            <w:pPr>
              <w:pStyle w:val="Normal6a"/>
            </w:pPr>
            <w:r>
              <w:t>a)</w:t>
            </w:r>
            <w:r>
              <w:tab/>
            </w:r>
            <w:r>
              <w:t xml:space="preserve">osiągają próg wynoszący </w:t>
            </w:r>
            <w:r>
              <w:rPr>
                <w:b/>
                <w:i/>
              </w:rPr>
              <w:t>80</w:t>
            </w:r>
            <w:r>
              <w:t> % udziału inwestycji realizujących jasny i mierzalny cel z zakresu transformacji związany z czynnikami zrównoważonego rozwoju, w tym cel z zakresu transformacji środowiskowej lub społecznej, zgodnie z wiążącymi elementami strategii inwestycyjnej produktu finansowego, mierzony przy użyciu odpowiednich wskaźników zrównoważonego rozwoju;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Stephen Nikola Bartulica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ustęp 1 – punkt 8</w:t>
      </w:r>
      <w:r>
        <w:rPr>
          <w:rStyle w:val="HideTWBExt"/>
        </w:rPr>
        <w:t>&lt;/Article&gt;</w:t>
      </w:r>
    </w:p>
    <w:p>
      <w:r>
        <w:rPr>
          <w:rStyle w:val="HideTWBExt"/>
        </w:rPr>
        <w:t>&lt;DocAmend2&gt;</w:t>
      </w:r>
      <w:r>
        <w:t>Rozporządzenie (UE) 2019/2088</w:t>
      </w:r>
      <w:r>
        <w:rPr>
          <w:rStyle w:val="HideTWBExt"/>
        </w:rPr>
        <w:t>&lt;/DocAmend2&gt;</w:t>
      </w:r>
    </w:p>
    <w:p>
      <w:r>
        <w:rPr>
          <w:rStyle w:val="HideTWBExt"/>
        </w:rPr>
        <w:t>&lt;Article2&gt;</w:t>
      </w:r>
      <w:r>
        <w:t>Artykuł 7 – ustęp 1 – litera b</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nie obejmują inwestycji w przedsiębiorstwa, o których mowa w art. 12 ust. 1 lit. a), b), c) i d) rozporządzenia delegowanego Komisji (UE) 2020/1818</w:t>
            </w:r>
            <w:r>
              <w:rPr>
                <w:b/>
                <w:i/>
                <w:vertAlign w:val="superscript"/>
              </w:rPr>
              <w:t>*4</w:t>
            </w:r>
            <w:r>
              <w:rPr>
                <w:b/>
                <w:i/>
              </w:rPr>
              <w:t>, z wyjątkiem inwestycji w instrumenty o konkretnym przeznaczeniu przychodów emitowane przez przedsiębiorstwa:</w:t>
            </w:r>
          </w:p>
        </w:tc>
        <w:tc>
          <w:tcPr>
            <w:tcW w:w="4876" w:type="dxa"/>
            <w:tcBorders>
              <w:top w:val="nil"/>
              <w:left w:val="nil"/>
              <w:bottom w:val="nil"/>
              <w:right w:val="nil"/>
            </w:tcBorders>
          </w:tcPr>
          <w:p>
            <w:pPr>
              <w:pStyle w:val="Normal6a"/>
            </w:pPr>
            <w:r>
              <w:rPr>
                <w:b/>
                <w:i/>
              </w:rPr>
              <w:t>skreśla się</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 zgodnie z art. 3 rozporządzenia Parlamentu Europejskiego i Rady (UE) 2023/2631</w:t>
            </w:r>
            <w:r>
              <w:rPr>
                <w:b/>
                <w:i/>
                <w:vertAlign w:val="superscript"/>
              </w:rPr>
              <w:t>*5</w:t>
            </w:r>
            <w:r>
              <w:rPr>
                <w:b/>
                <w:i/>
              </w:rPr>
              <w:t>;</w:t>
            </w:r>
            <w:r>
              <w:rPr>
                <w:b/>
                <w:i/>
              </w:rPr>
              <w:t xml:space="preserve"> </w:t>
            </w:r>
            <w:r>
              <w:rPr>
                <w:b/>
                <w:i/>
              </w:rPr>
              <w:t>lub</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(ii) jeżeli przychody nie są przeznaczone na finansowanie żadnych działań, o których mowa w art. 12 ust. 1 lit. a), b) i d) rozporządzenia delegowanego (UE) 2020/1818, pod warunkiem że emitent instrumentów o konkretnym przeznaczeniu przychodów nie podlega wyłączeniu na mocy art. 12 ust. 1 lit. c) tego rozporządzenia.</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ustęp 1 – punkt 8</w:t>
      </w:r>
      <w:r>
        <w:rPr>
          <w:rStyle w:val="HideTWBExt"/>
        </w:rPr>
        <w:t>&lt;/Article&gt;</w:t>
      </w:r>
    </w:p>
    <w:p>
      <w:r>
        <w:rPr>
          <w:rStyle w:val="HideTWBExt"/>
        </w:rPr>
        <w:t>&lt;DocAmend2&gt;</w:t>
      </w:r>
      <w:r>
        <w:t>Rozporządzenie (UE) 2019/2088</w:t>
      </w:r>
      <w:r>
        <w:rPr>
          <w:rStyle w:val="HideTWBExt"/>
        </w:rPr>
        <w:t>&lt;/DocAmend2&gt;</w:t>
      </w:r>
    </w:p>
    <w:p>
      <w:r>
        <w:rPr>
          <w:rStyle w:val="HideTWBExt"/>
        </w:rPr>
        <w:t>&lt;Article2&gt;</w:t>
      </w:r>
      <w:r>
        <w:t>Artykuł 7 – ustęp 1 – litera b</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nie obejmują inwestycji w przedsiębiorstwa, o których mowa w art. 12 ust. 1 lit. a), b), c) i d) rozporządzenia delegowanego Komisji (UE) 2020/1818</w:t>
            </w:r>
            <w:r>
              <w:rPr>
                <w:b/>
                <w:i/>
                <w:vertAlign w:val="superscript"/>
              </w:rPr>
              <w:t>*4</w:t>
            </w:r>
            <w:r>
              <w:rPr>
                <w:b/>
                <w:i/>
              </w:rPr>
              <w:t>, z wyjątkiem inwestycji w instrumenty o konkretnym przeznaczeniu przychodów emitowane przez przedsiębiorstwa:</w:t>
            </w:r>
          </w:p>
        </w:tc>
        <w:tc>
          <w:tcPr>
            <w:tcW w:w="4876" w:type="dxa"/>
            <w:tcBorders>
              <w:top w:val="nil"/>
              <w:left w:val="nil"/>
              <w:bottom w:val="nil"/>
              <w:right w:val="nil"/>
            </w:tcBorders>
          </w:tcPr>
          <w:p>
            <w:pPr>
              <w:pStyle w:val="Normal6a"/>
            </w:pPr>
            <w:r>
              <w:rPr>
                <w:b/>
                <w:i/>
              </w:rPr>
              <w:t>skreśla się</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 zgodnie z art. 3 rozporządzenia Parlamentu Europejskiego i Rady (UE) 2023/2631</w:t>
            </w:r>
            <w:r>
              <w:rPr>
                <w:b/>
                <w:i/>
                <w:vertAlign w:val="superscript"/>
              </w:rPr>
              <w:t>*5</w:t>
            </w:r>
            <w:r>
              <w:rPr>
                <w:b/>
                <w:i/>
              </w:rPr>
              <w:t>;</w:t>
            </w:r>
            <w:r>
              <w:rPr>
                <w:b/>
                <w:i/>
              </w:rPr>
              <w:t xml:space="preserve"> </w:t>
            </w:r>
            <w:r>
              <w:rPr>
                <w:b/>
                <w:i/>
              </w:rPr>
              <w:t>lub</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(ii) jeżeli przychody nie są przeznaczone na finansowanie żadnych działań, o których mowa w art. 12 ust. 1 lit. a), b) i d) rozporządzenia delegowanego (UE) 2020/1818, pod warunkiem że emitent instrumentów o konkretnym przeznaczeniu przychodów nie podlega wyłączeniu na mocy art. 12 ust. 1 lit. c) tego rozporządzenia.</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Proponowane wyłączenia sektorowe wprowadzają sztywne ograniczenia, które mogą osłabić zdolność rynków finansowych UE do efektywnej alokacji kapitału w całej gospodarce.</w:t>
      </w:r>
      <w:r>
        <w:t xml:space="preserve"> </w:t>
      </w:r>
      <w:r>
        <w:t>Wykluczając całe sektory niezależnie od wyników lub wysiłków na rzecz transformacji poszczególnych przedsiębiorstw, ramy te mogą zmniejszyć atrakcyjność produktów finansowych UE i osłabić globalną konkurencyjność Europy.</w:t>
      </w:r>
    </w:p>
    <w:p>
      <w:r>
        <w:rPr>
          <w:rStyle w:val="HideTWBExt"/>
        </w:rPr>
        <w:t>&lt;/Amend&gt;</w:t>
      </w:r>
    </w:p>
    <w:p>
      <w:pPr>
        <w:pStyle w:val="AmNumberTabs"/>
      </w:pPr>
      <w:r>
        <w:rPr>
          <w:rStyle w:val="HideTWBExt"/>
        </w:rPr>
        <w:t>&lt;Amend&gt;</w:t>
      </w:r>
      <w:r>
        <w:t>Poprawka</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Markus Ferber, Janusz Lewandowski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ustęp 1 – punkt 8</w:t>
      </w:r>
      <w:r>
        <w:rPr>
          <w:rStyle w:val="HideTWBExt"/>
        </w:rPr>
        <w:t>&lt;/Article&gt;</w:t>
      </w:r>
    </w:p>
    <w:p>
      <w:r>
        <w:rPr>
          <w:rStyle w:val="HideTWBExt"/>
        </w:rPr>
        <w:t>&lt;DocAmend2&gt;</w:t>
      </w:r>
      <w:r>
        <w:t>Rozporządzenie (UE) 2019/2088</w:t>
      </w:r>
      <w:r>
        <w:rPr>
          <w:rStyle w:val="HideTWBExt"/>
        </w:rPr>
        <w:t>&lt;/DocAmend2&gt;</w:t>
      </w:r>
    </w:p>
    <w:p>
      <w:r>
        <w:rPr>
          <w:rStyle w:val="HideTWBExt"/>
        </w:rPr>
        <w:t>&lt;Article2&gt;</w:t>
      </w:r>
      <w:r>
        <w:t>Artykuł 7 – ustęp 1 – litera b</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nie obejmują inwestycji w przedsiębiorstwa, o których mowa w art. 12 ust. 1 lit. a), b), c) i d) rozporządzenia delegowanego Komisji (UE) 2020/1818</w:t>
            </w:r>
            <w:r>
              <w:rPr>
                <w:b/>
                <w:i/>
                <w:vertAlign w:val="superscript"/>
              </w:rPr>
              <w:t>*4</w:t>
            </w:r>
            <w:r>
              <w:rPr>
                <w:b/>
                <w:i/>
              </w:rPr>
              <w:t>, z wyjątkiem inwestycji w instrumenty o konkretnym przeznaczeniu przychodów emitowane przez przedsiębiorstwa:</w:t>
            </w:r>
          </w:p>
        </w:tc>
        <w:tc>
          <w:tcPr>
            <w:tcW w:w="4876" w:type="dxa"/>
            <w:tcBorders>
              <w:top w:val="nil"/>
              <w:left w:val="nil"/>
              <w:bottom w:val="nil"/>
              <w:right w:val="nil"/>
            </w:tcBorders>
          </w:tcPr>
          <w:p>
            <w:pPr>
              <w:pStyle w:val="Normal6a"/>
            </w:pPr>
            <w:r>
              <w:rPr>
                <w:b/>
                <w:i/>
              </w:rPr>
              <w:t>skreśla się</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 zgodnie z art. 3 rozporządzenia Parlamentu Europejskiego i Rady (UE) 2023/2631</w:t>
            </w:r>
            <w:r>
              <w:rPr>
                <w:b/>
                <w:i/>
                <w:vertAlign w:val="superscript"/>
              </w:rPr>
              <w:t>*5</w:t>
            </w:r>
            <w:r>
              <w:rPr>
                <w:b/>
                <w:i/>
              </w:rPr>
              <w:t>;</w:t>
            </w:r>
            <w:r>
              <w:rPr>
                <w:b/>
                <w:i/>
              </w:rPr>
              <w:t xml:space="preserve"> </w:t>
            </w:r>
            <w:r>
              <w:rPr>
                <w:b/>
                <w:i/>
              </w:rPr>
              <w:t>lub</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(ii) jeżeli przychody nie są przeznaczone na finansowanie żadnych działań, o których mowa w art. 12 ust. 1 lit. a), b) i d) rozporządzenia delegowanego (UE) 2020/1818, pod warunkiem że emitent instrumentów o konkretnym przeznaczeniu przychodów nie podlega wyłączeniu na mocy art. 12 ust. 1 lit. c) tego rozporządzenia.</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Ogólne wyłączenia sektorowe są niezgodne z ramami opartymi na wkładach.</w:t>
      </w:r>
      <w:r>
        <w:t xml:space="preserve"> </w:t>
      </w:r>
      <w:r>
        <w:t>Kategoria produktu określona na podstawie wymiernych postępów w realizacji celów zrównoważonego rozwoju powinna oceniać przedsiębiorstwa pod kątem zweryfikowanej trajektorii, a nie członkostwa w sektorze binarnym.</w:t>
      </w:r>
    </w:p>
    <w:p>
      <w:r>
        <w:rPr>
          <w:rStyle w:val="HideTWBExt"/>
        </w:rPr>
        <w:t>&lt;/Amend&gt;</w:t>
      </w:r>
    </w:p>
    <w:p>
      <w:pPr>
        <w:pStyle w:val="AmNumberTabs"/>
      </w:pPr>
      <w:r>
        <w:rPr>
          <w:rStyle w:val="HideTWBExt"/>
        </w:rPr>
        <w:t>&lt;Amend&gt;</w:t>
      </w:r>
      <w:r>
        <w:t>Poprawka</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Denis Nesci, Francesco Ventola, Mariateresa Vivaldini, Marco Falcone, Marco Squarta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akapit 1 – punkt 8</w:t>
      </w:r>
      <w:r>
        <w:rPr>
          <w:rStyle w:val="HideTWBExt"/>
        </w:rPr>
        <w:t>&lt;/Article&gt;</w:t>
      </w:r>
    </w:p>
    <w:p>
      <w:r>
        <w:rPr>
          <w:rStyle w:val="HideTWBExt"/>
        </w:rPr>
        <w:t>&lt;DocAmend2&gt;</w:t>
      </w:r>
      <w:r>
        <w:t>Rozporządzenie (UE) 2019/2088</w:t>
      </w:r>
      <w:r>
        <w:rPr>
          <w:rStyle w:val="HideTWBExt"/>
        </w:rPr>
        <w:t>&lt;/DocAmend2&gt;</w:t>
      </w:r>
    </w:p>
    <w:p>
      <w:r>
        <w:rPr>
          <w:rStyle w:val="HideTWBExt"/>
        </w:rPr>
        <w:t>&lt;Article2&gt;</w:t>
      </w:r>
      <w:r>
        <w:t>Artykuł 7 – ustęp 1 – litera b</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nie obejmują inwestycji w przedsiębiorstwa, o których mowa w art. 12 ust. 1 lit. a), b), c) i d) rozporządzenia delegowanego Komisji (UE) 2020/1818</w:t>
            </w:r>
            <w:r>
              <w:rPr>
                <w:b/>
                <w:i/>
                <w:vertAlign w:val="superscript"/>
              </w:rPr>
              <w:t>*4</w:t>
            </w:r>
            <w:r>
              <w:t>, z wyjątkiem inwestycji w instrumenty o konkretnym przeznaczeniu przychodów emitowane przez przedsiębiorstwa:</w:t>
            </w:r>
          </w:p>
        </w:tc>
        <w:tc>
          <w:tcPr>
            <w:tcW w:w="4876" w:type="dxa"/>
            <w:tcBorders>
              <w:top w:val="nil"/>
              <w:left w:val="nil"/>
              <w:bottom w:val="nil"/>
              <w:right w:val="nil"/>
            </w:tcBorders>
          </w:tcPr>
          <w:p>
            <w:pPr>
              <w:pStyle w:val="Normal6a"/>
            </w:pPr>
            <w:r>
              <w:t>b)</w:t>
            </w:r>
            <w:r>
              <w:tab/>
            </w:r>
            <w:r>
              <w:t xml:space="preserve">nie obejmują inwestycji w przedsiębiorstwa, o których mowa w art. 12 ust. 1 lit. a), b), c) i d) rozporządzenia delegowanego Komisji (UE) 2020/1818, z wyjątkiem inwestycji w instrumenty o konkretnym przeznaczeniu przychodów emitowane przez przedsiębiorstwa: </w:t>
            </w:r>
            <w:r>
              <w:rPr>
                <w:b/>
                <w:i/>
              </w:rPr>
              <w:t>(i) zgodnie z art. 3 rozporządzenia Parlamentu Europejskiego i Rady (UE) 2023/2631;</w:t>
            </w:r>
            <w:r>
              <w:t xml:space="preserve"> </w:t>
            </w:r>
            <w:r>
              <w:rPr>
                <w:b/>
                <w:i/>
              </w:rPr>
              <w:t>lub (ii) jeżeli przychody nie są przeznaczone na finansowanie jakiegokolwiek z działań, o których mowa w art. 12 ust. 1 lit. a), b) i d) rozporządzenia delegowanego (UE) 2020/1818, pod warunkiem że emitent instrumentów o konkretnym przeznaczeniu przychodów nie podlega wyłączeniu na mocy art. 12 ust. 1 lit. c) tego rozporządzenia.</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Morten Løkkegaard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ustęp 1 – punkt 8</w:t>
      </w:r>
      <w:r>
        <w:rPr>
          <w:rStyle w:val="HideTWBExt"/>
        </w:rPr>
        <w:t>&lt;/Article&gt;</w:t>
      </w:r>
    </w:p>
    <w:p>
      <w:r>
        <w:rPr>
          <w:rStyle w:val="HideTWBExt"/>
        </w:rPr>
        <w:t>&lt;DocAmend2&gt;</w:t>
      </w:r>
      <w:r>
        <w:t>Rozporządzenie (UE) 2019/2088</w:t>
      </w:r>
      <w:r>
        <w:rPr>
          <w:rStyle w:val="HideTWBExt"/>
        </w:rPr>
        <w:t>&lt;/DocAmend2&gt;</w:t>
      </w:r>
    </w:p>
    <w:p>
      <w:r>
        <w:rPr>
          <w:rStyle w:val="HideTWBExt"/>
        </w:rPr>
        <w:t>&lt;Article2&gt;</w:t>
      </w:r>
      <w:r>
        <w:t>Artykuł 7 – ustęp 1 – litera b</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nie obejmują inwestycji w przedsiębiorstwa, o których mowa w art. 12 ust. 1 lit. a), b), c) i d) rozporządzenia delegowanego Komisji (UE) 2020/1818</w:t>
            </w:r>
            <w:r>
              <w:rPr>
                <w:vertAlign w:val="superscript"/>
              </w:rPr>
              <w:t>*4</w:t>
            </w:r>
            <w:r>
              <w:t xml:space="preserve">, </w:t>
            </w:r>
            <w:r>
              <w:rPr>
                <w:b/>
                <w:i/>
              </w:rPr>
              <w:t>z wyjątkiem inwestycji w instrumenty o konkretnym przeznaczeniu przychodów emitowane przez przedsiębiorstwa:</w:t>
            </w:r>
          </w:p>
        </w:tc>
        <w:tc>
          <w:tcPr>
            <w:tcW w:w="4876" w:type="dxa"/>
            <w:tcBorders>
              <w:top w:val="nil"/>
              <w:left w:val="nil"/>
              <w:bottom w:val="nil"/>
              <w:right w:val="nil"/>
            </w:tcBorders>
          </w:tcPr>
          <w:p>
            <w:pPr>
              <w:pStyle w:val="Normal6a"/>
            </w:pPr>
            <w:r>
              <w:t>b)</w:t>
            </w:r>
            <w:r>
              <w:tab/>
            </w:r>
            <w:r>
              <w:t>nie obejmują inwestycji w przedsiębiorstwa, o których mowa w art. 12 ust. 1 lit. a), b), c) i d) rozporządzenia delegowanego Komisji (UE) 2020/1818</w:t>
            </w:r>
            <w:r>
              <w:rPr>
                <w:b/>
                <w:i/>
              </w:rPr>
              <w:t>\</w:t>
            </w:r>
            <w:r>
              <w:t>*4,</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Chyba że uczestnik rynku finansowego wykaże, że inwestycja wspiera wiarygodną ścieżkę transformacji zgodnie z ust. 2 i przyczynia się do osiągnięcia celu transformacji danego produktu finansowego,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z wyjątkiem inwestycji w instrumenty o konkretnym przeznaczeniu przychodów emitowane przez przedsiębiorstwa: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Jaroslava Pokorná Jermanová, Jaroslav Knot, Pierre Pimpie, 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ustęp 1 – punkt 8</w:t>
      </w:r>
      <w:r>
        <w:rPr>
          <w:rStyle w:val="HideTWBExt"/>
        </w:rPr>
        <w:t>&lt;/Article&gt;</w:t>
      </w:r>
    </w:p>
    <w:p>
      <w:r>
        <w:rPr>
          <w:rStyle w:val="HideTWBExt"/>
        </w:rPr>
        <w:t>&lt;DocAmend2&gt;</w:t>
      </w:r>
      <w:r>
        <w:t>Rozporządzenie (UE) 2019/2088</w:t>
      </w:r>
      <w:r>
        <w:rPr>
          <w:rStyle w:val="HideTWBExt"/>
        </w:rPr>
        <w:t>&lt;/DocAmend2&gt;</w:t>
      </w:r>
    </w:p>
    <w:p>
      <w:r>
        <w:rPr>
          <w:rStyle w:val="HideTWBExt"/>
        </w:rPr>
        <w:t>&lt;Article2&gt;</w:t>
      </w:r>
      <w:r>
        <w:t>Artykuł 7 – ustęp 1 – litera b</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rPr>
                <w:b/>
                <w:i/>
              </w:rPr>
              <w:t>nie obejmują</w:t>
            </w:r>
            <w:r>
              <w:t xml:space="preserve"> inwestycji </w:t>
            </w:r>
            <w:r>
              <w:rPr>
                <w:b/>
                <w:i/>
              </w:rPr>
              <w:t>w przedsiębiorstwa, o których mowa w art. 12 ust. 1 lit. a), b), c) i d) rozporządzenia delegowanego Komisji (UE) 2020/1818</w:t>
            </w:r>
            <w:r>
              <w:rPr>
                <w:b/>
                <w:i/>
                <w:vertAlign w:val="superscript"/>
              </w:rPr>
              <w:t>*4</w:t>
            </w:r>
            <w:r>
              <w:rPr>
                <w:b/>
                <w:i/>
              </w:rPr>
              <w:t>, z wyjątkiem inwestycji w instrumenty o konkretnym przeznaczeniu przychodów emitowane przez przedsiębiorstwa:</w:t>
            </w:r>
          </w:p>
        </w:tc>
        <w:tc>
          <w:tcPr>
            <w:tcW w:w="4876" w:type="dxa"/>
            <w:tcBorders>
              <w:top w:val="nil"/>
              <w:left w:val="nil"/>
              <w:bottom w:val="nil"/>
              <w:right w:val="nil"/>
            </w:tcBorders>
          </w:tcPr>
          <w:p>
            <w:pPr>
              <w:pStyle w:val="Normal6a"/>
            </w:pPr>
            <w:r>
              <w:t>b)</w:t>
            </w:r>
            <w:r>
              <w:tab/>
            </w:r>
            <w:r>
              <w:rPr>
                <w:b/>
                <w:i/>
              </w:rPr>
              <w:t>Uczestnicy rynku finansowego określają spójność</w:t>
            </w:r>
            <w:r>
              <w:t xml:space="preserve"> inwestycji </w:t>
            </w:r>
            <w:r>
              <w:rPr>
                <w:b/>
                <w:i/>
              </w:rPr>
              <w:t>z celem transformacji produktu finansowego na podstawie ujawnionych wskaźników związanych ze zrównoważonym rozwojem, głównych niekorzystnych wpływów i wiarygodnych strategii transformacji, z uwzględnieniem szczególnych cech, ścieżek transformacji i wyników danych jednostek w zakresie zrównoważonego rozwoju.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Janusz Lewandowski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ustęp 1 – punkt 8</w:t>
      </w:r>
      <w:r>
        <w:rPr>
          <w:rStyle w:val="HideTWBExt"/>
        </w:rPr>
        <w:t>&lt;/Article&gt;</w:t>
      </w:r>
    </w:p>
    <w:p>
      <w:r>
        <w:rPr>
          <w:rStyle w:val="HideTWBExt"/>
        </w:rPr>
        <w:t>&lt;DocAmend2&gt;</w:t>
      </w:r>
      <w:r>
        <w:t>Rozporządzenie (UE) 2019/2088</w:t>
      </w:r>
      <w:r>
        <w:rPr>
          <w:rStyle w:val="HideTWBExt"/>
        </w:rPr>
        <w:t>&lt;/DocAmend2&gt;</w:t>
      </w:r>
    </w:p>
    <w:p>
      <w:r>
        <w:rPr>
          <w:rStyle w:val="HideTWBExt"/>
        </w:rPr>
        <w:t>&lt;Article2&gt;</w:t>
      </w:r>
      <w:r>
        <w:t>Artykuł 7 – ustęp 1 – litera b</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nie obejmują inwestycji w przedsiębiorstwa, o których mowa w art. 12 ust. 1 lit. a), b), c) i d) rozporządzenia delegowanego Komisji (UE) 2020/1818</w:t>
            </w:r>
            <w:r>
              <w:rPr>
                <w:vertAlign w:val="superscript"/>
              </w:rPr>
              <w:t>*4</w:t>
            </w:r>
            <w:r>
              <w:t xml:space="preserve">, z wyjątkiem inwestycji w </w:t>
            </w:r>
            <w:r>
              <w:rPr>
                <w:b/>
                <w:i/>
              </w:rPr>
              <w:t>instrumenty</w:t>
            </w:r>
            <w:r>
              <w:t xml:space="preserve"> o konkretnym przeznaczeniu przychodów emitowane przez przedsiębiorstwa:</w:t>
            </w:r>
          </w:p>
        </w:tc>
        <w:tc>
          <w:tcPr>
            <w:tcW w:w="4876" w:type="dxa"/>
            <w:tcBorders>
              <w:top w:val="nil"/>
              <w:left w:val="nil"/>
              <w:bottom w:val="nil"/>
              <w:right w:val="nil"/>
            </w:tcBorders>
          </w:tcPr>
          <w:p>
            <w:pPr>
              <w:pStyle w:val="Normal6a"/>
            </w:pPr>
            <w:r>
              <w:t>b)</w:t>
            </w:r>
            <w:r>
              <w:tab/>
            </w:r>
            <w:r>
              <w:t>nie obejmują inwestycji w przedsiębiorstwa, o których mowa w art. 12 ust. 1 lit. a), b), c) i d) rozporządzenia delegowanego Komisji (UE) 2020/1818</w:t>
            </w:r>
            <w:r>
              <w:rPr>
                <w:b/>
                <w:i/>
              </w:rPr>
              <w:t>\</w:t>
            </w:r>
            <w:r>
              <w:t xml:space="preserve">*4, z wyjątkiem </w:t>
            </w:r>
            <w:r>
              <w:rPr>
                <w:b/>
                <w:i/>
              </w:rPr>
              <w:t>uprawy tytoniu,</w:t>
            </w:r>
            <w:r>
              <w:t xml:space="preserve"> inwestycji w </w:t>
            </w:r>
            <w:r>
              <w:rPr>
                <w:b/>
                <w:i/>
              </w:rPr>
              <w:t>unijne zielone obligacje, które zawsze kategoryzuje się jako zrównoważone, oraz instrumentów</w:t>
            </w:r>
            <w:r>
              <w:t xml:space="preserve"> o konkretnym przeznaczeniu przychodów emitowane przez przedsiębiorstwa: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Lara Wolters, Jonás Fernández, Aurore Lalucq, Niels Fuglsang, Evelyn Regner, César Luena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ustęp 1 – punkt 8</w:t>
      </w:r>
      <w:r>
        <w:rPr>
          <w:rStyle w:val="HideTWBExt"/>
        </w:rPr>
        <w:t>&lt;/Article&gt;</w:t>
      </w:r>
    </w:p>
    <w:p>
      <w:r>
        <w:rPr>
          <w:rStyle w:val="HideTWBExt"/>
        </w:rPr>
        <w:t>&lt;DocAmend2&gt;</w:t>
      </w:r>
      <w:r>
        <w:t>Rozporządzenie (UE) 2019/2088</w:t>
      </w:r>
      <w:r>
        <w:rPr>
          <w:rStyle w:val="HideTWBExt"/>
        </w:rPr>
        <w:t>&lt;/DocAmend2&gt;</w:t>
      </w:r>
    </w:p>
    <w:p>
      <w:r>
        <w:rPr>
          <w:rStyle w:val="HideTWBExt"/>
        </w:rPr>
        <w:t>&lt;Article2&gt;</w:t>
      </w:r>
      <w:r>
        <w:t>Artykuł 7 – ustęp 1 – litera b</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nie obejmują inwestycji w przedsiębiorstwa, o których mowa w art. 12 ust. 1 lit. a), b)</w:t>
            </w:r>
            <w:r>
              <w:rPr>
                <w:b/>
                <w:i/>
              </w:rPr>
              <w:t>, c)</w:t>
            </w:r>
            <w:r>
              <w:t xml:space="preserve"> i d) rozporządzenia delegowanego Komisji (UE) 2020/1818</w:t>
            </w:r>
            <w:r>
              <w:rPr>
                <w:vertAlign w:val="superscript"/>
              </w:rPr>
              <w:t>*4</w:t>
            </w:r>
            <w:r>
              <w:rPr>
                <w:b/>
                <w:i/>
              </w:rPr>
              <w:t>, z wyjątkiem inwestycji w instrumenty o konkretnym przeznaczeniu przychodów emitowane przez przedsiębiorstwa:</w:t>
            </w:r>
          </w:p>
        </w:tc>
        <w:tc>
          <w:tcPr>
            <w:tcW w:w="4876" w:type="dxa"/>
            <w:tcBorders>
              <w:top w:val="nil"/>
              <w:left w:val="nil"/>
              <w:bottom w:val="nil"/>
              <w:right w:val="nil"/>
            </w:tcBorders>
          </w:tcPr>
          <w:p>
            <w:pPr>
              <w:pStyle w:val="Normal6a"/>
            </w:pPr>
            <w:r>
              <w:t>b)</w:t>
            </w:r>
            <w:r>
              <w:tab/>
            </w:r>
            <w:r>
              <w:t>nie obejmują inwestycji w przedsiębiorstwa, o których mowa w art. 12 ust. 1 lit. a), b) i d) rozporządzenia delegowanego Komisji (UE) 2020/1818</w:t>
            </w:r>
            <w:r>
              <w:rPr>
                <w:b/>
                <w:i/>
              </w:rPr>
              <w:t>\</w:t>
            </w:r>
            <w:r>
              <w:t>*4</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Skorygowanie błędu redakcyjnego popełnionego przez Komisję w celu wyjaśnienia, że zwolnienie dotyczące instrumentów o konkretnym przeznaczeniu ma zastosowanie również do przedsiębiorstw, które nie spełniają nowych kryteriów wyłączeń.</w:t>
      </w:r>
    </w:p>
    <w:p>
      <w:r>
        <w:rPr>
          <w:rStyle w:val="HideTWBExt"/>
        </w:rPr>
        <w:t>&lt;/Amend&gt;</w:t>
      </w:r>
    </w:p>
    <w:p>
      <w:pPr>
        <w:pStyle w:val="AmNumberTabs"/>
      </w:pPr>
      <w:r>
        <w:rPr>
          <w:rStyle w:val="HideTWBExt"/>
        </w:rPr>
        <w:t>&lt;Amend&gt;</w:t>
      </w:r>
      <w:r>
        <w:t>Poprawka</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Gerben-Jan Gerbrandy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ustęp 1 – punkt 8</w:t>
      </w:r>
      <w:r>
        <w:rPr>
          <w:rStyle w:val="HideTWBExt"/>
        </w:rPr>
        <w:t>&lt;/Article&gt;</w:t>
      </w:r>
    </w:p>
    <w:p>
      <w:r>
        <w:rPr>
          <w:rStyle w:val="HideTWBExt"/>
        </w:rPr>
        <w:t>&lt;DocAmend2&gt;</w:t>
      </w:r>
      <w:r>
        <w:t>Rozporządzenie (UE) 2019/2088</w:t>
      </w:r>
      <w:r>
        <w:rPr>
          <w:rStyle w:val="HideTWBExt"/>
        </w:rPr>
        <w:t>&lt;/DocAmend2&gt;</w:t>
      </w:r>
    </w:p>
    <w:p>
      <w:r>
        <w:rPr>
          <w:rStyle w:val="HideTWBExt"/>
        </w:rPr>
        <w:t>&lt;Article2&gt;</w:t>
      </w:r>
      <w:r>
        <w:t>Artykuł 7 – ustęp 1 – litera b</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nie obejmują inwestycji w przedsiębiorstwa, o których mowa w art. 12 ust. 1 lit. a), b), c) i d) rozporządzenia delegowanego Komisji (UE) 2020/1818</w:t>
            </w:r>
            <w:r>
              <w:rPr>
                <w:vertAlign w:val="superscript"/>
              </w:rPr>
              <w:t>*4</w:t>
            </w:r>
            <w:r>
              <w:t xml:space="preserve">, </w:t>
            </w:r>
            <w:r>
              <w:rPr>
                <w:b/>
                <w:i/>
              </w:rPr>
              <w:t>z wyjątkiem inwestycji w instrumenty o konkretnym przeznaczeniu przychodów emitowane przez przedsiębiorstwa:</w:t>
            </w:r>
          </w:p>
        </w:tc>
        <w:tc>
          <w:tcPr>
            <w:tcW w:w="4876" w:type="dxa"/>
            <w:tcBorders>
              <w:top w:val="nil"/>
              <w:left w:val="nil"/>
              <w:bottom w:val="nil"/>
              <w:right w:val="nil"/>
            </w:tcBorders>
          </w:tcPr>
          <w:p>
            <w:pPr>
              <w:pStyle w:val="Normal6a"/>
            </w:pPr>
            <w:r>
              <w:t>b)</w:t>
            </w:r>
            <w:r>
              <w:tab/>
            </w:r>
            <w:r>
              <w:t>nie obejmują inwestycji w przedsiębiorstwa, o których mowa w art. 12 ust. 1 lit. a), b), c) i d) rozporządzenia delegowanego Komisji (UE) 2020/1818</w:t>
            </w:r>
            <w:r>
              <w:rPr>
                <w:b/>
                <w:i/>
              </w:rPr>
              <w:t>\</w:t>
            </w:r>
            <w:r>
              <w:t>*4,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Denis Nesci, Francesco Ventola, Mariateresa Vivaldini, Marco Falcone, Marco Squarta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akapit 1 – punkt 8</w:t>
      </w:r>
      <w:r>
        <w:rPr>
          <w:rStyle w:val="HideTWBExt"/>
        </w:rPr>
        <w:t>&lt;/Article&gt;</w:t>
      </w:r>
    </w:p>
    <w:p>
      <w:r>
        <w:rPr>
          <w:rStyle w:val="HideTWBExt"/>
        </w:rPr>
        <w:t>&lt;DocAmend2&gt;</w:t>
      </w:r>
      <w:r>
        <w:t>Rozporządzenie (UE) 2019/2088</w:t>
      </w:r>
      <w:r>
        <w:rPr>
          <w:rStyle w:val="HideTWBExt"/>
        </w:rPr>
        <w:t>&lt;/DocAmend2&gt;</w:t>
      </w:r>
    </w:p>
    <w:p>
      <w:r>
        <w:rPr>
          <w:rStyle w:val="HideTWBExt"/>
        </w:rPr>
        <w:t>&lt;Article2&gt;</w:t>
      </w:r>
      <w:r>
        <w:t>Artykuł 7 – ustęp 1 – litera b</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nie obejmują inwestycji w przedsiębiorstwa, o których mowa w art. 12 ust. 1 lit. a), b), c) i d) rozporządzenia delegowanego Komisji (UE) 2020/1818</w:t>
            </w:r>
            <w:r>
              <w:rPr>
                <w:vertAlign w:val="superscript"/>
              </w:rPr>
              <w:t>*4</w:t>
            </w:r>
            <w:r>
              <w:t>, z wyjątkiem inwestycji w instrumenty o konkretnym przeznaczeniu przychodów emitowane przez przedsiębiorstwa:</w:t>
            </w:r>
          </w:p>
        </w:tc>
        <w:tc>
          <w:tcPr>
            <w:tcW w:w="4876" w:type="dxa"/>
            <w:tcBorders>
              <w:top w:val="nil"/>
              <w:left w:val="nil"/>
              <w:bottom w:val="nil"/>
              <w:right w:val="nil"/>
            </w:tcBorders>
          </w:tcPr>
          <w:p>
            <w:pPr>
              <w:pStyle w:val="Normal6a"/>
            </w:pPr>
            <w:r>
              <w:rPr>
                <w:i/>
              </w:rPr>
              <w:t>(Nie dotyczy polskiej wersji językowej)</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Angelika Winzig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ustęp 1 – punkt 8</w:t>
      </w:r>
      <w:r>
        <w:rPr>
          <w:rStyle w:val="HideTWBExt"/>
        </w:rPr>
        <w:t>&lt;/Article&gt;</w:t>
      </w:r>
    </w:p>
    <w:p>
      <w:r>
        <w:rPr>
          <w:rStyle w:val="HideTWBExt"/>
        </w:rPr>
        <w:t>&lt;DocAmend2&gt;</w:t>
      </w:r>
      <w:r>
        <w:t>Rozporządzenie (UE) 2019/2088</w:t>
      </w:r>
      <w:r>
        <w:rPr>
          <w:rStyle w:val="HideTWBExt"/>
        </w:rPr>
        <w:t>&lt;/DocAmend2&gt;</w:t>
      </w:r>
    </w:p>
    <w:p>
      <w:r>
        <w:rPr>
          <w:rStyle w:val="HideTWBExt"/>
        </w:rPr>
        <w:t>&lt;Article2&gt;</w:t>
      </w:r>
      <w:r>
        <w:t>Artykuł 7 – ustęp 1 – litera b</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nie obejmują inwestycji w przedsiębiorstwa, o których mowa w art. 12 ust. 1 lit. a), b)</w:t>
            </w:r>
            <w:r>
              <w:rPr>
                <w:b/>
                <w:i/>
              </w:rPr>
              <w:t>, c) i d)</w:t>
            </w:r>
            <w:r>
              <w:t xml:space="preserve"> rozporządzenia delegowanego Komisji (UE) 2020/1818</w:t>
            </w:r>
            <w:r>
              <w:rPr>
                <w:vertAlign w:val="superscript"/>
              </w:rPr>
              <w:t>*4</w:t>
            </w:r>
            <w:r>
              <w:t>, z wyjątkiem inwestycji w instrumenty o konkretnym przeznaczeniu przychodów emitowane przez przedsiębiorstwa:</w:t>
            </w:r>
          </w:p>
        </w:tc>
        <w:tc>
          <w:tcPr>
            <w:tcW w:w="4876" w:type="dxa"/>
            <w:tcBorders>
              <w:top w:val="nil"/>
              <w:left w:val="nil"/>
              <w:bottom w:val="nil"/>
              <w:right w:val="nil"/>
            </w:tcBorders>
          </w:tcPr>
          <w:p>
            <w:pPr>
              <w:pStyle w:val="Normal6a"/>
            </w:pPr>
            <w:r>
              <w:t>b)</w:t>
            </w:r>
            <w:r>
              <w:tab/>
            </w:r>
            <w:r>
              <w:t xml:space="preserve">nie obejmują inwestycji w przedsiębiorstwa, o których mowa w art. 12 ust. 1 lit. a), b) </w:t>
            </w:r>
            <w:r>
              <w:rPr>
                <w:b/>
                <w:i/>
              </w:rPr>
              <w:t>i c)</w:t>
            </w:r>
            <w:r>
              <w:t xml:space="preserve"> rozporządzenia delegowanego Komisji (UE) 2020/1818*4, z wyjątkiem inwestycji w instrumenty o konkretnym przeznaczeniu przychodów emitowane przez przedsiębiorstwa: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ustęp 1 – punkt 8</w:t>
      </w:r>
      <w:r>
        <w:rPr>
          <w:rStyle w:val="HideTWBExt"/>
        </w:rPr>
        <w:t>&lt;/Article&gt;</w:t>
      </w:r>
    </w:p>
    <w:p>
      <w:r>
        <w:rPr>
          <w:rStyle w:val="HideTWBExt"/>
        </w:rPr>
        <w:t>&lt;DocAmend2&gt;</w:t>
      </w:r>
      <w:r>
        <w:t>Rozporządzenie (UE) 2019/2088</w:t>
      </w:r>
      <w:r>
        <w:rPr>
          <w:rStyle w:val="HideTWBExt"/>
        </w:rPr>
        <w:t>&lt;/DocAmend2&gt;</w:t>
      </w:r>
    </w:p>
    <w:p>
      <w:r>
        <w:rPr>
          <w:rStyle w:val="HideTWBExt"/>
        </w:rPr>
        <w:t>&lt;Article2&gt;</w:t>
      </w:r>
      <w:r>
        <w:t>Artykuł 7 – ustęp 1 – litera b</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nie obejmują inwestycji w przedsiębiorstwa, o których mowa w art. 12 ust. 1 lit. a)</w:t>
            </w:r>
            <w:r>
              <w:rPr>
                <w:b/>
                <w:i/>
              </w:rPr>
              <w:t>, b), c) i d)</w:t>
            </w:r>
            <w:r>
              <w:t xml:space="preserve"> rozporządzenia delegowanego Komisji (UE) 2020/1818</w:t>
            </w:r>
            <w:r>
              <w:rPr>
                <w:vertAlign w:val="superscript"/>
              </w:rPr>
              <w:t>*4</w:t>
            </w:r>
            <w:r>
              <w:t>, z wyjątkiem inwestycji w instrumenty o konkretnym przeznaczeniu przychodów emitowane przez przedsiębiorstwa:</w:t>
            </w:r>
          </w:p>
        </w:tc>
        <w:tc>
          <w:tcPr>
            <w:tcW w:w="4876" w:type="dxa"/>
            <w:tcBorders>
              <w:top w:val="nil"/>
              <w:left w:val="nil"/>
              <w:bottom w:val="nil"/>
              <w:right w:val="nil"/>
            </w:tcBorders>
          </w:tcPr>
          <w:p>
            <w:pPr>
              <w:pStyle w:val="Normal6a"/>
            </w:pPr>
            <w:r>
              <w:t>b)</w:t>
            </w:r>
            <w:r>
              <w:tab/>
            </w:r>
            <w:r>
              <w:t xml:space="preserve">nie obejmują inwestycji w przedsiębiorstwa, o których mowa w art. 12 ust. 1 lit. a) </w:t>
            </w:r>
            <w:r>
              <w:rPr>
                <w:b/>
                <w:i/>
              </w:rPr>
              <w:t>i c)</w:t>
            </w:r>
            <w:r>
              <w:t xml:space="preserve"> rozporządzenia delegowanego Komisji (UE) 2020/1818*4, z wyjątkiem inwestycji w instrumenty o konkretnym przeznaczeniu przychodów emitowane przez przedsiębiorstwa: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Lara Wolters, Jonás Fernández, Aurore Lalucq, Niels Fuglsang, Evelyn Regner, César Luena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ustęp 1 – punkt 8</w:t>
      </w:r>
      <w:r>
        <w:rPr>
          <w:rStyle w:val="HideTWBExt"/>
        </w:rPr>
        <w:t>&lt;/Article&gt;</w:t>
      </w:r>
    </w:p>
    <w:p>
      <w:r>
        <w:rPr>
          <w:rStyle w:val="HideTWBExt"/>
        </w:rPr>
        <w:t>&lt;DocAmend2&gt;</w:t>
      </w:r>
      <w:r>
        <w:t>Rozporządzenie (UE) 2019/2088</w:t>
      </w:r>
      <w:r>
        <w:rPr>
          <w:rStyle w:val="HideTWBExt"/>
        </w:rPr>
        <w:t>&lt;/DocAmend2&gt;</w:t>
      </w:r>
    </w:p>
    <w:p>
      <w:r>
        <w:rPr>
          <w:rStyle w:val="HideTWBExt"/>
        </w:rPr>
        <w:t>&lt;Article2&gt;</w:t>
      </w:r>
      <w:r>
        <w:t>Artykuł 7 – ustęp 1 – litera b – podpunkt i</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w:t>
            </w:r>
            <w:r>
              <w:tab/>
            </w:r>
            <w:r>
              <w:rPr>
                <w:b/>
                <w:i/>
              </w:rPr>
              <w:t>zgodnie z art. 3 rozporządzenia Parlamentu Europejskiego i Rady (UE) 2023/2631</w:t>
            </w:r>
            <w:r>
              <w:rPr>
                <w:b/>
                <w:i/>
                <w:vertAlign w:val="superscript"/>
              </w:rPr>
              <w:t>*5</w:t>
            </w:r>
            <w:r>
              <w:rPr>
                <w:b/>
                <w:i/>
              </w:rPr>
              <w:t>;</w:t>
            </w:r>
            <w:r>
              <w:t xml:space="preserve"> </w:t>
            </w:r>
            <w:r>
              <w:rPr>
                <w:b/>
                <w:i/>
              </w:rPr>
              <w:t>lub</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Denis Nesci, Francesco Ventola, Mariateresa Vivaldini, Marco Falcone, Marco Squarta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akapit 1 – punkt 8</w:t>
      </w:r>
      <w:r>
        <w:rPr>
          <w:rStyle w:val="HideTWBExt"/>
        </w:rPr>
        <w:t>&lt;/Article&gt;</w:t>
      </w:r>
    </w:p>
    <w:p>
      <w:r>
        <w:rPr>
          <w:rStyle w:val="HideTWBExt"/>
        </w:rPr>
        <w:t>&lt;DocAmend2&gt;</w:t>
      </w:r>
      <w:r>
        <w:t>Rozporządzenie (UE) 2019/2088</w:t>
      </w:r>
      <w:r>
        <w:rPr>
          <w:rStyle w:val="HideTWBExt"/>
        </w:rPr>
        <w:t>&lt;/DocAmend2&gt;</w:t>
      </w:r>
    </w:p>
    <w:p>
      <w:r>
        <w:rPr>
          <w:rStyle w:val="HideTWBExt"/>
        </w:rPr>
        <w:t>&lt;Article2&gt;</w:t>
      </w:r>
      <w:r>
        <w:t>Artykuł 7 – ustęp 1 – litera b – podpunkt i</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w:t>
            </w:r>
            <w:r>
              <w:tab/>
            </w:r>
            <w:r>
              <w:rPr>
                <w:b/>
                <w:i/>
              </w:rPr>
              <w:t>zgodnie z art. 3 rozporządzenia Parlamentu Europejskiego i Rady (UE) 2023/2631</w:t>
            </w:r>
            <w:r>
              <w:rPr>
                <w:b/>
                <w:i/>
                <w:vertAlign w:val="superscript"/>
              </w:rPr>
              <w:t>*5</w:t>
            </w:r>
            <w:r>
              <w:rPr>
                <w:b/>
                <w:i/>
              </w:rPr>
              <w:t>;</w:t>
            </w:r>
            <w:r>
              <w:t xml:space="preserve"> </w:t>
            </w:r>
            <w:r>
              <w:rPr>
                <w:b/>
                <w:i/>
              </w:rPr>
              <w:t>lub</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ustęp 1 – punkt 8</w:t>
      </w:r>
      <w:r>
        <w:rPr>
          <w:rStyle w:val="HideTWBExt"/>
        </w:rPr>
        <w:t>&lt;/Article&gt;</w:t>
      </w:r>
    </w:p>
    <w:p>
      <w:r>
        <w:rPr>
          <w:rStyle w:val="HideTWBExt"/>
        </w:rPr>
        <w:t>&lt;DocAmend2&gt;</w:t>
      </w:r>
      <w:r>
        <w:t>Rozporządzenie (UE) 2019/2088</w:t>
      </w:r>
      <w:r>
        <w:rPr>
          <w:rStyle w:val="HideTWBExt"/>
        </w:rPr>
        <w:t>&lt;/DocAmend2&gt;</w:t>
      </w:r>
    </w:p>
    <w:p>
      <w:r>
        <w:rPr>
          <w:rStyle w:val="HideTWBExt"/>
        </w:rPr>
        <w:t>&lt;Article2&gt;</w:t>
      </w:r>
      <w:r>
        <w:t>Artykuł 7 – ustęp 1 – litera b – podpunkt i</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zgodnie z art. 3 rozporządzenia Parlamentu Europejskiego i Rady (UE) 2023/2631</w:t>
            </w:r>
            <w:r>
              <w:rPr>
                <w:vertAlign w:val="superscript"/>
              </w:rPr>
              <w:t>*5</w:t>
            </w:r>
            <w:r>
              <w:t xml:space="preserve">; </w:t>
            </w:r>
            <w:r>
              <w:rPr>
                <w:b/>
                <w:i/>
              </w:rPr>
              <w:t>lub</w:t>
            </w:r>
          </w:p>
        </w:tc>
        <w:tc>
          <w:tcPr>
            <w:tcW w:w="4876" w:type="dxa"/>
            <w:tcBorders>
              <w:top w:val="nil"/>
              <w:left w:val="nil"/>
              <w:bottom w:val="nil"/>
              <w:right w:val="nil"/>
            </w:tcBorders>
          </w:tcPr>
          <w:p>
            <w:pPr>
              <w:pStyle w:val="Normal6a"/>
            </w:pPr>
            <w:r>
              <w:t>(i)</w:t>
            </w:r>
            <w:r>
              <w:tab/>
            </w:r>
            <w:r>
              <w:t>zgodnie z art. 3 rozporządzenia Parlamentu Europejskiego i Rady (UE) 2023/2631*</w:t>
            </w:r>
            <w:r>
              <w:rPr>
                <w:vertAlign w:val="superscript"/>
              </w:rPr>
              <w:t>5</w:t>
            </w:r>
            <w:r>
              <w:rPr>
                <w:b/>
                <w:i/>
              </w:rPr>
              <w:t>,</w:t>
            </w:r>
            <w:r>
              <w:rPr>
                <w:b/>
                <w:i/>
                <w:vertAlign w:val="superscript"/>
              </w:rPr>
              <w:t>1a</w:t>
            </w:r>
            <w:r>
              <w:rPr>
                <w:b/>
                <w:i/>
              </w:rPr>
              <w:t>,</w:t>
            </w:r>
            <w:r>
              <w:rPr>
                <w:b/>
                <w:i/>
                <w:vertAlign w:val="superscript"/>
              </w:rPr>
              <w:t>1b</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Zasadami obligacji ekologicznych ICMA – https://www.icmagroup.org/assets/documents/Sustainable-finance/2025-updates/Green-Bond-Principles-GBP-June-2025.pdf</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1b</w:t>
            </w:r>
            <w:r>
              <w:t xml:space="preserve"> </w:t>
            </w:r>
            <w:r>
              <w:rPr>
                <w:b/>
                <w:i/>
              </w:rPr>
              <w:t>Zasady ICMA dotyczące obligacji społecznych – https://www.icmagroup.org/assets/documents/Sustainable-finance/2025-updates/Social-Bond-Principles-SBP-June-2025.pdf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ustęp 1 – punkt 8</w:t>
      </w:r>
      <w:r>
        <w:rPr>
          <w:rStyle w:val="HideTWBExt"/>
        </w:rPr>
        <w:t>&lt;/Article&gt;</w:t>
      </w:r>
    </w:p>
    <w:p>
      <w:r>
        <w:rPr>
          <w:rStyle w:val="HideTWBExt"/>
        </w:rPr>
        <w:t>&lt;DocAmend2&gt;</w:t>
      </w:r>
      <w:r>
        <w:t>Rozporządzenie (UE) 2019/2088</w:t>
      </w:r>
      <w:r>
        <w:rPr>
          <w:rStyle w:val="HideTWBExt"/>
        </w:rPr>
        <w:t>&lt;/DocAmend2&gt;</w:t>
      </w:r>
    </w:p>
    <w:p>
      <w:r>
        <w:rPr>
          <w:rStyle w:val="HideTWBExt"/>
        </w:rPr>
        <w:t>&lt;Article2&gt;</w:t>
      </w:r>
      <w:r>
        <w:t>Artykuł 7 – ustęp 1 – litera b – podpunkt ii</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(ii)</w:t>
            </w:r>
            <w:r>
              <w:tab/>
            </w:r>
            <w:r>
              <w:rPr>
                <w:b/>
                <w:i/>
              </w:rPr>
              <w:t>jeżeli przychody nie są przeznaczone na finansowanie żadnych działań, o których mowa w art. 12 ust. 1 lit. a), b) i d) rozporządzenia delegowanego (UE) 2020/1818, pod warunkiem że emitent instrumentów o konkretnym przeznaczeniu przychodów nie podlega wyłączeniu na mocy art. 12 ust. 1 lit. c) tego rozporządzenia.</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Lara Wolters, Jonás Fernández, Aurore Lalucq, Niels Fuglsang, Evelyn Regner, César Luena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ustęp 1 – punkt 8</w:t>
      </w:r>
      <w:r>
        <w:rPr>
          <w:rStyle w:val="HideTWBExt"/>
        </w:rPr>
        <w:t>&lt;/Article&gt;</w:t>
      </w:r>
    </w:p>
    <w:p>
      <w:r>
        <w:rPr>
          <w:rStyle w:val="HideTWBExt"/>
        </w:rPr>
        <w:t>&lt;DocAmend2&gt;</w:t>
      </w:r>
      <w:r>
        <w:t>Rozporządzenie (UE) 2019/2088</w:t>
      </w:r>
      <w:r>
        <w:rPr>
          <w:rStyle w:val="HideTWBExt"/>
        </w:rPr>
        <w:t>&lt;/DocAmend2&gt;</w:t>
      </w:r>
    </w:p>
    <w:p>
      <w:r>
        <w:rPr>
          <w:rStyle w:val="HideTWBExt"/>
        </w:rPr>
        <w:t>&lt;Article2&gt;</w:t>
      </w:r>
      <w:r>
        <w:t>Artykuł 7 – ustęp 1 – litera b – podpunkt ii</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(ii)</w:t>
            </w:r>
            <w:r>
              <w:tab/>
            </w:r>
            <w:r>
              <w:rPr>
                <w:b/>
                <w:i/>
              </w:rPr>
              <w:t>jeżeli przychody nie są przeznaczone na finansowanie żadnych działań, o których mowa w art. 12 ust. 1 lit. a), b) i d) rozporządzenia delegowanego (UE) 2020/1818, pod warunkiem że emitent instrumentów o konkretnym przeznaczeniu przychodów nie podlega wyłączeniu na mocy art. 12 ust. 1 lit. c) tego rozporządzenia.</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Luděk Niedermayer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ustęp 1 – punkt 8</w:t>
      </w:r>
      <w:r>
        <w:rPr>
          <w:rStyle w:val="HideTWBExt"/>
        </w:rPr>
        <w:t>&lt;/Article&gt;</w:t>
      </w:r>
    </w:p>
    <w:p>
      <w:r>
        <w:rPr>
          <w:rStyle w:val="HideTWBExt"/>
        </w:rPr>
        <w:t>&lt;DocAmend2&gt;</w:t>
      </w:r>
      <w:r>
        <w:t>Rozporządzenie (UE) 2019/2088</w:t>
      </w:r>
      <w:r>
        <w:rPr>
          <w:rStyle w:val="HideTWBExt"/>
        </w:rPr>
        <w:t>&lt;/DocAmend2&gt;</w:t>
      </w:r>
    </w:p>
    <w:p>
      <w:r>
        <w:rPr>
          <w:rStyle w:val="HideTWBExt"/>
        </w:rPr>
        <w:t>&lt;Article2&gt;</w:t>
      </w:r>
      <w:r>
        <w:t>Artykuł 7 – ustęp 1 – akapit 1 – litera b a (nowa)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nie obejmują inwestycji w przedsiębiorstwa, które opracowują nowe projekty dotyczące poszukiwania, wydobycia, dystrybucji lub rafinacji węgla kamiennego lub brunatnego, paliw ropopochodnych lub paliw gazowych.</w:t>
            </w:r>
            <w:r>
              <w:t xml:space="preserve"> </w:t>
            </w:r>
            <w:r>
              <w:rPr>
                <w:b/>
                <w:i/>
              </w:rPr>
              <w:t>W przypadku gdy do wytwarzania energii elektrycznej wykorzystuje się węgiel kamienny lub brunatny, wyklucza się inwestycje w przedsiębiorstwa, które nie mają określonego w czasie i wymiernego planu stopniowego wycofywania się z takiej działalności.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Martin Günther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ustęp 1 – punkt 8</w:t>
      </w:r>
      <w:r>
        <w:rPr>
          <w:rStyle w:val="HideTWBExt"/>
        </w:rPr>
        <w:t>&lt;/Article&gt;</w:t>
      </w:r>
    </w:p>
    <w:p>
      <w:r>
        <w:rPr>
          <w:rStyle w:val="HideTWBExt"/>
        </w:rPr>
        <w:t>&lt;DocAmend2&gt;</w:t>
      </w:r>
      <w:r>
        <w:t>Rozporządzenie (UE) 2019/2088</w:t>
      </w:r>
      <w:r>
        <w:rPr>
          <w:rStyle w:val="HideTWBExt"/>
        </w:rPr>
        <w:t>&lt;/DocAmend2&gt;</w:t>
      </w:r>
    </w:p>
    <w:p>
      <w:r>
        <w:rPr>
          <w:rStyle w:val="HideTWBExt"/>
        </w:rPr>
        <w:t>&lt;Article2&gt;</w:t>
      </w:r>
      <w:r>
        <w:t>Artykuł 7 – ustęp 1 – akapit 1 – litera b a (nowa)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nie obejmują inwestycji w przedsiębiorstwa zaangażowane w dowolną działalność związaną z bronią;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ustęp 1 – punkt 8</w:t>
      </w:r>
      <w:r>
        <w:rPr>
          <w:rStyle w:val="HideTWBExt"/>
        </w:rPr>
        <w:t>&lt;/Article&gt;</w:t>
      </w:r>
    </w:p>
    <w:p>
      <w:r>
        <w:rPr>
          <w:rStyle w:val="HideTWBExt"/>
        </w:rPr>
        <w:t>&lt;DocAmend2&gt;</w:t>
      </w:r>
      <w:r>
        <w:t>Rozporządzenie (UE) 2019/2088</w:t>
      </w:r>
      <w:r>
        <w:rPr>
          <w:rStyle w:val="HideTWBExt"/>
        </w:rPr>
        <w:t>&lt;/DocAmend2&gt;</w:t>
      </w:r>
    </w:p>
    <w:p>
      <w:r>
        <w:rPr>
          <w:rStyle w:val="HideTWBExt"/>
        </w:rPr>
        <w:t>&lt;Article2&gt;</w:t>
      </w:r>
      <w:r>
        <w:t>Artykuł 7 – ustęp 1 – akapit 1 – litera c</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nie obejmują inwestycji w przedsiębiorstwa, które:</w:t>
            </w:r>
          </w:p>
        </w:tc>
        <w:tc>
          <w:tcPr>
            <w:tcW w:w="4876" w:type="dxa"/>
            <w:tcBorders>
              <w:top w:val="nil"/>
              <w:left w:val="nil"/>
              <w:bottom w:val="nil"/>
              <w:right w:val="nil"/>
            </w:tcBorders>
          </w:tcPr>
          <w:p>
            <w:pPr>
              <w:pStyle w:val="Normal6a"/>
            </w:pPr>
            <w:r>
              <w:rPr>
                <w:b/>
                <w:i/>
              </w:rPr>
              <w:t>skreśla się</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 opracowują nowe projekty dotyczące poszukiwania, wydobycia, dystrybucji lub rafinacji węgla kamiennego i brunatnego, paliw ropopochodnych lub paliw gazowych;</w:t>
            </w:r>
            <w:r>
              <w:rPr>
                <w:b/>
                <w:i/>
              </w:rPr>
              <w:t xml:space="preserve"> </w:t>
            </w:r>
            <w:r>
              <w:rPr>
                <w:b/>
                <w:i/>
              </w:rPr>
              <w:t>lub</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(ii) opracowują nowe projekty dotyczące poszukiwania, wydobycia, dystrybucji, rafinacji lub eksploatacji węgla kamiennego lub brunatnego do celów wytwarzania energii elektrycznej lub nie mają planów wycofania się z tych działań;</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ustęp 1 – punkt 8</w:t>
      </w:r>
      <w:r>
        <w:rPr>
          <w:rStyle w:val="HideTWBExt"/>
        </w:rPr>
        <w:t>&lt;/Article&gt;</w:t>
      </w:r>
    </w:p>
    <w:p>
      <w:r>
        <w:rPr>
          <w:rStyle w:val="HideTWBExt"/>
        </w:rPr>
        <w:t>&lt;DocAmend2&gt;</w:t>
      </w:r>
      <w:r>
        <w:t>Rozporządzenie (UE) 2019/2088</w:t>
      </w:r>
      <w:r>
        <w:rPr>
          <w:rStyle w:val="HideTWBExt"/>
        </w:rPr>
        <w:t>&lt;/DocAmend2&gt;</w:t>
      </w:r>
    </w:p>
    <w:p>
      <w:r>
        <w:rPr>
          <w:rStyle w:val="HideTWBExt"/>
        </w:rPr>
        <w:t>&lt;Article2&gt;</w:t>
      </w:r>
      <w:r>
        <w:t>Artykuł 7 – ustęp 1 – akapit 1 – litera c</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nie obejmują inwestycji w przedsiębiorstwa, które:</w:t>
            </w:r>
          </w:p>
        </w:tc>
        <w:tc>
          <w:tcPr>
            <w:tcW w:w="4876" w:type="dxa"/>
            <w:tcBorders>
              <w:top w:val="nil"/>
              <w:left w:val="nil"/>
              <w:bottom w:val="nil"/>
              <w:right w:val="nil"/>
            </w:tcBorders>
          </w:tcPr>
          <w:p>
            <w:pPr>
              <w:pStyle w:val="Normal6a"/>
            </w:pPr>
            <w:r>
              <w:rPr>
                <w:b/>
                <w:i/>
              </w:rPr>
              <w:t>skreśla się</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 opracowują nowe projekty dotyczące poszukiwania, wydobycia, dystrybucji lub rafinacji węgla kamiennego i brunatnego, paliw ropopochodnych lub paliw gazowych;</w:t>
            </w:r>
            <w:r>
              <w:rPr>
                <w:b/>
                <w:i/>
              </w:rPr>
              <w:t xml:space="preserve"> </w:t>
            </w:r>
            <w:r>
              <w:rPr>
                <w:b/>
                <w:i/>
              </w:rPr>
              <w:t>lub</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(ii) opracowują nowe projekty dotyczące poszukiwania, wydobycia, dystrybucji, rafinacji lub eksploatacji węgla kamiennego lub brunatnego do celów wytwarzania energii elektrycznej lub nie mają planów wycofania się z tych działań;</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Proponowane wyłączenia sektorowe wprowadzają sztywne ograniczenia, które mogą osłabić zdolność rynków finansowych UE do efektywnej alokacji kapitału w całej gospodarce.</w:t>
      </w:r>
      <w:r>
        <w:t xml:space="preserve"> </w:t>
      </w:r>
      <w:r>
        <w:t>Wykluczając całe sektory niezależnie od wyników lub wysiłków na rzecz transformacji poszczególnych przedsiębiorstw, ramy te mogą zmniejszyć atrakcyjność produktów finansowych UE i osłabić globalną konkurencyjność Europy.</w:t>
      </w:r>
    </w:p>
    <w:p>
      <w:r>
        <w:rPr>
          <w:rStyle w:val="HideTWBExt"/>
        </w:rPr>
        <w:t>&lt;/Amend&gt;</w:t>
      </w:r>
    </w:p>
    <w:p>
      <w:pPr>
        <w:pStyle w:val="AmNumberTabs"/>
      </w:pPr>
      <w:r>
        <w:rPr>
          <w:rStyle w:val="HideTWBExt"/>
        </w:rPr>
        <w:t>&lt;Amend&gt;</w:t>
      </w:r>
      <w:r>
        <w:t>Poprawka</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Stephen Nikola Bartulica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ustęp 1 – punkt 8</w:t>
      </w:r>
      <w:r>
        <w:rPr>
          <w:rStyle w:val="HideTWBExt"/>
        </w:rPr>
        <w:t>&lt;/Article&gt;</w:t>
      </w:r>
    </w:p>
    <w:p>
      <w:r>
        <w:rPr>
          <w:rStyle w:val="HideTWBExt"/>
        </w:rPr>
        <w:t>&lt;DocAmend2&gt;</w:t>
      </w:r>
      <w:r>
        <w:t>Rozporządzenie (UE) 2019/2088</w:t>
      </w:r>
      <w:r>
        <w:rPr>
          <w:rStyle w:val="HideTWBExt"/>
        </w:rPr>
        <w:t>&lt;/DocAmend2&gt;</w:t>
      </w:r>
    </w:p>
    <w:p>
      <w:r>
        <w:rPr>
          <w:rStyle w:val="HideTWBExt"/>
        </w:rPr>
        <w:t>&lt;Article2&gt;</w:t>
      </w:r>
      <w:r>
        <w:t>Artykuł 7 – ustęp 1 – akapit 1 – litera c</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nie obejmują inwestycji w przedsiębiorstwa, które:</w:t>
            </w:r>
          </w:p>
        </w:tc>
        <w:tc>
          <w:tcPr>
            <w:tcW w:w="4876" w:type="dxa"/>
            <w:tcBorders>
              <w:top w:val="nil"/>
              <w:left w:val="nil"/>
              <w:bottom w:val="nil"/>
              <w:right w:val="nil"/>
            </w:tcBorders>
          </w:tcPr>
          <w:p>
            <w:pPr>
              <w:pStyle w:val="Normal6a"/>
            </w:pPr>
            <w:r>
              <w:rPr>
                <w:b/>
                <w:i/>
              </w:rPr>
              <w:t>skreśla się</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 opracowują nowe projekty dotyczące poszukiwania, wydobycia, dystrybucji lub rafinacji węgla kamiennego i brunatnego, paliw ropopochodnych lub paliw gazowych;</w:t>
            </w:r>
            <w:r>
              <w:rPr>
                <w:b/>
                <w:i/>
              </w:rPr>
              <w:t xml:space="preserve"> </w:t>
            </w:r>
            <w:r>
              <w:rPr>
                <w:b/>
                <w:i/>
              </w:rPr>
              <w:t>lub</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(ii) opracowują nowe projekty dotyczące poszukiwania, wydobycia, dystrybucji, rafinacji lub eksploatacji węgla kamiennego lub brunatnego do celów wytwarzania energii elektrycznej lub nie mają planów wycofania się z tych działań;</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Markus Ferber, Janusz Lewandowski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ustęp 1 – punkt 8</w:t>
      </w:r>
      <w:r>
        <w:rPr>
          <w:rStyle w:val="HideTWBExt"/>
        </w:rPr>
        <w:t>&lt;/Article&gt;</w:t>
      </w:r>
    </w:p>
    <w:p>
      <w:r>
        <w:rPr>
          <w:rStyle w:val="HideTWBExt"/>
        </w:rPr>
        <w:t>&lt;DocAmend2&gt;</w:t>
      </w:r>
      <w:r>
        <w:t>Rozporządzenie (UE) 2019/2088</w:t>
      </w:r>
      <w:r>
        <w:rPr>
          <w:rStyle w:val="HideTWBExt"/>
        </w:rPr>
        <w:t>&lt;/DocAmend2&gt;</w:t>
      </w:r>
    </w:p>
    <w:p>
      <w:r>
        <w:rPr>
          <w:rStyle w:val="HideTWBExt"/>
        </w:rPr>
        <w:t>&lt;Article2&gt;</w:t>
      </w:r>
      <w:r>
        <w:t>Artykuł 7 – ustęp 1 – akapit 1 – litera c</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nie obejmują inwestycji w przedsiębiorstwa, które:</w:t>
            </w:r>
          </w:p>
        </w:tc>
        <w:tc>
          <w:tcPr>
            <w:tcW w:w="4876" w:type="dxa"/>
            <w:tcBorders>
              <w:top w:val="nil"/>
              <w:left w:val="nil"/>
              <w:bottom w:val="nil"/>
              <w:right w:val="nil"/>
            </w:tcBorders>
          </w:tcPr>
          <w:p>
            <w:pPr>
              <w:pStyle w:val="Normal6a"/>
            </w:pPr>
            <w:r>
              <w:rPr>
                <w:b/>
                <w:i/>
              </w:rPr>
              <w:t>skreśla się</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 opracowują nowe projekty dotyczące poszukiwania, wydobycia, dystrybucji lub rafinacji węgla kamiennego i brunatnego, paliw ropopochodnych lub paliw gazowych;</w:t>
            </w:r>
            <w:r>
              <w:rPr>
                <w:b/>
                <w:i/>
              </w:rPr>
              <w:t xml:space="preserve"> </w:t>
            </w:r>
            <w:r>
              <w:rPr>
                <w:b/>
                <w:i/>
              </w:rPr>
              <w:t>lub</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(ii) opracowują nowe projekty dotyczące poszukiwania, wydobycia, dystrybucji, rafinacji lub eksploatacji węgla kamiennego lub brunatnego do celów wytwarzania energii elektrycznej lub nie mają planów wycofania się z tych działań;</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Artykuł 7 ust. 1 lit. c) jest sprzeczny z celem samej kategorii inwestycji w transformację.</w:t>
      </w:r>
      <w:r>
        <w:t xml:space="preserve"> </w:t>
      </w:r>
      <w:r>
        <w:t>Wykluczenie przedsiębiorstw realizujących nowe projekty związane z paliwami kopalnymi odcina od etykiety „transformacja” dokładnie te podmioty z sektora energetycznego, do których finansowanie transformacji ma w założeniu trafiać.</w:t>
      </w:r>
    </w:p>
    <w:p>
      <w:r>
        <w:rPr>
          <w:rStyle w:val="HideTWBExt"/>
        </w:rPr>
        <w:t>&lt;/Amend&gt;</w:t>
      </w:r>
    </w:p>
    <w:p>
      <w:pPr>
        <w:pStyle w:val="AmNumberTabs"/>
      </w:pPr>
      <w:r>
        <w:rPr>
          <w:rStyle w:val="HideTWBExt"/>
        </w:rPr>
        <w:t>&lt;Amend&gt;</w:t>
      </w:r>
      <w:r>
        <w:t>Poprawka</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ustęp 1 – punkt 8</w:t>
      </w:r>
      <w:r>
        <w:rPr>
          <w:rStyle w:val="HideTWBExt"/>
        </w:rPr>
        <w:t>&lt;/Article&gt;</w:t>
      </w:r>
    </w:p>
    <w:p>
      <w:r>
        <w:rPr>
          <w:rStyle w:val="HideTWBExt"/>
        </w:rPr>
        <w:t>&lt;DocAmend2&gt;</w:t>
      </w:r>
      <w:r>
        <w:t>Rozporządzenie (UE) 2019/2088</w:t>
      </w:r>
      <w:r>
        <w:rPr>
          <w:rStyle w:val="HideTWBExt"/>
        </w:rPr>
        <w:t>&lt;/DocAmend2&gt;</w:t>
      </w:r>
    </w:p>
    <w:p>
      <w:r>
        <w:rPr>
          <w:rStyle w:val="HideTWBExt"/>
        </w:rPr>
        <w:t>&lt;Article2&gt;</w:t>
      </w:r>
      <w:r>
        <w:t>Artykuł 7 – ustęp 1 – akapit 1 – litera c</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nie obejmują inwestycji w przedsiębiorstwa, które:</w:t>
            </w:r>
          </w:p>
        </w:tc>
        <w:tc>
          <w:tcPr>
            <w:tcW w:w="4876" w:type="dxa"/>
            <w:tcBorders>
              <w:top w:val="nil"/>
              <w:left w:val="nil"/>
              <w:bottom w:val="nil"/>
              <w:right w:val="nil"/>
            </w:tcBorders>
          </w:tcPr>
          <w:p>
            <w:pPr>
              <w:pStyle w:val="Normal6a"/>
            </w:pPr>
            <w:r>
              <w:rPr>
                <w:b/>
                <w:i/>
              </w:rPr>
              <w:t>skreśla się</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 opracowują nowe projekty dotyczące poszukiwania, wydobycia, dystrybucji lub rafinacji węgla kamiennego i brunatnego, paliw ropopochodnych lub paliw gazowych;</w:t>
            </w:r>
            <w:r>
              <w:rPr>
                <w:b/>
                <w:i/>
              </w:rPr>
              <w:t xml:space="preserve"> </w:t>
            </w:r>
            <w:r>
              <w:rPr>
                <w:b/>
                <w:i/>
              </w:rPr>
              <w:t>lub</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(ii) opracowują nowe projekty dotyczące poszukiwania, wydobycia, dystrybucji, rafinacji lub eksploatacji węgla kamiennego lub brunatnego do celów wytwarzania energii elektrycznej lub nie mają planów wycofania się z tych działań;</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Jaroslava Pokorná Jermanová, Jaroslav Knot, Pierre Pimpie, 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ustęp 1 – punkt 8</w:t>
      </w:r>
      <w:r>
        <w:rPr>
          <w:rStyle w:val="HideTWBExt"/>
        </w:rPr>
        <w:t>&lt;/Article&gt;</w:t>
      </w:r>
    </w:p>
    <w:p>
      <w:r>
        <w:rPr>
          <w:rStyle w:val="HideTWBExt"/>
        </w:rPr>
        <w:t>&lt;DocAmend2&gt;</w:t>
      </w:r>
      <w:r>
        <w:t>Rozporządzenie (UE) 2019/2088</w:t>
      </w:r>
      <w:r>
        <w:rPr>
          <w:rStyle w:val="HideTWBExt"/>
        </w:rPr>
        <w:t>&lt;/DocAmend2&gt;</w:t>
      </w:r>
    </w:p>
    <w:p>
      <w:r>
        <w:rPr>
          <w:rStyle w:val="HideTWBExt"/>
        </w:rPr>
        <w:t>&lt;Article2&gt;</w:t>
      </w:r>
      <w:r>
        <w:t>Artykuł 7 – ustęp 1 – akapit 1 – litera c</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nie obejmują inwestycji w przedsiębiorstwa, które:</w:t>
            </w:r>
          </w:p>
        </w:tc>
        <w:tc>
          <w:tcPr>
            <w:tcW w:w="4876" w:type="dxa"/>
            <w:tcBorders>
              <w:top w:val="nil"/>
              <w:left w:val="nil"/>
              <w:bottom w:val="nil"/>
              <w:right w:val="nil"/>
            </w:tcBorders>
          </w:tcPr>
          <w:p>
            <w:pPr>
              <w:pStyle w:val="Normal6a"/>
            </w:pPr>
            <w:r>
              <w:rPr>
                <w:b/>
                <w:i/>
              </w:rPr>
              <w:t>skreśla się</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 opracowują nowe projekty dotyczące poszukiwania, wydobycia, dystrybucji lub rafinacji węgla kamiennego i brunatnego, paliw ropopochodnych lub paliw gazowych;</w:t>
            </w:r>
            <w:r>
              <w:rPr>
                <w:b/>
                <w:i/>
              </w:rPr>
              <w:t xml:space="preserve"> </w:t>
            </w:r>
            <w:r>
              <w:rPr>
                <w:b/>
                <w:i/>
              </w:rPr>
              <w:t>lub</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(ii) opracowują nowe projekty dotyczące poszukiwania, wydobycia, dystrybucji, rafinacji lub eksploatacji węgla kamiennego lub brunatnego do celów wytwarzania energii elektrycznej lub nie mają planów wycofania się z tych działań;</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Denis Nesci, Francesco Ventola, Mariateresa Vivaldini, Marco Falcone, Marco Squarta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akapit 1 – punkt 8</w:t>
      </w:r>
      <w:r>
        <w:rPr>
          <w:rStyle w:val="HideTWBExt"/>
        </w:rPr>
        <w:t>&lt;/Article&gt;</w:t>
      </w:r>
    </w:p>
    <w:p>
      <w:r>
        <w:rPr>
          <w:rStyle w:val="HideTWBExt"/>
        </w:rPr>
        <w:t>&lt;DocAmend2&gt;</w:t>
      </w:r>
      <w:r>
        <w:t>Rozporządzenie (UE) 2019/2088</w:t>
      </w:r>
      <w:r>
        <w:rPr>
          <w:rStyle w:val="HideTWBExt"/>
        </w:rPr>
        <w:t>&lt;/DocAmend2&gt;</w:t>
      </w:r>
    </w:p>
    <w:p>
      <w:r>
        <w:rPr>
          <w:rStyle w:val="HideTWBExt"/>
        </w:rPr>
        <w:t>&lt;Article2&gt;</w:t>
      </w:r>
      <w:r>
        <w:t>Artykuł 7 – ustęp 1 – akapit 1 – litera c</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nie obejmują inwestycji w przedsiębiorstwa, które:</w:t>
            </w:r>
          </w:p>
        </w:tc>
        <w:tc>
          <w:tcPr>
            <w:tcW w:w="4876" w:type="dxa"/>
            <w:tcBorders>
              <w:top w:val="nil"/>
              <w:left w:val="nil"/>
              <w:bottom w:val="nil"/>
              <w:right w:val="nil"/>
            </w:tcBorders>
          </w:tcPr>
          <w:p>
            <w:pPr>
              <w:pStyle w:val="Normal6a"/>
            </w:pPr>
            <w:r>
              <w:t>c)</w:t>
            </w:r>
            <w:r>
              <w:tab/>
            </w:r>
            <w:r>
              <w:t xml:space="preserve">nie obejmują inwestycji w przedsiębiorstwa, które </w:t>
            </w:r>
            <w:r>
              <w:rPr>
                <w:b/>
                <w:i/>
              </w:rPr>
              <w:t>osiągają przychody z poszukiwania, wydobycia i rafinacji węgla kamiennego i brunatnego, paliw ropopochodnych lub paliw gazowych, z wyjątkiem sytuacji gdy przedsiębiorstwa te</w:t>
            </w:r>
            <w:r>
              <w: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Luděk Niedermayer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ustęp 1 – punkt 8</w:t>
      </w:r>
      <w:r>
        <w:rPr>
          <w:rStyle w:val="HideTWBExt"/>
        </w:rPr>
        <w:t>&lt;/Article&gt;</w:t>
      </w:r>
    </w:p>
    <w:p>
      <w:r>
        <w:rPr>
          <w:rStyle w:val="HideTWBExt"/>
        </w:rPr>
        <w:t>&lt;DocAmend2&gt;</w:t>
      </w:r>
      <w:r>
        <w:t>Rozporządzenie (UE) 2019/2088</w:t>
      </w:r>
      <w:r>
        <w:rPr>
          <w:rStyle w:val="HideTWBExt"/>
        </w:rPr>
        <w:t>&lt;/DocAmend2&gt;</w:t>
      </w:r>
    </w:p>
    <w:p>
      <w:r>
        <w:rPr>
          <w:rStyle w:val="HideTWBExt"/>
        </w:rPr>
        <w:t>&lt;Article2&gt;</w:t>
      </w:r>
      <w:r>
        <w:t>Artykuł 7 – ustęp 1 – akapit 1 – litera c</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nie obejmują inwestycji w przedsiębiorstwa, które:</w:t>
            </w:r>
          </w:p>
        </w:tc>
        <w:tc>
          <w:tcPr>
            <w:tcW w:w="4876" w:type="dxa"/>
            <w:tcBorders>
              <w:top w:val="nil"/>
              <w:left w:val="nil"/>
              <w:bottom w:val="nil"/>
              <w:right w:val="nil"/>
            </w:tcBorders>
          </w:tcPr>
          <w:p>
            <w:pPr>
              <w:pStyle w:val="Normal6a"/>
            </w:pPr>
            <w:r>
              <w:t>c)</w:t>
            </w:r>
            <w:r>
              <w:tab/>
            </w:r>
            <w:r>
              <w:t xml:space="preserve">nie obejmują inwestycji w przedsiębiorstwa, które </w:t>
            </w:r>
            <w:r>
              <w:rPr>
                <w:b/>
                <w:i/>
              </w:rPr>
              <w:t>osiągają przychody z działalności związanej z poszukiwaniem, wydobyciem lub rafinacją paliw ropopochodnych lub paliw gazowych, chyba że takie przedsiębiorstwa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Janusz Lewandowski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ustęp 1 – punkt 8</w:t>
      </w:r>
      <w:r>
        <w:rPr>
          <w:rStyle w:val="HideTWBExt"/>
        </w:rPr>
        <w:t>&lt;/Article&gt;</w:t>
      </w:r>
    </w:p>
    <w:p>
      <w:r>
        <w:rPr>
          <w:rStyle w:val="HideTWBExt"/>
        </w:rPr>
        <w:t>&lt;DocAmend2&gt;</w:t>
      </w:r>
      <w:r>
        <w:t>Rozporządzenie (UE) 2019/2088</w:t>
      </w:r>
      <w:r>
        <w:rPr>
          <w:rStyle w:val="HideTWBExt"/>
        </w:rPr>
        <w:t>&lt;/DocAmend2&gt;</w:t>
      </w:r>
    </w:p>
    <w:p>
      <w:r>
        <w:rPr>
          <w:rStyle w:val="HideTWBExt"/>
        </w:rPr>
        <w:t>&lt;Article2&gt;</w:t>
      </w:r>
      <w:r>
        <w:t>Artykuł 7 – ustęp 1 – akapit 1 – litera c</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nie obejmują inwestycji w </w:t>
            </w:r>
            <w:r>
              <w:rPr>
                <w:b/>
                <w:i/>
              </w:rPr>
              <w:t>przedsiębiorstwa, które</w:t>
            </w:r>
            <w:r>
              <w:t>:</w:t>
            </w:r>
          </w:p>
        </w:tc>
        <w:tc>
          <w:tcPr>
            <w:tcW w:w="4876" w:type="dxa"/>
            <w:tcBorders>
              <w:top w:val="nil"/>
              <w:left w:val="nil"/>
              <w:bottom w:val="nil"/>
              <w:right w:val="nil"/>
            </w:tcBorders>
          </w:tcPr>
          <w:p>
            <w:pPr>
              <w:pStyle w:val="Normal6a"/>
            </w:pPr>
            <w:r>
              <w:t>c)</w:t>
            </w:r>
            <w:r>
              <w:tab/>
            </w:r>
            <w:r>
              <w:t xml:space="preserve">nie obejmują inwestycji w </w:t>
            </w:r>
            <w:r>
              <w:rPr>
                <w:b/>
                <w:i/>
              </w:rPr>
              <w:t>opracowywanie projektów dotyczących</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Christophe Gomart, François-Xavier Bellamy,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ustęp 1 – punkt 8</w:t>
      </w:r>
      <w:r>
        <w:rPr>
          <w:rStyle w:val="HideTWBExt"/>
        </w:rPr>
        <w:t>&lt;/Article&gt;</w:t>
      </w:r>
    </w:p>
    <w:p>
      <w:r>
        <w:rPr>
          <w:rStyle w:val="HideTWBExt"/>
        </w:rPr>
        <w:t>&lt;DocAmend2&gt;</w:t>
      </w:r>
      <w:r>
        <w:t>Rozporządzenie (UE) 2019/2088</w:t>
      </w:r>
      <w:r>
        <w:rPr>
          <w:rStyle w:val="HideTWBExt"/>
        </w:rPr>
        <w:t>&lt;/DocAmend2&gt;</w:t>
      </w:r>
    </w:p>
    <w:p>
      <w:r>
        <w:rPr>
          <w:rStyle w:val="HideTWBExt"/>
        </w:rPr>
        <w:t>&lt;Article2&gt;</w:t>
      </w:r>
      <w:r>
        <w:t>Artykuł 7 – ustęp 1 – akapit 1 – litera c – podpunkt i</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opracowują nowe projekty dotyczące poszukiwania, wydobycia, dystrybucji lub rafinacji węgla kamiennego i brunatnego, paliw ropopochodnych lub </w:t>
            </w:r>
            <w:r>
              <w:rPr>
                <w:b/>
                <w:i/>
              </w:rPr>
              <w:t>paliw</w:t>
            </w:r>
            <w:r>
              <w:t xml:space="preserve"> gazowych</w:t>
            </w:r>
            <w:r>
              <w:rPr>
                <w:b/>
                <w:i/>
              </w:rPr>
              <w:t>;</w:t>
            </w:r>
            <w:r>
              <w:t xml:space="preserve"> </w:t>
            </w:r>
            <w:r>
              <w:rPr>
                <w:b/>
                <w:i/>
              </w:rPr>
              <w:t>lub</w:t>
            </w:r>
          </w:p>
        </w:tc>
        <w:tc>
          <w:tcPr>
            <w:tcW w:w="4876" w:type="dxa"/>
            <w:tcBorders>
              <w:top w:val="nil"/>
              <w:left w:val="nil"/>
              <w:bottom w:val="nil"/>
              <w:right w:val="nil"/>
            </w:tcBorders>
          </w:tcPr>
          <w:p>
            <w:pPr>
              <w:pStyle w:val="Normal6a"/>
            </w:pPr>
            <w:r>
              <w:t>(i)</w:t>
            </w:r>
            <w:r>
              <w:tab/>
            </w:r>
            <w:r>
              <w:t>opracowują nowe projekty dotyczące poszukiwania, wydobycia, dystrybucji lub rafinacji węgla kamiennego i brunatnego, paliw ropopochodnych lub gazowych</w:t>
            </w:r>
            <w:r>
              <w:rPr>
                <w:b/>
                <w:i/>
              </w:rPr>
              <w:t>. Przedsiębiorstwa nie są jednak wykluczane, jeżeli: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co najmniej 20 % ich nakładów inwestycyjnych przeznacza się na działalność niskoemisyjną, działalność na rzecz przejścia lub działalność wspomagającą, taką jak działalność gospodarcza kwalifikująca się do systematyki, lub 15 % na działalność gospodarczą zgodną z systematyką, jak określono w rozporządzeniu delegowanym Komisji (UE) 2021/2178 z dnia 6 lipca 2021 r.</w:t>
            </w:r>
            <w:r>
              <w:t xml:space="preserve"> </w:t>
            </w:r>
            <w:r>
              <w:rPr>
                <w:b/>
                <w:i/>
              </w:rPr>
              <w:t>W każdym przypadku odsetek ten ustala się jako wyższą z następujących wartości: (i) kwotę obliczoną zgodnie z załącznikiem I pkt 1.1.2 lub (ii) kwotę obliczoną zgodnie z załącznikiem I pkt 1.2.3 akapit drugi do tego rozporządzenia;</w:t>
            </w:r>
            <w:r>
              <w:t xml:space="preserve"> </w:t>
            </w:r>
            <w:r>
              <w:rPr>
                <w:b/>
                <w:i/>
              </w:rPr>
              <w:t>lub</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osiągają rating ESG – w rozumieniu rozporządzenia 2024/3005 – powyżej średniego ratingu dla spektrum inwestycji lub powyżej wskaźnika referencyjnego;</w:t>
            </w:r>
            <w:r>
              <w:t xml:space="preserve"> </w:t>
            </w:r>
            <w:r>
              <w:rPr>
                <w:b/>
                <w:i/>
              </w:rPr>
              <w:t>lub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Denis Nesci, Francesco Ventola, Mariateresa Vivaldini, Marco Falcone, Marco Squarta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akapit 1 – punkt 8</w:t>
      </w:r>
      <w:r>
        <w:rPr>
          <w:rStyle w:val="HideTWBExt"/>
        </w:rPr>
        <w:t>&lt;/Article&gt;</w:t>
      </w:r>
    </w:p>
    <w:p>
      <w:r>
        <w:rPr>
          <w:rStyle w:val="HideTWBExt"/>
        </w:rPr>
        <w:t>&lt;DocAmend2&gt;</w:t>
      </w:r>
      <w:r>
        <w:t>Rozporządzenie (UE) 2019/2088</w:t>
      </w:r>
      <w:r>
        <w:rPr>
          <w:rStyle w:val="HideTWBExt"/>
        </w:rPr>
        <w:t>&lt;/DocAmend2&gt;</w:t>
      </w:r>
    </w:p>
    <w:p>
      <w:r>
        <w:rPr>
          <w:rStyle w:val="HideTWBExt"/>
        </w:rPr>
        <w:t>&lt;Article2&gt;</w:t>
      </w:r>
      <w:r>
        <w:t>Artykuł 7 – ustęp 1 – akapit 1 – litera c – podpunkt i</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w:t>
            </w:r>
            <w:r>
              <w:tab/>
            </w:r>
            <w:r>
              <w:rPr>
                <w:b/>
                <w:i/>
              </w:rPr>
              <w:t>opracowują nowe projekty dotyczące poszukiwania, wydobycia, dystrybucji lub rafinacji węgla kamiennego i brunatnego, paliw ropopochodnych lub paliw gazowych</w:t>
            </w:r>
            <w:r>
              <w:t>; lub</w:t>
            </w:r>
          </w:p>
        </w:tc>
        <w:tc>
          <w:tcPr>
            <w:tcW w:w="4876" w:type="dxa"/>
            <w:tcBorders>
              <w:top w:val="nil"/>
              <w:left w:val="nil"/>
              <w:bottom w:val="nil"/>
              <w:right w:val="nil"/>
            </w:tcBorders>
          </w:tcPr>
          <w:p>
            <w:pPr>
              <w:pStyle w:val="Normal6a"/>
            </w:pPr>
            <w:r>
              <w:rPr>
                <w:b/>
                <w:i/>
              </w:rPr>
              <w:t>i)</w:t>
            </w:r>
            <w:r>
              <w:tab/>
            </w:r>
            <w:r>
              <w:rPr>
                <w:b/>
                <w:i/>
              </w:rPr>
              <w:t>przeznaczają co najmniej 10 % całkowitych nakładów inwestycyjnych na działalność gospodarczą zgodną z systematyką zgodnie z sekcją 1.1.2.2 akapit pierwszy załącznika I do rozporządzenia delegowanego (UE) 2021/2178;</w:t>
            </w:r>
            <w:r>
              <w:t xml:space="preserve"> </w:t>
            </w:r>
            <w:r>
              <w:rPr>
                <w:b/>
                <w:i/>
              </w:rPr>
              <w:t>uzyskują rating ESG – w rozumieniu rozporządzenia (UE) 2024/3005 – przekraczający średni rating dla spektrum inwestycji lub dla wskaźnika referencyjnego</w:t>
            </w:r>
            <w:r>
              <w:t>; lub</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Luděk Niedermayer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ustęp 1 – punkt 8</w:t>
      </w:r>
      <w:r>
        <w:rPr>
          <w:rStyle w:val="HideTWBExt"/>
        </w:rPr>
        <w:t>&lt;/Article&gt;</w:t>
      </w:r>
    </w:p>
    <w:p>
      <w:r>
        <w:rPr>
          <w:rStyle w:val="HideTWBExt"/>
        </w:rPr>
        <w:t>&lt;DocAmend2&gt;</w:t>
      </w:r>
      <w:r>
        <w:t>Rozporządzenie (UE) 2019/2088</w:t>
      </w:r>
      <w:r>
        <w:rPr>
          <w:rStyle w:val="HideTWBExt"/>
        </w:rPr>
        <w:t>&lt;/DocAmend2&gt;</w:t>
      </w:r>
    </w:p>
    <w:p>
      <w:r>
        <w:rPr>
          <w:rStyle w:val="HideTWBExt"/>
        </w:rPr>
        <w:t>&lt;Article2&gt;</w:t>
      </w:r>
      <w:r>
        <w:t>Artykuł 7 – ustęp 1 – akapit 1 – litera c – podpunkt i</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rPr>
                <w:b/>
                <w:i/>
              </w:rPr>
              <w:t>opracowują nowe projekty dotyczące poszukiwania, wydobycia, dystrybucji lub rafinacji węgla kamiennego i brunatnego, paliw ropopochodnych lub paliw gazowych</w:t>
            </w:r>
            <w:r>
              <w:t xml:space="preserve">; </w:t>
            </w:r>
            <w:r>
              <w:rPr>
                <w:b/>
                <w:i/>
              </w:rPr>
              <w:t>lub</w:t>
            </w:r>
          </w:p>
        </w:tc>
        <w:tc>
          <w:tcPr>
            <w:tcW w:w="4876" w:type="dxa"/>
            <w:tcBorders>
              <w:top w:val="nil"/>
              <w:left w:val="nil"/>
              <w:bottom w:val="nil"/>
              <w:right w:val="nil"/>
            </w:tcBorders>
          </w:tcPr>
          <w:p>
            <w:pPr>
              <w:pStyle w:val="Normal6a"/>
            </w:pPr>
            <w:r>
              <w:t>(i)</w:t>
            </w:r>
            <w:r>
              <w:tab/>
            </w:r>
            <w:r>
              <w:rPr>
                <w:b/>
                <w:i/>
              </w:rPr>
              <w:t>przeznaczają co najmniej 20 % swoich całkowitych nakładów inwestycyjnych na działalność zgodną z systematyką</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ustęp 1 – punkt 8</w:t>
      </w:r>
      <w:r>
        <w:rPr>
          <w:rStyle w:val="HideTWBExt"/>
        </w:rPr>
        <w:t>&lt;/Article&gt;</w:t>
      </w:r>
    </w:p>
    <w:p>
      <w:r>
        <w:rPr>
          <w:rStyle w:val="HideTWBExt"/>
        </w:rPr>
        <w:t>&lt;DocAmend2&gt;</w:t>
      </w:r>
      <w:r>
        <w:t>Rozporządzenie (UE) 2019/2088</w:t>
      </w:r>
      <w:r>
        <w:rPr>
          <w:rStyle w:val="HideTWBExt"/>
        </w:rPr>
        <w:t>&lt;/DocAmend2&gt;</w:t>
      </w:r>
    </w:p>
    <w:p>
      <w:r>
        <w:rPr>
          <w:rStyle w:val="HideTWBExt"/>
        </w:rPr>
        <w:t>&lt;Article2&gt;</w:t>
      </w:r>
      <w:r>
        <w:t>Artykuł 7 – ustęp 1 – akapit 1 – litera c – podpunkt i</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opracowują </w:t>
            </w:r>
            <w:r>
              <w:rPr>
                <w:b/>
                <w:i/>
              </w:rPr>
              <w:t>nowe</w:t>
            </w:r>
            <w:r>
              <w:t xml:space="preserve"> projekty dotyczące poszukiwania, wydobycia, dystrybucji lub rafinacji węgla kamiennego i brunatnego, paliw ropopochodnych lub paliw gazowych; lub</w:t>
            </w:r>
          </w:p>
        </w:tc>
        <w:tc>
          <w:tcPr>
            <w:tcW w:w="4876" w:type="dxa"/>
            <w:tcBorders>
              <w:top w:val="nil"/>
              <w:left w:val="nil"/>
              <w:bottom w:val="nil"/>
              <w:right w:val="nil"/>
            </w:tcBorders>
          </w:tcPr>
          <w:p>
            <w:pPr>
              <w:pStyle w:val="Normal6a"/>
            </w:pPr>
            <w:r>
              <w:t>(i)</w:t>
            </w:r>
            <w:r>
              <w:tab/>
            </w:r>
            <w:r>
              <w:t>opracowują projekty dotyczące poszukiwania, wydobycia, dystrybucji lub rafinacji węgla kamiennego i brunatnego, paliw ropopochodnych lub paliw gazowych; lub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Janusz Lewandowski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ustęp 1 – punkt 8</w:t>
      </w:r>
      <w:r>
        <w:rPr>
          <w:rStyle w:val="HideTWBExt"/>
        </w:rPr>
        <w:t>&lt;/Article&gt;</w:t>
      </w:r>
    </w:p>
    <w:p>
      <w:r>
        <w:rPr>
          <w:rStyle w:val="HideTWBExt"/>
        </w:rPr>
        <w:t>&lt;DocAmend2&gt;</w:t>
      </w:r>
      <w:r>
        <w:t>Rozporządzenie (UE) 2019/2088</w:t>
      </w:r>
      <w:r>
        <w:rPr>
          <w:rStyle w:val="HideTWBExt"/>
        </w:rPr>
        <w:t>&lt;/DocAmend2&gt;</w:t>
      </w:r>
    </w:p>
    <w:p>
      <w:r>
        <w:rPr>
          <w:rStyle w:val="HideTWBExt"/>
        </w:rPr>
        <w:t>&lt;Article2&gt;</w:t>
      </w:r>
      <w:r>
        <w:t>Artykuł 7 – ustęp 1 – akapit 1 – litera c – podpunkt i</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w:t>
            </w:r>
            <w:r>
              <w:tab/>
            </w:r>
            <w:r>
              <w:rPr>
                <w:b/>
                <w:i/>
              </w:rPr>
              <w:t>opracowują nowe projekty dotyczące</w:t>
            </w:r>
            <w:r>
              <w:t xml:space="preserve"> poszukiwania, wydobycia, dystrybucji lub rafinacji węgla kamiennego i brunatnego, paliw ropopochodnych lub paliw gazowych; lub</w:t>
            </w:r>
          </w:p>
        </w:tc>
        <w:tc>
          <w:tcPr>
            <w:tcW w:w="4876" w:type="dxa"/>
            <w:tcBorders>
              <w:top w:val="nil"/>
              <w:left w:val="nil"/>
              <w:bottom w:val="nil"/>
              <w:right w:val="nil"/>
            </w:tcBorders>
          </w:tcPr>
          <w:p>
            <w:pPr>
              <w:pStyle w:val="Normal6a"/>
            </w:pPr>
            <w:r>
              <w:rPr>
                <w:b/>
                <w:i/>
              </w:rPr>
              <w:t>i)</w:t>
            </w:r>
            <w:r>
              <w:tab/>
            </w:r>
            <w:r>
              <w:t>poszukiwania, wydobycia, dystrybucji lub rafinacji węgla kamiennego i brunatnego, paliw ropopochodnych lub paliw gazowych; lub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Janusz Lewandowski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ustęp 1 – punkt 8</w:t>
      </w:r>
      <w:r>
        <w:rPr>
          <w:rStyle w:val="HideTWBExt"/>
        </w:rPr>
        <w:t>&lt;/Article&gt;</w:t>
      </w:r>
    </w:p>
    <w:p>
      <w:r>
        <w:rPr>
          <w:rStyle w:val="HideTWBExt"/>
        </w:rPr>
        <w:t>&lt;DocAmend2&gt;</w:t>
      </w:r>
      <w:r>
        <w:t>Rozporządzenie (UE) 2019/2088</w:t>
      </w:r>
      <w:r>
        <w:rPr>
          <w:rStyle w:val="HideTWBExt"/>
        </w:rPr>
        <w:t>&lt;/DocAmend2&gt;</w:t>
      </w:r>
    </w:p>
    <w:p>
      <w:r>
        <w:rPr>
          <w:rStyle w:val="HideTWBExt"/>
        </w:rPr>
        <w:t>&lt;Article2&gt;</w:t>
      </w:r>
      <w:r>
        <w:t>Artykuł 7 – ustęp 1 – akapit 1 – litera c – podpunkt i a (nowy)</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Przedsiębiorstwa nie podlegają jednak wykluczeniu, jeżeli: 1) przeznaczają co najmniej 10% swoich nakładów inwestycyjnych na działalność niskoemisyjną, działalność na rzecz przejścia lub wspierającą, w tym na działalność gospodarczą kwalifikującą się do systematyki.</w:t>
            </w:r>
            <w:r>
              <w:t xml:space="preserve"> </w:t>
            </w:r>
            <w:r>
              <w:rPr>
                <w:b/>
                <w:i/>
              </w:rPr>
              <w:t>Do celów niniejszego rozporządzenia wydatki zaliczane do tej kategorii obejmują również wydatki poniesione w ramach wspólnych przedsięwzięć, w tym przypadki, gdy takie przedsięwzięcia nie podlegają pełnej konsolidacji do celów sprawozdawczości finansowej;</w:t>
            </w:r>
            <w:r>
              <w:t xml:space="preserve"> </w:t>
            </w:r>
            <w:r>
              <w:rPr>
                <w:b/>
                <w:i/>
              </w:rPr>
              <w:t>lub 2) uzyskają ratingi ESG powyżej średniego ratingu dla spektrum inwestycji lub powyżej wskaźnika referencyjnego.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Luděk Niedermayer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ustęp 1 – punkt 8</w:t>
      </w:r>
      <w:r>
        <w:rPr>
          <w:rStyle w:val="HideTWBExt"/>
        </w:rPr>
        <w:t>&lt;/Article&gt;</w:t>
      </w:r>
    </w:p>
    <w:p>
      <w:r>
        <w:rPr>
          <w:rStyle w:val="HideTWBExt"/>
        </w:rPr>
        <w:t>&lt;DocAmend2&gt;</w:t>
      </w:r>
      <w:r>
        <w:t>Rozporządzenie (UE) 2019/2088</w:t>
      </w:r>
      <w:r>
        <w:rPr>
          <w:rStyle w:val="HideTWBExt"/>
        </w:rPr>
        <w:t>&lt;/DocAmend2&gt;</w:t>
      </w:r>
    </w:p>
    <w:p>
      <w:r>
        <w:rPr>
          <w:rStyle w:val="HideTWBExt"/>
        </w:rPr>
        <w:t>&lt;Article2&gt;</w:t>
      </w:r>
      <w:r>
        <w:t>Artykuł 7 – ustęp 1 – akapit 1 – litera c – podpunkt ii</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(ii)</w:t>
            </w:r>
            <w:r>
              <w:tab/>
            </w:r>
            <w:r>
              <w:rPr>
                <w:b/>
                <w:i/>
              </w:rPr>
              <w:t>opracowują nowe projekty dotyczące poszukiwania, wydobycia, dystrybucji, rafinacji lub eksploatacji węgla kamiennego lub brunatnego do celów wytwarzania energii elektrycznej lub nie mają planów wycofania się z tych działań</w:t>
            </w:r>
            <w:r>
              <w:t>;</w:t>
            </w:r>
          </w:p>
        </w:tc>
        <w:tc>
          <w:tcPr>
            <w:tcW w:w="4876" w:type="dxa"/>
            <w:tcBorders>
              <w:top w:val="nil"/>
              <w:left w:val="nil"/>
              <w:bottom w:val="nil"/>
              <w:right w:val="nil"/>
            </w:tcBorders>
          </w:tcPr>
          <w:p>
            <w:pPr>
              <w:pStyle w:val="Normal6a"/>
            </w:pPr>
            <w:r>
              <w:t>(ii)</w:t>
            </w:r>
            <w:r>
              <w:tab/>
            </w:r>
            <w:r>
              <w:rPr>
                <w:b/>
                <w:i/>
              </w:rPr>
              <w:t>przeznaczają – w trzyletnim okresie kroczącym – wyższy średni odsetek swoich całkowitych nakładów inwestycyjnych na działalność zgodną z systematyką niż na działalność, która zwiększa lub przedłuża przychody z istniejących projektów związanych z paliwami ropopochodnymi lub paliwami gazowymi</w:t>
            </w:r>
            <w:r>
              <w:t xml:space="preserve">; </w:t>
            </w:r>
            <w:r>
              <w:rPr>
                <w:b/>
                <w:i/>
              </w:rPr>
              <w:t>oraz</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Denis Nesci, Francesco Ventola, Mariateresa Vivaldini, Marco Falcone, Marco Squarta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akapit 1 – punkt 8</w:t>
      </w:r>
      <w:r>
        <w:rPr>
          <w:rStyle w:val="HideTWBExt"/>
        </w:rPr>
        <w:t>&lt;/Article&gt;</w:t>
      </w:r>
    </w:p>
    <w:p>
      <w:r>
        <w:rPr>
          <w:rStyle w:val="HideTWBExt"/>
        </w:rPr>
        <w:t>&lt;DocAmend2&gt;</w:t>
      </w:r>
      <w:r>
        <w:t>Rozporządzenie (UE) 2019/2088</w:t>
      </w:r>
      <w:r>
        <w:rPr>
          <w:rStyle w:val="HideTWBExt"/>
        </w:rPr>
        <w:t>&lt;/DocAmend2&gt;</w:t>
      </w:r>
    </w:p>
    <w:p>
      <w:r>
        <w:rPr>
          <w:rStyle w:val="HideTWBExt"/>
        </w:rPr>
        <w:t>&lt;Article2&gt;</w:t>
      </w:r>
      <w:r>
        <w:t>Artykuł 7 – ustęp 1 – akapit 1 – litera c – podpunkt ii</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(ii)</w:t>
            </w:r>
            <w:r>
              <w:tab/>
            </w:r>
            <w:r>
              <w:rPr>
                <w:b/>
                <w:i/>
              </w:rPr>
              <w:t>opracowują nowe projekty dotyczące poszukiwania, wydobycia, dystrybucji, rafinacji lub eksploatacji węgla kamiennego lub brunatnego do celów wytwarzania energii elektrycznej lub nie mają planów wycofania się z tych działań</w:t>
            </w:r>
            <w:r>
              <w:t>;</w:t>
            </w:r>
          </w:p>
        </w:tc>
        <w:tc>
          <w:tcPr>
            <w:tcW w:w="4876" w:type="dxa"/>
            <w:tcBorders>
              <w:top w:val="nil"/>
              <w:left w:val="nil"/>
              <w:bottom w:val="nil"/>
              <w:right w:val="nil"/>
            </w:tcBorders>
          </w:tcPr>
          <w:p>
            <w:pPr>
              <w:pStyle w:val="Normal6a"/>
            </w:pPr>
            <w:r>
              <w:t>(ii)</w:t>
            </w:r>
            <w:r>
              <w:tab/>
            </w:r>
            <w:r>
              <w:rPr>
                <w:b/>
                <w:i/>
              </w:rPr>
              <w:t>wprowadziły określoną w czasie i wymierną strategię na rzecz ograniczenia swoich emisji gazów cieplarnianych zakresu 1 i 2</w:t>
            </w:r>
            <w:r>
              <w: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Janusz Lewandowski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ustęp 1 – punkt 8</w:t>
      </w:r>
      <w:r>
        <w:rPr>
          <w:rStyle w:val="HideTWBExt"/>
        </w:rPr>
        <w:t>&lt;/Article&gt;</w:t>
      </w:r>
    </w:p>
    <w:p>
      <w:r>
        <w:rPr>
          <w:rStyle w:val="HideTWBExt"/>
        </w:rPr>
        <w:t>&lt;DocAmend2&gt;</w:t>
      </w:r>
      <w:r>
        <w:t>Rozporządzenie (UE) 2019/2088</w:t>
      </w:r>
      <w:r>
        <w:rPr>
          <w:rStyle w:val="HideTWBExt"/>
        </w:rPr>
        <w:t>&lt;/DocAmend2&gt;</w:t>
      </w:r>
    </w:p>
    <w:p>
      <w:r>
        <w:rPr>
          <w:rStyle w:val="HideTWBExt"/>
        </w:rPr>
        <w:t>&lt;Article2&gt;</w:t>
      </w:r>
      <w:r>
        <w:t>Artykuł 7 – ustęp 1 – akapit 1 – litera c – podpunkt ii</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(ii)</w:t>
            </w:r>
            <w:r>
              <w:tab/>
            </w:r>
            <w:r>
              <w:rPr>
                <w:b/>
                <w:i/>
              </w:rPr>
              <w:t>opracowują nowe projekty dotyczące</w:t>
            </w:r>
            <w:r>
              <w:t xml:space="preserve"> poszukiwania, wydobycia, dystrybucji, rafinacji lub eksploatacji węgla kamiennego lub brunatnego do celów wytwarzania energii elektrycznej </w:t>
            </w:r>
            <w:r>
              <w:rPr>
                <w:b/>
                <w:i/>
              </w:rPr>
              <w:t>lub nie mają planów wycofania się z tych działań;</w:t>
            </w:r>
          </w:p>
        </w:tc>
        <w:tc>
          <w:tcPr>
            <w:tcW w:w="4876" w:type="dxa"/>
            <w:tcBorders>
              <w:top w:val="nil"/>
              <w:left w:val="nil"/>
              <w:bottom w:val="nil"/>
              <w:right w:val="nil"/>
            </w:tcBorders>
          </w:tcPr>
          <w:p>
            <w:pPr>
              <w:pStyle w:val="Normal6a"/>
            </w:pPr>
            <w:r>
              <w:t>(ii)</w:t>
            </w:r>
            <w:r>
              <w:tab/>
            </w:r>
            <w:r>
              <w:t xml:space="preserve">poszukiwania, wydobycia, dystrybucji, rafinacji lub eksploatacji węgla kamiennego lub brunatnego do celów wytwarzania </w:t>
            </w:r>
            <w:r>
              <w:rPr>
                <w:b/>
                <w:i/>
              </w:rPr>
              <w:t>ciepła i</w:t>
            </w:r>
            <w:r>
              <w:t xml:space="preserve"> energii elektrycznej</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ustęp 1 – punkt 8</w:t>
      </w:r>
      <w:r>
        <w:rPr>
          <w:rStyle w:val="HideTWBExt"/>
        </w:rPr>
        <w:t>&lt;/Article&gt;</w:t>
      </w:r>
    </w:p>
    <w:p>
      <w:r>
        <w:rPr>
          <w:rStyle w:val="HideTWBExt"/>
        </w:rPr>
        <w:t>&lt;DocAmend2&gt;</w:t>
      </w:r>
      <w:r>
        <w:t>Rozporządzenie (UE) 2019/2088</w:t>
      </w:r>
      <w:r>
        <w:rPr>
          <w:rStyle w:val="HideTWBExt"/>
        </w:rPr>
        <w:t>&lt;/DocAmend2&gt;</w:t>
      </w:r>
    </w:p>
    <w:p>
      <w:r>
        <w:rPr>
          <w:rStyle w:val="HideTWBExt"/>
        </w:rPr>
        <w:t>&lt;Article2&gt;</w:t>
      </w:r>
      <w:r>
        <w:t>Artykuł 7 – ustęp 1 – akapit 1 – litera c – podpunkt ii</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(ii)</w:t>
            </w:r>
            <w:r>
              <w:tab/>
            </w:r>
            <w:r>
              <w:t xml:space="preserve">opracowują </w:t>
            </w:r>
            <w:r>
              <w:rPr>
                <w:b/>
                <w:i/>
              </w:rPr>
              <w:t>nowe</w:t>
            </w:r>
            <w:r>
              <w:t xml:space="preserve"> projekty dotyczące poszukiwania, wydobycia, dystrybucji, rafinacji lub eksploatacji węgla kamiennego lub brunatnego do celów wytwarzania energii elektrycznej </w:t>
            </w:r>
            <w:r>
              <w:rPr>
                <w:b/>
                <w:i/>
              </w:rPr>
              <w:t>lub nie mają planów wycofania się z tych działań</w:t>
            </w:r>
            <w:r>
              <w:t>;</w:t>
            </w:r>
          </w:p>
        </w:tc>
        <w:tc>
          <w:tcPr>
            <w:tcW w:w="4876" w:type="dxa"/>
            <w:tcBorders>
              <w:top w:val="nil"/>
              <w:left w:val="nil"/>
              <w:bottom w:val="nil"/>
              <w:right w:val="nil"/>
            </w:tcBorders>
          </w:tcPr>
          <w:p>
            <w:pPr>
              <w:pStyle w:val="Normal6a"/>
            </w:pPr>
            <w:r>
              <w:t>(ii)</w:t>
            </w:r>
            <w:r>
              <w:tab/>
            </w:r>
            <w:r>
              <w:t>opracowują projekty dotyczące poszukiwania, wydobycia, dystrybucji, rafinacji lub eksploatacji węgla kamiennego lub brunatnego do celów wytwarzania energii elektrycznej;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Martin Günther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ustęp 1 – punkt 8</w:t>
      </w:r>
      <w:r>
        <w:rPr>
          <w:rStyle w:val="HideTWBExt"/>
        </w:rPr>
        <w:t>&lt;/Article&gt;</w:t>
      </w:r>
    </w:p>
    <w:p>
      <w:r>
        <w:rPr>
          <w:rStyle w:val="HideTWBExt"/>
        </w:rPr>
        <w:t>&lt;DocAmend2&gt;</w:t>
      </w:r>
      <w:r>
        <w:t>Rozporządzenie (UE) 2019/2088</w:t>
      </w:r>
      <w:r>
        <w:rPr>
          <w:rStyle w:val="HideTWBExt"/>
        </w:rPr>
        <w:t>&lt;/DocAmend2&gt;</w:t>
      </w:r>
    </w:p>
    <w:p>
      <w:r>
        <w:rPr>
          <w:rStyle w:val="HideTWBExt"/>
        </w:rPr>
        <w:t>&lt;Article2&gt;</w:t>
      </w:r>
      <w:r>
        <w:t>Artykuł 7 – ustęp 1 – akapit 1 – litera c – podpunkt ii</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(ii)</w:t>
            </w:r>
            <w:r>
              <w:tab/>
            </w:r>
            <w:r>
              <w:t xml:space="preserve">opracowują nowe projekty dotyczące poszukiwania, wydobycia, dystrybucji, rafinacji lub eksploatacji węgla kamiennego </w:t>
            </w:r>
            <w:r>
              <w:rPr>
                <w:b/>
                <w:i/>
              </w:rPr>
              <w:t>lub</w:t>
            </w:r>
            <w:r>
              <w:t xml:space="preserve"> brunatnego </w:t>
            </w:r>
            <w:r>
              <w:rPr>
                <w:b/>
                <w:i/>
              </w:rPr>
              <w:t>do celów wytwarzania energii elektrycznej</w:t>
            </w:r>
            <w:r>
              <w:t xml:space="preserve"> lub nie </w:t>
            </w:r>
            <w:r>
              <w:rPr>
                <w:b/>
                <w:i/>
              </w:rPr>
              <w:t>mają planów wycofania się z tych działań;</w:t>
            </w:r>
          </w:p>
        </w:tc>
        <w:tc>
          <w:tcPr>
            <w:tcW w:w="4876" w:type="dxa"/>
            <w:tcBorders>
              <w:top w:val="nil"/>
              <w:left w:val="nil"/>
              <w:bottom w:val="nil"/>
              <w:right w:val="nil"/>
            </w:tcBorders>
          </w:tcPr>
          <w:p>
            <w:pPr>
              <w:pStyle w:val="Normal6a"/>
            </w:pPr>
            <w:r>
              <w:t>(ii)</w:t>
            </w:r>
            <w:r>
              <w:tab/>
            </w:r>
            <w:r>
              <w:t>opracowują nowe projekty dotyczące poszukiwania, wydobycia, dystrybucji, rafinacji lub eksploatacji węgla kamiennego</w:t>
            </w:r>
            <w:r>
              <w:rPr>
                <w:b/>
                <w:i/>
              </w:rPr>
              <w:t>, węgla</w:t>
            </w:r>
            <w:r>
              <w:t xml:space="preserve"> brunatnego </w:t>
            </w:r>
            <w:r>
              <w:rPr>
                <w:b/>
                <w:i/>
              </w:rPr>
              <w:t>paliw ropopochodnych lub paliw gazowych</w:t>
            </w:r>
            <w:r>
              <w:t xml:space="preserve"> lub nie </w:t>
            </w:r>
            <w:r>
              <w:rPr>
                <w:b/>
                <w:i/>
              </w:rPr>
              <w:t>planuje ich stopniowego wycofywania.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Lara Wolters, Jonás Fernández, Aurore Lalucq, Niels Fuglsang, Evelyn Regner, César Luena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ustęp 1 – punkt 8</w:t>
      </w:r>
      <w:r>
        <w:rPr>
          <w:rStyle w:val="HideTWBExt"/>
        </w:rPr>
        <w:t>&lt;/Article&gt;</w:t>
      </w:r>
    </w:p>
    <w:p>
      <w:r>
        <w:rPr>
          <w:rStyle w:val="HideTWBExt"/>
        </w:rPr>
        <w:t>&lt;DocAmend2&gt;</w:t>
      </w:r>
      <w:r>
        <w:t>Rozporządzenie (UE) 2019/2088</w:t>
      </w:r>
      <w:r>
        <w:rPr>
          <w:rStyle w:val="HideTWBExt"/>
        </w:rPr>
        <w:t>&lt;/DocAmend2&gt;</w:t>
      </w:r>
    </w:p>
    <w:p>
      <w:r>
        <w:rPr>
          <w:rStyle w:val="HideTWBExt"/>
        </w:rPr>
        <w:t>&lt;Article2&gt;</w:t>
      </w:r>
      <w:r>
        <w:t>Artykuł 7 – ustęp 1 – akapit 1 – litera c – podpunkt ii a (nowy)</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(iia)</w:t>
            </w:r>
            <w:r>
              <w:tab/>
            </w:r>
            <w:r>
              <w:rPr>
                <w:b/>
                <w:i/>
              </w:rPr>
              <w:t>dopuszczają się poważnych naruszeń praw człowieka i prawa humanitarnego, którym nie zaradzono skutecznie zgodnie z Wytycznymi OECD dla przedsiębiorstw wielonarodowych i Wytycznymi ONZ dotyczącymi biznesu i praw człowieka.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Aktualizacja odniesienia do zasad UNGC w akcie delegowanym dotyczącym wskaźnika referencyjnego poprzez zastąpienie go bardziej trafnym odesłaniem do wytycznych UNGP, przy jednoczesnym usunięciu odniesienia do administratora wskaźnika referencyjnego w kontekście stwierdzania naruszeń.</w:t>
      </w:r>
    </w:p>
    <w:p>
      <w:r>
        <w:rPr>
          <w:rStyle w:val="HideTWBExt"/>
        </w:rPr>
        <w:t>&lt;/Amend&gt;</w:t>
      </w:r>
    </w:p>
    <w:p>
      <w:pPr>
        <w:pStyle w:val="AmNumberTabs"/>
      </w:pPr>
      <w:r>
        <w:rPr>
          <w:rStyle w:val="HideTWBExt"/>
        </w:rPr>
        <w:t>&lt;Amend&gt;</w:t>
      </w:r>
      <w:r>
        <w:t>Poprawka</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Denis Nesci, Francesco Ventola, Mariateresa Vivaldini, Marco Falcone, Marco Squarta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akapit 1 – punkt 8</w:t>
      </w:r>
      <w:r>
        <w:rPr>
          <w:rStyle w:val="HideTWBExt"/>
        </w:rPr>
        <w:t>&lt;/Article&gt;</w:t>
      </w:r>
    </w:p>
    <w:p>
      <w:r>
        <w:rPr>
          <w:rStyle w:val="HideTWBExt"/>
        </w:rPr>
        <w:t>&lt;DocAmend2&gt;</w:t>
      </w:r>
      <w:r>
        <w:t>Rozporządzenie (UE) 2019/2088</w:t>
      </w:r>
      <w:r>
        <w:rPr>
          <w:rStyle w:val="HideTWBExt"/>
        </w:rPr>
        <w:t>&lt;/DocAmend2&gt;</w:t>
      </w:r>
    </w:p>
    <w:p>
      <w:r>
        <w:rPr>
          <w:rStyle w:val="HideTWBExt"/>
        </w:rPr>
        <w:t>&lt;Article2&gt;</w:t>
      </w:r>
      <w:r>
        <w:t>Artykuł 7 – ustęp 1 – akapit 1 – litera c – podpunkt ii a (nowy)</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(iia)</w:t>
            </w:r>
            <w:r>
              <w:tab/>
            </w:r>
            <w:r>
              <w:rPr>
                <w:b/>
                <w:i/>
              </w:rPr>
              <w:t>na zasadzie odstępstwa od akapitu pierwszego lit. b) inwestycje w przedsiębiorstwa, o których mowa w art. 12 ust. 1 lit. b) rozporządzenia delegowanego Komisji (UE) 2020/1818, nie są wyłączone, jeżeli przedsiębiorstwa te:</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ustęp 1 – punkt 8</w:t>
      </w:r>
      <w:r>
        <w:rPr>
          <w:rStyle w:val="HideTWBExt"/>
        </w:rPr>
        <w:t>&lt;/Article&gt;</w:t>
      </w:r>
    </w:p>
    <w:p>
      <w:r>
        <w:rPr>
          <w:rStyle w:val="HideTWBExt"/>
        </w:rPr>
        <w:t>&lt;DocAmend2&gt;</w:t>
      </w:r>
      <w:r>
        <w:t>Rozporządzenie (UE) 2019/2088</w:t>
      </w:r>
      <w:r>
        <w:rPr>
          <w:rStyle w:val="HideTWBExt"/>
        </w:rPr>
        <w:t>&lt;/DocAmend2&gt;</w:t>
      </w:r>
    </w:p>
    <w:p>
      <w:r>
        <w:rPr>
          <w:rStyle w:val="HideTWBExt"/>
        </w:rPr>
        <w:t>&lt;Article2&gt;</w:t>
      </w:r>
      <w:r>
        <w:t>Artykuł 7 – ustęp 1 – akapit 1 – litera c – podpunkt ii a (nowy)</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(iia)</w:t>
            </w:r>
            <w:r>
              <w:tab/>
            </w:r>
            <w:r>
              <w:rPr>
                <w:b/>
                <w:i/>
              </w:rPr>
              <w:t>uczestniczą w działaniach związanych z kontrowersyjną bronią zidentyfikowaną przez odniesienie do traktatów i konwencji międzynarodowych, zasad Organizacji Narodów Zjednoczonych oraz, w stosownych przypadkach, ustawodawstwa krajowego.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Martin Günther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ustęp 1 – punkt 8</w:t>
      </w:r>
      <w:r>
        <w:rPr>
          <w:rStyle w:val="HideTWBExt"/>
        </w:rPr>
        <w:t>&lt;/Article&gt;</w:t>
      </w:r>
    </w:p>
    <w:p>
      <w:r>
        <w:rPr>
          <w:rStyle w:val="HideTWBExt"/>
        </w:rPr>
        <w:t>&lt;DocAmend2&gt;</w:t>
      </w:r>
      <w:r>
        <w:t>Rozporządzenie (UE) 2019/2088</w:t>
      </w:r>
      <w:r>
        <w:rPr>
          <w:rStyle w:val="HideTWBExt"/>
        </w:rPr>
        <w:t>&lt;/DocAmend2&gt;</w:t>
      </w:r>
    </w:p>
    <w:p>
      <w:r>
        <w:rPr>
          <w:rStyle w:val="HideTWBExt"/>
        </w:rPr>
        <w:t>&lt;Article2&gt;</w:t>
      </w:r>
      <w:r>
        <w:t>Artykuł 7 – ustęp 1 – akapit 1 – litera c – podpunkt ii a (nowy)</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(iia)</w:t>
            </w:r>
            <w:r>
              <w:tab/>
            </w:r>
            <w:r>
              <w:rPr>
                <w:b/>
                <w:i/>
              </w:rPr>
              <w:t>opracowują nowe projekty lub nie posiadają planu stopniowego wycofywania się z projektów związanych z wytwarzaniem lub dystrybucją energii jądrowej.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Luděk Niedermayer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ustęp 1 – punkt 8</w:t>
      </w:r>
      <w:r>
        <w:rPr>
          <w:rStyle w:val="HideTWBExt"/>
        </w:rPr>
        <w:t>&lt;/Article&gt;</w:t>
      </w:r>
    </w:p>
    <w:p>
      <w:r>
        <w:rPr>
          <w:rStyle w:val="HideTWBExt"/>
        </w:rPr>
        <w:t>&lt;DocAmend2&gt;</w:t>
      </w:r>
      <w:r>
        <w:t>Rozporządzenie (UE) 2019/2088</w:t>
      </w:r>
      <w:r>
        <w:rPr>
          <w:rStyle w:val="HideTWBExt"/>
        </w:rPr>
        <w:t>&lt;/DocAmend2&gt;</w:t>
      </w:r>
    </w:p>
    <w:p>
      <w:r>
        <w:rPr>
          <w:rStyle w:val="HideTWBExt"/>
        </w:rPr>
        <w:t>&lt;Article2&gt;</w:t>
      </w:r>
      <w:r>
        <w:t>Artykuł 7 – ustęp 1 – akapit 1 – litera c – podpunkt ii a (nowy)</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(iia)</w:t>
            </w:r>
            <w:r>
              <w:tab/>
            </w:r>
            <w:r>
              <w:rPr>
                <w:b/>
                <w:i/>
              </w:rPr>
              <w:t>posiadają określoną w czasie i wymierną strategię na rzecz ograniczenia swoich emisji gazów cieplarnianych dla zakresu 1 i 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237</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ustęp 1 – punkt 8</w:t>
      </w:r>
      <w:r>
        <w:rPr>
          <w:rStyle w:val="HideTWBExt"/>
        </w:rPr>
        <w:t>&lt;/Article&gt;</w:t>
      </w:r>
    </w:p>
    <w:p>
      <w:r>
        <w:rPr>
          <w:rStyle w:val="HideTWBExt"/>
        </w:rPr>
        <w:t>&lt;DocAmend2&gt;</w:t>
      </w:r>
      <w:r>
        <w:t>Rozporządzenie (UE) 2019/2088</w:t>
      </w:r>
      <w:r>
        <w:rPr>
          <w:rStyle w:val="HideTWBExt"/>
        </w:rPr>
        <w:t>&lt;/DocAmend2&gt;</w:t>
      </w:r>
    </w:p>
    <w:p>
      <w:r>
        <w:rPr>
          <w:rStyle w:val="HideTWBExt"/>
        </w:rPr>
        <w:t>&lt;Article2&gt;</w:t>
      </w:r>
      <w:r>
        <w:t>Artykuł 7 – ustęp 1 – akapit 1 – litera c a (nowa)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towarzyszy im wiarygodna strategia zaangażowania w zrównoważony rozwój, ukierunkowana na konkretne zmiany z określonymi kamieniami milowymi i mierzona w odniesieniu do tych wartości docelowych i kamieni milowych.</w:t>
            </w:r>
            <w:r>
              <w:t xml:space="preserve"> </w:t>
            </w:r>
            <w:r>
              <w:rPr>
                <w:b/>
                <w:i/>
              </w:rPr>
              <w:t>Strategia taka obejmuje, w stosownych przypadkach dla danej klasy aktywów, politykę głosowania ukierunkowaną na zrównoważony rozwój i działania eskalacyjne w przypadku braku oczekiwanych zmian, w połączeniu z dowolną ze strategii, o których mowa w lit. a)–d);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238</w:t>
      </w:r>
      <w:r>
        <w:rPr>
          <w:rStyle w:val="HideTWBExt"/>
        </w:rPr>
        <w:t>&lt;/NumAm&gt;</w:t>
      </w:r>
    </w:p>
    <w:p>
      <w:pPr>
        <w:pStyle w:val="NormalBold"/>
      </w:pPr>
      <w:r>
        <w:rPr>
          <w:rStyle w:val="HideTWBExt"/>
          <w:b w:val="0"/>
        </w:rPr>
        <w:t>&lt;RepeatBlock-By&gt;</w:t>
      </w:r>
      <w:r>
        <w:rPr>
          <w:rStyle w:val="HideTWBExt"/>
          <w:b w:val="0"/>
        </w:rPr>
        <w:t>&lt;Members&gt;</w:t>
      </w:r>
      <w:r>
        <w:t>Denis Nesci, Francesco Ventola, Mariateresa Vivaldini, Marco Falcone, Marco Squarta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akapit 1 – punkt 8</w:t>
      </w:r>
      <w:r>
        <w:rPr>
          <w:rStyle w:val="HideTWBExt"/>
        </w:rPr>
        <w:t>&lt;/Article&gt;</w:t>
      </w:r>
    </w:p>
    <w:p>
      <w:r>
        <w:rPr>
          <w:rStyle w:val="HideTWBExt"/>
        </w:rPr>
        <w:t>&lt;DocAmend2&gt;</w:t>
      </w:r>
      <w:r>
        <w:t>Rozporządzenie (UE) 2019/2088</w:t>
      </w:r>
      <w:r>
        <w:rPr>
          <w:rStyle w:val="HideTWBExt"/>
        </w:rPr>
        <w:t>&lt;/DocAmend2&gt;</w:t>
      </w:r>
    </w:p>
    <w:p>
      <w:r>
        <w:rPr>
          <w:rStyle w:val="HideTWBExt"/>
        </w:rPr>
        <w:t>&lt;Article2&gt;</w:t>
      </w:r>
      <w:r>
        <w:t>Artykuł 7 – ustęp 1 – akapit 1 – litera c a (nowa)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przeznaczają co najmniej [15 %] całkowitych nakładów inwestycyjnych na [niskoemisyjne działania w zakresie energii lub działalność gospodarczą zgodną z systematyką] i z czasem zwiększają ten odsetek;</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239</w:t>
      </w:r>
      <w:r>
        <w:rPr>
          <w:rStyle w:val="HideTWBExt"/>
        </w:rPr>
        <w:t>&lt;/NumAm&gt;</w:t>
      </w:r>
    </w:p>
    <w:p>
      <w:pPr>
        <w:pStyle w:val="NormalBold"/>
      </w:pPr>
      <w:r>
        <w:rPr>
          <w:rStyle w:val="HideTWBExt"/>
          <w:b w:val="0"/>
        </w:rPr>
        <w:t>&lt;RepeatBlock-By&gt;</w:t>
      </w:r>
      <w:r>
        <w:rPr>
          <w:rStyle w:val="HideTWBExt"/>
          <w:b w:val="0"/>
        </w:rPr>
        <w:t>&lt;Members&gt;</w:t>
      </w:r>
      <w:r>
        <w:t>Denis Nesci, Francesco Ventola, Mariateresa Vivaldini, Marco Falcone, Marco Squarta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akapit 1 – punkt 8</w:t>
      </w:r>
      <w:r>
        <w:rPr>
          <w:rStyle w:val="HideTWBExt"/>
        </w:rPr>
        <w:t>&lt;/Article&gt;</w:t>
      </w:r>
    </w:p>
    <w:p>
      <w:r>
        <w:rPr>
          <w:rStyle w:val="HideTWBExt"/>
        </w:rPr>
        <w:t>&lt;DocAmend2&gt;</w:t>
      </w:r>
      <w:r>
        <w:t>Rozporządzenie (UE) 2019/2088</w:t>
      </w:r>
      <w:r>
        <w:rPr>
          <w:rStyle w:val="HideTWBExt"/>
        </w:rPr>
        <w:t>&lt;/DocAmend2&gt;</w:t>
      </w:r>
    </w:p>
    <w:p>
      <w:r>
        <w:rPr>
          <w:rStyle w:val="HideTWBExt"/>
        </w:rPr>
        <w:t>&lt;Article2&gt;</w:t>
      </w:r>
      <w:r>
        <w:t>Artykuł 7 – ustęp 1 – akapit 1 – litera c b (nowa)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cb)</w:t>
            </w:r>
            <w:r>
              <w:tab/>
            </w:r>
            <w:r>
              <w:rPr>
                <w:b/>
                <w:i/>
              </w:rPr>
              <w:t>mają określoną w czasie i wymierną strategię na rzecz ograniczenia swoich emisji gazów cieplarnianych zakresu 1 i 2;</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240</w:t>
      </w:r>
      <w:r>
        <w:rPr>
          <w:rStyle w:val="HideTWBExt"/>
        </w:rPr>
        <w:t>&lt;/NumAm&gt;</w:t>
      </w:r>
    </w:p>
    <w:p>
      <w:pPr>
        <w:pStyle w:val="NormalBold"/>
      </w:pPr>
      <w:r>
        <w:rPr>
          <w:rStyle w:val="HideTWBExt"/>
          <w:b w:val="0"/>
        </w:rPr>
        <w:t>&lt;RepeatBlock-By&gt;</w:t>
      </w:r>
      <w:r>
        <w:rPr>
          <w:rStyle w:val="HideTWBExt"/>
          <w:b w:val="0"/>
        </w:rPr>
        <w:t>&lt;Members&gt;</w:t>
      </w:r>
      <w:r>
        <w:t>Denis Nesci, Francesco Ventola, Mariateresa Vivaldini, Marco Falcone, Marco Squarta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akapit 1 – punkt 8</w:t>
      </w:r>
      <w:r>
        <w:rPr>
          <w:rStyle w:val="HideTWBExt"/>
        </w:rPr>
        <w:t>&lt;/Article&gt;</w:t>
      </w:r>
    </w:p>
    <w:p>
      <w:r>
        <w:rPr>
          <w:rStyle w:val="HideTWBExt"/>
        </w:rPr>
        <w:t>&lt;DocAmend2&gt;</w:t>
      </w:r>
      <w:r>
        <w:t>Rozporządzenie (UE) 2019/2088</w:t>
      </w:r>
      <w:r>
        <w:rPr>
          <w:rStyle w:val="HideTWBExt"/>
        </w:rPr>
        <w:t>&lt;/DocAmend2&gt;</w:t>
      </w:r>
    </w:p>
    <w:p>
      <w:r>
        <w:rPr>
          <w:rStyle w:val="HideTWBExt"/>
        </w:rPr>
        <w:t>&lt;Article2&gt;</w:t>
      </w:r>
      <w:r>
        <w:t>Artykuł 7 – ustęp 1 – akapit 1 – litera c c (nowa)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cc)</w:t>
            </w:r>
            <w:r>
              <w:tab/>
            </w:r>
            <w:r>
              <w:rPr>
                <w:b/>
                <w:i/>
              </w:rPr>
              <w:t>opracowały i wdrożyły wymierną strategię biznesową na rzecz ograniczenia swoich emisji dwutlenku węgla i wpływu na środowisko.</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241</w:t>
      </w:r>
      <w:r>
        <w:rPr>
          <w:rStyle w:val="HideTWBExt"/>
        </w:rPr>
        <w:t>&lt;/NumAm&gt;</w:t>
      </w:r>
    </w:p>
    <w:p>
      <w:pPr>
        <w:pStyle w:val="NormalBold"/>
      </w:pPr>
      <w:r>
        <w:rPr>
          <w:rStyle w:val="HideTWBExt"/>
          <w:b w:val="0"/>
        </w:rPr>
        <w:t>&lt;RepeatBlock-By&gt;</w:t>
      </w:r>
      <w:r>
        <w:rPr>
          <w:rStyle w:val="HideTWBExt"/>
          <w:b w:val="0"/>
        </w:rPr>
        <w:t>&lt;Members&gt;</w:t>
      </w:r>
      <w:r>
        <w:t>Jaroslava Pokorná Jermanová, Jaroslav Knot, Pierre Pimpie, 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ustęp 1 – punkt 8</w:t>
      </w:r>
      <w:r>
        <w:rPr>
          <w:rStyle w:val="HideTWBExt"/>
        </w:rPr>
        <w:t>&lt;/Article&gt;</w:t>
      </w:r>
    </w:p>
    <w:p>
      <w:r>
        <w:rPr>
          <w:rStyle w:val="HideTWBExt"/>
        </w:rPr>
        <w:t>&lt;DocAmend2&gt;</w:t>
      </w:r>
      <w:r>
        <w:t>Rozporządzenie (UE) 2019/2088</w:t>
      </w:r>
      <w:r>
        <w:rPr>
          <w:rStyle w:val="HideTWBExt"/>
        </w:rPr>
        <w:t>&lt;/DocAmend2&gt;</w:t>
      </w:r>
    </w:p>
    <w:p>
      <w:r>
        <w:rPr>
          <w:rStyle w:val="HideTWBExt"/>
        </w:rPr>
        <w:t>&lt;Article2&gt;</w:t>
      </w:r>
      <w:r>
        <w:t>Artykuł 7 – ustęp 1 – akapit 1 – litera d</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identyfikują i ujawniają główne niekorzystne wpływy swoich inwestycji na czynniki zrównoważonego rozwoju oraz wyjaśniają wszelkie działania podjęte w celu przeciwdziałania tym wpływom.</w:t>
            </w:r>
          </w:p>
        </w:tc>
        <w:tc>
          <w:tcPr>
            <w:tcW w:w="4876" w:type="dxa"/>
            <w:tcBorders>
              <w:top w:val="nil"/>
              <w:left w:val="nil"/>
              <w:bottom w:val="nil"/>
              <w:right w:val="nil"/>
            </w:tcBorders>
          </w:tcPr>
          <w:p>
            <w:pPr>
              <w:pStyle w:val="Normal6a"/>
            </w:pPr>
            <w:r>
              <w:t>d)</w:t>
            </w:r>
            <w:r>
              <w:tab/>
            </w:r>
            <w:r>
              <w:t xml:space="preserve">identyfikują i ujawniają </w:t>
            </w:r>
            <w:r>
              <w:rPr>
                <w:b/>
                <w:i/>
              </w:rPr>
              <w:t>najbardziej istotne</w:t>
            </w:r>
            <w:r>
              <w:t xml:space="preserve"> główne niekorzystne wpływy swoich inwestycji na czynniki zrównoważonego rozwoju</w:t>
            </w:r>
            <w:r>
              <w:rPr>
                <w:b/>
                <w:i/>
              </w:rPr>
              <w:t>, ograniczone do maksymalnie trzech wskaźników wybranych na podstawie strategii inwestycyjnej i danych klas aktywów,</w:t>
            </w:r>
            <w:r>
              <w:t xml:space="preserve"> oraz wyjaśniają wszelkie działania podjęte w celu przeciwdziałania tym wpływom. </w:t>
            </w:r>
            <w:r>
              <w:rPr>
                <w:b/>
                <w:i/>
              </w:rPr>
              <w:t>Uczestnicy rynku finansowego mogą zdecydować się na spełnienie wymogu ujawniania informacji, o którym mowa w akapicie pierwszym lit. d), dokonując wyboru z dobrowolnego wykazu wskaźników, który ma zostać przyjęty na podstawie art. 19b lit. a) ppkt (i), lub w formie zwięzłego wyjaśnienia jakościowego, w przypadku gdy dane ilościowe są niedostępne lub nieistotne z punktu widzenia strategii produktu.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242</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ustęp 1 – punkt 8</w:t>
      </w:r>
      <w:r>
        <w:rPr>
          <w:rStyle w:val="HideTWBExt"/>
        </w:rPr>
        <w:t>&lt;/Article&gt;</w:t>
      </w:r>
    </w:p>
    <w:p>
      <w:r>
        <w:rPr>
          <w:rStyle w:val="HideTWBExt"/>
        </w:rPr>
        <w:t>&lt;DocAmend2&gt;</w:t>
      </w:r>
      <w:r>
        <w:t>Rozporządzenie (UE) 2019/2088</w:t>
      </w:r>
      <w:r>
        <w:rPr>
          <w:rStyle w:val="HideTWBExt"/>
        </w:rPr>
        <w:t>&lt;/DocAmend2&gt;</w:t>
      </w:r>
    </w:p>
    <w:p>
      <w:r>
        <w:rPr>
          <w:rStyle w:val="HideTWBExt"/>
        </w:rPr>
        <w:t>&lt;Article2&gt;</w:t>
      </w:r>
      <w:r>
        <w:t>Artykuł 7 – ustęp 1 – akapit 1 – litera d</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identyfikują i ujawniają główne niekorzystne wpływy swoich inwestycji na czynniki zrównoważonego rozwoju oraz wyjaśniają </w:t>
            </w:r>
            <w:r>
              <w:rPr>
                <w:b/>
                <w:i/>
              </w:rPr>
              <w:t>wszelkie</w:t>
            </w:r>
            <w:r>
              <w:t xml:space="preserve"> działania podjęte w celu </w:t>
            </w:r>
            <w:r>
              <w:rPr>
                <w:b/>
                <w:i/>
              </w:rPr>
              <w:t>przeciwdziałania</w:t>
            </w:r>
            <w:r>
              <w:t xml:space="preserve"> tym wpływom.</w:t>
            </w:r>
          </w:p>
        </w:tc>
        <w:tc>
          <w:tcPr>
            <w:tcW w:w="4876" w:type="dxa"/>
            <w:tcBorders>
              <w:top w:val="nil"/>
              <w:left w:val="nil"/>
              <w:bottom w:val="nil"/>
              <w:right w:val="nil"/>
            </w:tcBorders>
          </w:tcPr>
          <w:p>
            <w:pPr>
              <w:pStyle w:val="Normal6a"/>
            </w:pPr>
            <w:r>
              <w:t>d)</w:t>
            </w:r>
            <w:r>
              <w:tab/>
            </w:r>
            <w:r>
              <w:t xml:space="preserve">identyfikują i ujawniają główne niekorzystne wpływy swoich inwestycji na czynniki zrównoważonego rozwoju oraz wyjaśniają działania podjęte w celu </w:t>
            </w:r>
            <w:r>
              <w:rPr>
                <w:b/>
                <w:i/>
              </w:rPr>
              <w:t>zaradzenia</w:t>
            </w:r>
            <w:r>
              <w:t xml:space="preserve"> tym wpływom</w:t>
            </w:r>
            <w:r>
              <w:rPr>
                <w:b/>
                <w:i/>
              </w:rPr>
              <w:t>, w tym, w stosownych przypadkach, wykluczenie przedsiębiorstw, które powodują główne niekorzystne wpływy, przyczyniają się do nich lub są z nimi powiązane i nie zapobiegają im ani ich nie łagodzą, zgodnie z aktami delegowanymi przyjętymi na podstawie art</w:t>
            </w:r>
            <w:r>
              <w:t xml:space="preserve">. </w:t>
            </w:r>
            <w:r>
              <w:rPr>
                <w:b/>
                <w:i/>
              </w:rPr>
              <w:t>19b.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243</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ustęp 1 – punkt 8</w:t>
      </w:r>
      <w:r>
        <w:rPr>
          <w:rStyle w:val="HideTWBExt"/>
        </w:rPr>
        <w:t>&lt;/Article&gt;</w:t>
      </w:r>
    </w:p>
    <w:p>
      <w:r>
        <w:rPr>
          <w:rStyle w:val="HideTWBExt"/>
        </w:rPr>
        <w:t>&lt;DocAmend2&gt;</w:t>
      </w:r>
      <w:r>
        <w:t>Rozporządzenie (UE) 2019/2088</w:t>
      </w:r>
      <w:r>
        <w:rPr>
          <w:rStyle w:val="HideTWBExt"/>
        </w:rPr>
        <w:t>&lt;/DocAmend2&gt;</w:t>
      </w:r>
    </w:p>
    <w:p>
      <w:r>
        <w:rPr>
          <w:rStyle w:val="HideTWBExt"/>
        </w:rPr>
        <w:t>&lt;Article2&gt;</w:t>
      </w:r>
      <w:r>
        <w:t>Artykuł 7 – ustęp 1 – akapit 1 – litera d</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identyfikują i ujawniają główne niekorzystne wpływy swoich inwestycji na czynniki zrównoważonego rozwoju oraz wyjaśniają </w:t>
            </w:r>
            <w:r>
              <w:rPr>
                <w:b/>
                <w:i/>
              </w:rPr>
              <w:t>wszelkie</w:t>
            </w:r>
            <w:r>
              <w:t xml:space="preserve"> działania podjęte w celu </w:t>
            </w:r>
            <w:r>
              <w:rPr>
                <w:b/>
                <w:i/>
              </w:rPr>
              <w:t>przeciwdziałania</w:t>
            </w:r>
            <w:r>
              <w:t xml:space="preserve"> tym wpływom.</w:t>
            </w:r>
          </w:p>
        </w:tc>
        <w:tc>
          <w:tcPr>
            <w:tcW w:w="4876" w:type="dxa"/>
            <w:tcBorders>
              <w:top w:val="nil"/>
              <w:left w:val="nil"/>
              <w:bottom w:val="nil"/>
              <w:right w:val="nil"/>
            </w:tcBorders>
          </w:tcPr>
          <w:p>
            <w:pPr>
              <w:pStyle w:val="Normal6a"/>
            </w:pPr>
            <w:r>
              <w:t>d)</w:t>
            </w:r>
            <w:r>
              <w:tab/>
            </w:r>
            <w:r>
              <w:t xml:space="preserve">identyfikują i ujawniają główne niekorzystne wpływy swoich inwestycji na czynniki zrównoważonego rozwoju oraz wyjaśniają działania podjęte w celu </w:t>
            </w:r>
            <w:r>
              <w:rPr>
                <w:b/>
                <w:i/>
              </w:rPr>
              <w:t>zaradzenia</w:t>
            </w:r>
            <w:r>
              <w:t xml:space="preserve"> tym wpływom</w:t>
            </w:r>
            <w:r>
              <w:rPr>
                <w:b/>
                <w:i/>
              </w:rPr>
              <w:t>, w tym, w stosownych przypadkach, wykluczenie przedsiębiorstw, które powodują główne niekorzystne wpływy, przyczyniają się do nich lub są z nimi powiązane i nie zapobiegają im ani ich nie łagodzą, zgodnie z aktami delegowanymi przyjętymi na podstawie art</w:t>
            </w:r>
            <w:r>
              <w:t xml:space="preserve">. </w:t>
            </w:r>
            <w:r>
              <w:rPr>
                <w:b/>
                <w:i/>
              </w:rPr>
              <w:t>19b.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244</w:t>
      </w:r>
      <w:r>
        <w:rPr>
          <w:rStyle w:val="HideTWBExt"/>
        </w:rPr>
        <w:t>&lt;/NumAm&gt;</w:t>
      </w:r>
    </w:p>
    <w:p>
      <w:pPr>
        <w:pStyle w:val="NormalBold"/>
      </w:pPr>
      <w:r>
        <w:rPr>
          <w:rStyle w:val="HideTWBExt"/>
          <w:b w:val="0"/>
        </w:rPr>
        <w:t>&lt;RepeatBlock-By&gt;</w:t>
      </w:r>
      <w:r>
        <w:rPr>
          <w:rStyle w:val="HideTWBExt"/>
          <w:b w:val="0"/>
        </w:rPr>
        <w:t>&lt;Members&gt;</w:t>
      </w:r>
      <w:r>
        <w:t>Lara Wolters, Jonás Fernández, Aurore Lalucq, Niels Fuglsang, Evelyn Regner, César Luena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ustęp 1 – punkt 8</w:t>
      </w:r>
      <w:r>
        <w:rPr>
          <w:rStyle w:val="HideTWBExt"/>
        </w:rPr>
        <w:t>&lt;/Article&gt;</w:t>
      </w:r>
    </w:p>
    <w:p>
      <w:r>
        <w:rPr>
          <w:rStyle w:val="HideTWBExt"/>
        </w:rPr>
        <w:t>&lt;DocAmend2&gt;</w:t>
      </w:r>
      <w:r>
        <w:t>Rozporządzenie (UE) 2019/2088</w:t>
      </w:r>
      <w:r>
        <w:rPr>
          <w:rStyle w:val="HideTWBExt"/>
        </w:rPr>
        <w:t>&lt;/DocAmend2&gt;</w:t>
      </w:r>
    </w:p>
    <w:p>
      <w:r>
        <w:rPr>
          <w:rStyle w:val="HideTWBExt"/>
        </w:rPr>
        <w:t>&lt;Article2&gt;</w:t>
      </w:r>
      <w:r>
        <w:t>Artykuł 7 – ustęp 1 – akapit 1 – litera d</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identyfikują i ujawniają główne niekorzystne wpływy swoich inwestycji na czynniki zrównoważonego rozwoju oraz wyjaśniają </w:t>
            </w:r>
            <w:r>
              <w:rPr>
                <w:b/>
                <w:i/>
              </w:rPr>
              <w:t>wszelkie</w:t>
            </w:r>
            <w:r>
              <w:t xml:space="preserve"> działania podjęte w celu </w:t>
            </w:r>
            <w:r>
              <w:rPr>
                <w:b/>
                <w:i/>
              </w:rPr>
              <w:t>przeciwdziałania</w:t>
            </w:r>
            <w:r>
              <w:t xml:space="preserve"> tym wpływom.</w:t>
            </w:r>
          </w:p>
        </w:tc>
        <w:tc>
          <w:tcPr>
            <w:tcW w:w="4876" w:type="dxa"/>
            <w:tcBorders>
              <w:top w:val="nil"/>
              <w:left w:val="nil"/>
              <w:bottom w:val="nil"/>
              <w:right w:val="nil"/>
            </w:tcBorders>
          </w:tcPr>
          <w:p>
            <w:pPr>
              <w:pStyle w:val="Normal6a"/>
            </w:pPr>
            <w:r>
              <w:t>d)</w:t>
            </w:r>
            <w:r>
              <w:tab/>
            </w:r>
            <w:r>
              <w:t xml:space="preserve">identyfikują i ujawniają główne niekorzystne wpływy swoich inwestycji na czynniki zrównoważonego rozwoju oraz wyjaśniają działania podjęte w celu </w:t>
            </w:r>
            <w:r>
              <w:rPr>
                <w:b/>
                <w:i/>
              </w:rPr>
              <w:t>zaradzenia</w:t>
            </w:r>
            <w:r>
              <w:t xml:space="preserve"> tym wpływom</w:t>
            </w:r>
            <w:r>
              <w:rPr>
                <w:b/>
                <w:i/>
              </w:rPr>
              <w:t>, w tym, w stosownych przypadkach, zaangażowanie w stosunki z przedsiębiorstwami, które powodują główne niekorzystne wpływy, przyczyniają się do nich lub są z nimi powiązane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245</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ustęp 1 – punkt 8</w:t>
      </w:r>
      <w:r>
        <w:rPr>
          <w:rStyle w:val="HideTWBExt"/>
        </w:rPr>
        <w:t>&lt;/Article&gt;</w:t>
      </w:r>
    </w:p>
    <w:p>
      <w:r>
        <w:rPr>
          <w:rStyle w:val="HideTWBExt"/>
        </w:rPr>
        <w:t>&lt;DocAmend2&gt;</w:t>
      </w:r>
      <w:r>
        <w:t>Rozporządzenie (UE) 2019/2088</w:t>
      </w:r>
      <w:r>
        <w:rPr>
          <w:rStyle w:val="HideTWBExt"/>
        </w:rPr>
        <w:t>&lt;/DocAmend2&gt;</w:t>
      </w:r>
    </w:p>
    <w:p>
      <w:r>
        <w:rPr>
          <w:rStyle w:val="HideTWBExt"/>
        </w:rPr>
        <w:t>&lt;Article2&gt;</w:t>
      </w:r>
      <w:r>
        <w:t>Artykuł 7 – ustęp 1 – akapit 1 – litera d</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identyfikują i ujawniają główne niekorzystne wpływy swoich inwestycji na czynniki zrównoważonego rozwoju oraz wyjaśniają wszelkie działania podjęte w celu przeciwdziałania tym wpływom.</w:t>
            </w:r>
          </w:p>
        </w:tc>
        <w:tc>
          <w:tcPr>
            <w:tcW w:w="4876" w:type="dxa"/>
            <w:tcBorders>
              <w:top w:val="nil"/>
              <w:left w:val="nil"/>
              <w:bottom w:val="nil"/>
              <w:right w:val="nil"/>
            </w:tcBorders>
          </w:tcPr>
          <w:p>
            <w:pPr>
              <w:pStyle w:val="Normal6a"/>
            </w:pPr>
            <w:r>
              <w:t>d)</w:t>
            </w:r>
            <w:r>
              <w:tab/>
            </w:r>
            <w:r>
              <w:t xml:space="preserve">identyfikują i ujawniają główne niekorzystne wpływy swoich inwestycji na czynniki zrównoważonego rozwoju </w:t>
            </w:r>
            <w:r>
              <w:rPr>
                <w:b/>
                <w:i/>
              </w:rPr>
              <w:t>w zakresie, w jakim dane są dostępne, z uwzględnieniem obowiązków sprawozdawczych spółek, w które dokonano inwestycji, </w:t>
            </w:r>
            <w:r>
              <w:t>oraz wyjaśniają wszelkie działania podjęte w celu przeciwdziałania tym wpływom.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246</w:t>
      </w:r>
      <w:r>
        <w:rPr>
          <w:rStyle w:val="HideTWBExt"/>
        </w:rPr>
        <w:t>&lt;/NumAm&gt;</w:t>
      </w:r>
    </w:p>
    <w:p>
      <w:pPr>
        <w:pStyle w:val="NormalBold"/>
      </w:pPr>
      <w:r>
        <w:rPr>
          <w:rStyle w:val="HideTWBExt"/>
          <w:b w:val="0"/>
        </w:rPr>
        <w:t>&lt;RepeatBlock-By&gt;</w:t>
      </w:r>
      <w:r>
        <w:rPr>
          <w:rStyle w:val="HideTWBExt"/>
          <w:b w:val="0"/>
        </w:rPr>
        <w:t>&lt;Members&gt;</w:t>
      </w:r>
      <w:r>
        <w:t>Martin Günther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ustęp 1 – punkt 8</w:t>
      </w:r>
      <w:r>
        <w:rPr>
          <w:rStyle w:val="HideTWBExt"/>
        </w:rPr>
        <w:t>&lt;/Article&gt;</w:t>
      </w:r>
    </w:p>
    <w:p>
      <w:r>
        <w:rPr>
          <w:rStyle w:val="HideTWBExt"/>
        </w:rPr>
        <w:t>&lt;DocAmend2&gt;</w:t>
      </w:r>
      <w:r>
        <w:t>Rozporządzenie (UE) 2019/2088</w:t>
      </w:r>
      <w:r>
        <w:rPr>
          <w:rStyle w:val="HideTWBExt"/>
        </w:rPr>
        <w:t>&lt;/DocAmend2&gt;</w:t>
      </w:r>
    </w:p>
    <w:p>
      <w:r>
        <w:rPr>
          <w:rStyle w:val="HideTWBExt"/>
        </w:rPr>
        <w:t>&lt;Article2&gt;</w:t>
      </w:r>
      <w:r>
        <w:t>Artykuł 7 – ustęp 1 – akapit 1 – litera d</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identyfikują i ujawniają główne niekorzystne wpływy swoich inwestycji na czynniki zrównoważonego rozwoju oraz wyjaśniają wszelkie działania podjęte w celu </w:t>
            </w:r>
            <w:r>
              <w:rPr>
                <w:b/>
                <w:i/>
              </w:rPr>
              <w:t>przeciwdziałania</w:t>
            </w:r>
            <w:r>
              <w:t xml:space="preserve"> tym wpływom.</w:t>
            </w:r>
          </w:p>
        </w:tc>
        <w:tc>
          <w:tcPr>
            <w:tcW w:w="4876" w:type="dxa"/>
            <w:tcBorders>
              <w:top w:val="nil"/>
              <w:left w:val="nil"/>
              <w:bottom w:val="nil"/>
              <w:right w:val="nil"/>
            </w:tcBorders>
          </w:tcPr>
          <w:p>
            <w:pPr>
              <w:pStyle w:val="Normal6a"/>
            </w:pPr>
            <w:r>
              <w:t>d)</w:t>
            </w:r>
            <w:r>
              <w:tab/>
            </w:r>
            <w:r>
              <w:t>identyfikują i ujawniają główne niekorzystne wpływy swoich inwestycji na czynniki zrównoważonego rozwoju</w:t>
            </w:r>
            <w:r>
              <w:rPr>
                <w:b/>
                <w:i/>
              </w:rPr>
              <w:t>, biorąc pod uwagę dotkliwość wpływów,</w:t>
            </w:r>
            <w:r>
              <w:t xml:space="preserve"> oraz wyjaśniają wszelkie działania podjęte w celu </w:t>
            </w:r>
            <w:r>
              <w:rPr>
                <w:b/>
                <w:i/>
              </w:rPr>
              <w:t>zaradzenia</w:t>
            </w:r>
            <w:r>
              <w:t xml:space="preserve"> tym wpływom</w:t>
            </w:r>
            <w:r>
              <w:rPr>
                <w:b/>
                <w:i/>
              </w:rPr>
              <w:t>, w tym strategie zaangażowania, głosowania i eskalacji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247</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ustęp 1 – punkt 8</w:t>
      </w:r>
      <w:r>
        <w:rPr>
          <w:rStyle w:val="HideTWBExt"/>
        </w:rPr>
        <w:t>&lt;/Article&gt;</w:t>
      </w:r>
    </w:p>
    <w:p>
      <w:r>
        <w:rPr>
          <w:rStyle w:val="HideTWBExt"/>
        </w:rPr>
        <w:t>&lt;DocAmend2&gt;</w:t>
      </w:r>
      <w:r>
        <w:t>Rozporządzenie (UE) 2019/2088</w:t>
      </w:r>
      <w:r>
        <w:rPr>
          <w:rStyle w:val="HideTWBExt"/>
        </w:rPr>
        <w:t>&lt;/DocAmend2&gt;</w:t>
      </w:r>
    </w:p>
    <w:p>
      <w:r>
        <w:rPr>
          <w:rStyle w:val="HideTWBExt"/>
        </w:rPr>
        <w:t>&lt;Article2&gt;</w:t>
      </w:r>
      <w:r>
        <w:t>Artykuł 7 – ustęp 1 – akapit 1 – litera d a (nowa)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towarzyszy im wiarygodna strategia zaangażowania związana ze zrównoważonym rozwojem, która obejmuje wymierne cele w zakresie zrównoważonego rozwoju, plan wdrażania określający jasne cele końcowe i określone w czasie cele pośrednie, polityka głosowania ukierunkowana na zrównoważony rozwój, w stosownych przypadkach, w odniesieniu do danej klasy aktywów, jasne i solidne ramy eskalacji na wypadek nieosiągnięcia oczekiwanych zmian, co może prowadzić do zbycia i realokacji kapitału.</w:t>
            </w:r>
            <w:r>
              <w:t xml:space="preserve"> </w:t>
            </w:r>
            <w:r>
              <w:rPr>
                <w:b/>
                <w:i/>
              </w:rPr>
              <w:t>Strategia zaangażowania obejmuje cały portfel, w tym wszystkie klasy aktywów, z wyjątkiem sytuacji, w których znaczące zaangażowanie nie jest wykonalne w przypadku danego typu aktywów lub podejścia inwestycyjnego.</w:t>
            </w:r>
            <w:r>
              <w:t xml:space="preserve"> </w:t>
            </w:r>
            <w:r>
              <w:rPr>
                <w:b/>
                <w:i/>
              </w:rPr>
              <w:t>Uczestnicy rynku finansowego mogą priorytetowo traktować działania związane z zaangażowaniem w oparciu o wielkość i charakter inwestycji, strukturę portfela i dostosowanie aktywów do celu zrównoważonego rozwoju produktu.</w:t>
            </w:r>
            <w:r>
              <w:t xml:space="preserve"> </w:t>
            </w:r>
            <w:r>
              <w:rPr>
                <w:b/>
                <w:i/>
              </w:rPr>
              <w:t>Strategię zaangażowania można stosować w połączeniu z podejściami inwestycyjnymi, o których mowa w ust. 2 lit. a)–d), g) lub 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248</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ustęp 1 – punkt 8</w:t>
      </w:r>
      <w:r>
        <w:rPr>
          <w:rStyle w:val="HideTWBExt"/>
        </w:rPr>
        <w:t>&lt;/Article&gt;</w:t>
      </w:r>
    </w:p>
    <w:p>
      <w:r>
        <w:rPr>
          <w:rStyle w:val="HideTWBExt"/>
        </w:rPr>
        <w:t>&lt;DocAmend2&gt;</w:t>
      </w:r>
      <w:r>
        <w:t>Rozporządzenie (UE) 2019/2088</w:t>
      </w:r>
      <w:r>
        <w:rPr>
          <w:rStyle w:val="HideTWBExt"/>
        </w:rPr>
        <w:t>&lt;/DocAmend2&gt;</w:t>
      </w:r>
    </w:p>
    <w:p>
      <w:r>
        <w:rPr>
          <w:rStyle w:val="HideTWBExt"/>
        </w:rPr>
        <w:t>&lt;Article2&gt;</w:t>
      </w:r>
      <w:r>
        <w:t>Artykuł 7 – ustęp 1 – akapit 1 – litera d a (nowa)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Uznaje się, że uczestnicy rynku finansowego, którzy podjęli wszelkie racjonalne środki pozostające pod ich kontrolą w celu spełnienia wyżej wymienionych wymogów, nie naruszają tych wymogów.</w:t>
            </w:r>
            <w:r>
              <w:t xml:space="preserve"> </w:t>
            </w:r>
            <w:r>
              <w:rPr>
                <w:b/>
                <w:i/>
              </w:rPr>
              <w:t>Niewypełnienie tych wymogów, które ma ograniczony czas trwania i o którym poinformowano inwestorów w przejrzysty sposób, nie jest uznawane za naruszenie obowiązującego wymogu.</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249</w:t>
      </w:r>
      <w:r>
        <w:rPr>
          <w:rStyle w:val="HideTWBExt"/>
        </w:rPr>
        <w:t>&lt;/NumAm&gt;</w:t>
      </w:r>
    </w:p>
    <w:p>
      <w:pPr>
        <w:pStyle w:val="NormalBold"/>
      </w:pPr>
      <w:r>
        <w:rPr>
          <w:rStyle w:val="HideTWBExt"/>
          <w:b w:val="0"/>
        </w:rPr>
        <w:t>&lt;RepeatBlock-By&gt;</w:t>
      </w:r>
      <w:r>
        <w:rPr>
          <w:rStyle w:val="HideTWBExt"/>
          <w:b w:val="0"/>
        </w:rPr>
        <w:t>&lt;Members&gt;</w:t>
      </w:r>
      <w:r>
        <w:t>Janusz Lewandowski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ustęp 1 – punkt 8</w:t>
      </w:r>
      <w:r>
        <w:rPr>
          <w:rStyle w:val="HideTWBExt"/>
        </w:rPr>
        <w:t>&lt;/Article&gt;</w:t>
      </w:r>
    </w:p>
    <w:p>
      <w:r>
        <w:rPr>
          <w:rStyle w:val="HideTWBExt"/>
        </w:rPr>
        <w:t>&lt;DocAmend2&gt;</w:t>
      </w:r>
      <w:r>
        <w:t>Rozporządzenie (UE) 2019/2088</w:t>
      </w:r>
      <w:r>
        <w:rPr>
          <w:rStyle w:val="HideTWBExt"/>
        </w:rPr>
        <w:t>&lt;/DocAmend2&gt;</w:t>
      </w:r>
    </w:p>
    <w:p>
      <w:r>
        <w:rPr>
          <w:rStyle w:val="HideTWBExt"/>
        </w:rPr>
        <w:t>&lt;Article2&gt;</w:t>
      </w:r>
      <w:r>
        <w:t>Artykuł 7 – ustęp 1 – akapit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Uczestnicy rynku finansowego mogą zdecydować się na całkowite lub częściowe spełnienie wymogu dotyczącego ujawniania informacji opisanego</w:t>
            </w:r>
            <w:r>
              <w:t xml:space="preserve"> w akapicie pierwszym lit.</w:t>
            </w:r>
            <w:r>
              <w:rPr>
                <w:b/>
                <w:i/>
              </w:rPr>
              <w:t xml:space="preserve"> d) przy użyciu odpowiednich wskaźników</w:t>
            </w:r>
            <w:r>
              <w:t xml:space="preserve"> związanych </w:t>
            </w:r>
            <w:r>
              <w:rPr>
                <w:b/>
                <w:i/>
              </w:rPr>
              <w:t>ze zrównoważonym rozwojem</w:t>
            </w:r>
            <w:r>
              <w:t>.</w:t>
            </w:r>
          </w:p>
        </w:tc>
        <w:tc>
          <w:tcPr>
            <w:tcW w:w="4876" w:type="dxa"/>
            <w:tcBorders>
              <w:top w:val="nil"/>
              <w:left w:val="nil"/>
              <w:bottom w:val="nil"/>
              <w:right w:val="nil"/>
            </w:tcBorders>
          </w:tcPr>
          <w:p>
            <w:pPr>
              <w:pStyle w:val="Normal6a"/>
            </w:pPr>
            <w:r>
              <w:rPr>
                <w:b/>
                <w:i/>
              </w:rPr>
              <w:t>Kryteria wyłączenia opisane</w:t>
            </w:r>
            <w:r>
              <w:t xml:space="preserve"> w akapicie pierwszym lit.</w:t>
            </w:r>
            <w:r>
              <w:rPr>
                <w:b/>
                <w:i/>
              </w:rPr>
              <w:t xml:space="preserve"> b) i c) nie mają zastosowania do:</w:t>
            </w:r>
            <w:r>
              <w:t xml:space="preserve"> </w:t>
            </w:r>
            <w:r>
              <w:rPr>
                <w:b/>
                <w:i/>
              </w:rPr>
              <w:t>i. dystrybucji, w przypadku gdy przedsiębiorstwa mają prawnie wiążący obowiązek podłączenia nowych odbiorców do istniejącej sieci gazowej;</w:t>
            </w:r>
            <w:r>
              <w:t xml:space="preserve"> </w:t>
            </w:r>
            <w:r>
              <w:rPr>
                <w:b/>
                <w:i/>
              </w:rPr>
              <w:t>iii. działań nakazanych przez państwa członkowskie lub Unię ze względu na wymogi bezpieczeństwa.</w:t>
            </w:r>
            <w:r>
              <w:t xml:space="preserve"> </w:t>
            </w:r>
            <w:r>
              <w:rPr>
                <w:b/>
                <w:i/>
              </w:rPr>
              <w:t>Wykorzystanie instrumentów o konkretnym przeznaczeniu przychodów, o których mowa w akapicie pierwszym lit. b), obejmuje również inne instrumenty wyemitowane zgodnie z zasadami Międzynarodowego Stowarzyszenia Rynków Kapitałowych i nowymi wytycznymi dotyczącymi obligacji</w:t>
            </w:r>
            <w:r>
              <w:t xml:space="preserve"> związanych </w:t>
            </w:r>
            <w:r>
              <w:rPr>
                <w:b/>
                <w:i/>
              </w:rPr>
              <w:t>z transformacją klimatyczną, którym to instrumentom towarzyszą wiarygodne ścieżki transformacji</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Wyłączenia wymienione w niniejszym ustępie stosuje się z wyjątkiem inwestycji w instrumenty o konkretnym przeznaczeniu przychodów emitowane przez przedsiębiorstwa: zgodnie z art. 3 rozporządzenia Parlamentu Europejskiego i Rady (UE) 2023/2631*5;</w:t>
            </w:r>
            <w:r>
              <w:t xml:space="preserve"> </w:t>
            </w:r>
            <w:r>
              <w:rPr>
                <w:b/>
                <w:i/>
              </w:rPr>
              <w:t>lub jeżeli przychody nie są przeznaczone na finansowanie żadnych działań, o których mowa w art. 12 ust. 1 lit. a), b) i d) rozporządzenia delegowanego (UE) 2020/1818, pod warunkiem że emitent instrumentów o konkretnym przeznaczeniu przychodów nie podlega wyłączeniu na mocy art. 12 ust. 1 lit. c) tego rozporządzenia.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Uczestnicy rynku finansowego mogą zdecydować się na całkowite lub częściowe spełnienie wymogu dotyczącego ujawniania informacji opisanego w akapicie pierwszym lit. d) przy użyciu odpowiednich wskaźników związanych ze zrównoważonym rozwojem.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250</w:t>
      </w:r>
      <w:r>
        <w:rPr>
          <w:rStyle w:val="HideTWBExt"/>
        </w:rPr>
        <w:t>&lt;/NumAm&gt;</w:t>
      </w:r>
    </w:p>
    <w:p>
      <w:pPr>
        <w:pStyle w:val="NormalBold"/>
      </w:pPr>
      <w:r>
        <w:rPr>
          <w:rStyle w:val="HideTWBExt"/>
          <w:b w:val="0"/>
        </w:rPr>
        <w:t>&lt;RepeatBlock-By&gt;</w:t>
      </w:r>
      <w:r>
        <w:rPr>
          <w:rStyle w:val="HideTWBExt"/>
          <w:b w:val="0"/>
        </w:rPr>
        <w:t>&lt;Members&gt;</w:t>
      </w:r>
      <w:r>
        <w:t>Lara Wolters, Jonás Fernández, Aurore Lalucq, Niels Fuglsang, Evelyn Regner, César Luena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ustęp 1 – punkt 8</w:t>
      </w:r>
      <w:r>
        <w:rPr>
          <w:rStyle w:val="HideTWBExt"/>
        </w:rPr>
        <w:t>&lt;/Article&gt;</w:t>
      </w:r>
    </w:p>
    <w:p>
      <w:r>
        <w:rPr>
          <w:rStyle w:val="HideTWBExt"/>
        </w:rPr>
        <w:t>&lt;DocAmend2&gt;</w:t>
      </w:r>
      <w:r>
        <w:t>Rozporządzenie (UE) 2019/2088</w:t>
      </w:r>
      <w:r>
        <w:rPr>
          <w:rStyle w:val="HideTWBExt"/>
        </w:rPr>
        <w:t>&lt;/DocAmend2&gt;</w:t>
      </w:r>
    </w:p>
    <w:p>
      <w:r>
        <w:rPr>
          <w:rStyle w:val="HideTWBExt"/>
        </w:rPr>
        <w:t>&lt;Article2&gt;</w:t>
      </w:r>
      <w:r>
        <w:t>Artykuł 7 – ustęp 1 – akapit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Uczestnicy rynku finansowego </w:t>
            </w:r>
            <w:r>
              <w:rPr>
                <w:b/>
                <w:i/>
              </w:rPr>
              <w:t>mogą zdecydować się na całkowite lub częściowe spełnienie wymogu dotyczącego</w:t>
            </w:r>
            <w:r>
              <w:t xml:space="preserve"> ujawniania informacji </w:t>
            </w:r>
            <w:r>
              <w:rPr>
                <w:b/>
                <w:i/>
              </w:rPr>
              <w:t>opisanego</w:t>
            </w:r>
            <w:r>
              <w:t xml:space="preserve"> w akapicie pierwszym lit. d) </w:t>
            </w:r>
            <w:r>
              <w:rPr>
                <w:b/>
                <w:i/>
              </w:rPr>
              <w:t>przy użyciu odpowiednich</w:t>
            </w:r>
            <w:r>
              <w:t xml:space="preserve"> wskaźników związanych ze zrównoważonym rozwojem.</w:t>
            </w:r>
          </w:p>
        </w:tc>
        <w:tc>
          <w:tcPr>
            <w:tcW w:w="4876" w:type="dxa"/>
            <w:tcBorders>
              <w:top w:val="nil"/>
              <w:left w:val="nil"/>
              <w:bottom w:val="nil"/>
              <w:right w:val="nil"/>
            </w:tcBorders>
          </w:tcPr>
          <w:p>
            <w:pPr>
              <w:pStyle w:val="Normal6a"/>
            </w:pPr>
            <w:r>
              <w:t xml:space="preserve">Uczestnicy rynku finansowego </w:t>
            </w:r>
            <w:r>
              <w:rPr>
                <w:b/>
                <w:i/>
              </w:rPr>
              <w:t>muszą spełniać wymóg</w:t>
            </w:r>
            <w:r>
              <w:t xml:space="preserve"> ujawniania informacji </w:t>
            </w:r>
            <w:r>
              <w:rPr>
                <w:b/>
                <w:i/>
              </w:rPr>
              <w:t>opisany</w:t>
            </w:r>
            <w:r>
              <w:t xml:space="preserve"> w akapicie pierwszym lit. d) </w:t>
            </w:r>
            <w:r>
              <w:rPr>
                <w:b/>
                <w:i/>
              </w:rPr>
              <w:t>za pomocą obowiązkowych</w:t>
            </w:r>
            <w:r>
              <w:t xml:space="preserve"> wskaźników związanych ze zrównoważonym rozwojem </w:t>
            </w:r>
            <w:r>
              <w:rPr>
                <w:b/>
                <w:i/>
              </w:rPr>
              <w:t>zgodnie z aktem delegowanym przyjętym na podstawie art</w:t>
            </w:r>
            <w:r>
              <w:t xml:space="preserve">. </w:t>
            </w:r>
            <w:r>
              <w:rPr>
                <w:b/>
                <w:i/>
              </w:rPr>
              <w:t>19b.</w:t>
            </w:r>
            <w:r>
              <w:t xml:space="preserve"> </w:t>
            </w:r>
            <w:r>
              <w:rPr>
                <w:b/>
                <w:i/>
              </w:rPr>
              <w:t>Obowiązkowe wskaźniki związane ze zrównoważonym rozwojem obejmują co najmniej wskaźniki dotyczące: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emisji gazów cieplarnianych;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(ii) ekspozycji z tytułu przedsiębiorstw działających w sektorze paliw kopalnych;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(iii) ekspozycji z tytułu przedsiębiorstw zaangażowanych we wszelkie działania związane z kontrowersyjną bronią; (iv) ekspozycji z tytułu działań negatywnie wpływających na obszary wrażliwe pod względem bioróżnorodności;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 ekspozycji wobec przedsiębiorstw nieposiadających procesów i mechanizmów monitorowania zgodności z Wytycznymi ONZ dotyczącymi biznesu i praw człowieka oraz Wytycznymi OECD dla przedsiębiorstw wielonarodowych.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251</w:t>
      </w:r>
      <w:r>
        <w:rPr>
          <w:rStyle w:val="HideTWBExt"/>
        </w:rPr>
        <w:t>&lt;/NumAm&gt;</w:t>
      </w:r>
    </w:p>
    <w:p>
      <w:pPr>
        <w:pStyle w:val="NormalBold"/>
      </w:pPr>
      <w:r>
        <w:rPr>
          <w:rStyle w:val="HideTWBExt"/>
          <w:b w:val="0"/>
        </w:rPr>
        <w:t>&lt;RepeatBlock-By&gt;</w:t>
      </w:r>
      <w:r>
        <w:rPr>
          <w:rStyle w:val="HideTWBExt"/>
          <w:b w:val="0"/>
        </w:rPr>
        <w:t>&lt;Members&gt;</w:t>
      </w:r>
      <w:r>
        <w:t>Denis Nesci, Francesco Ventola, Mariateresa Vivaldini, Marco Falcone, Marco Squarta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akapit 1 – punkt 8</w:t>
      </w:r>
      <w:r>
        <w:rPr>
          <w:rStyle w:val="HideTWBExt"/>
        </w:rPr>
        <w:t>&lt;/Article&gt;</w:t>
      </w:r>
    </w:p>
    <w:p>
      <w:r>
        <w:rPr>
          <w:rStyle w:val="HideTWBExt"/>
        </w:rPr>
        <w:t>&lt;DocAmend2&gt;</w:t>
      </w:r>
      <w:r>
        <w:t>Rozporządzenie (UE) 2019/2088</w:t>
      </w:r>
      <w:r>
        <w:rPr>
          <w:rStyle w:val="HideTWBExt"/>
        </w:rPr>
        <w:t>&lt;/DocAmend2&gt;</w:t>
      </w:r>
    </w:p>
    <w:p>
      <w:r>
        <w:rPr>
          <w:rStyle w:val="HideTWBExt"/>
        </w:rPr>
        <w:t>&lt;Article2&gt;</w:t>
      </w:r>
      <w:r>
        <w:t>Artykuł 7 – ustęp 1 – akapit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Uczestnicy rynku finansowego </w:t>
            </w:r>
            <w:r>
              <w:rPr>
                <w:b/>
                <w:i/>
              </w:rPr>
              <w:t>mogą zdecydować się na całkowite lub częściowe spełnienie wymogu dotyczącego</w:t>
            </w:r>
            <w:r>
              <w:t xml:space="preserve"> ujawniania informacji </w:t>
            </w:r>
            <w:r>
              <w:rPr>
                <w:b/>
                <w:i/>
              </w:rPr>
              <w:t>opisanego</w:t>
            </w:r>
            <w:r>
              <w:t xml:space="preserve"> w akapicie pierwszym lit. d) </w:t>
            </w:r>
            <w:r>
              <w:rPr>
                <w:b/>
                <w:i/>
              </w:rPr>
              <w:t>przy użyciu odpowiednich wskaźników związanych</w:t>
            </w:r>
            <w:r>
              <w:t xml:space="preserve"> ze zrównoważonym rozwojem.</w:t>
            </w:r>
          </w:p>
        </w:tc>
        <w:tc>
          <w:tcPr>
            <w:tcW w:w="4876" w:type="dxa"/>
            <w:tcBorders>
              <w:top w:val="nil"/>
              <w:left w:val="nil"/>
              <w:bottom w:val="nil"/>
              <w:right w:val="nil"/>
            </w:tcBorders>
          </w:tcPr>
          <w:p>
            <w:pPr>
              <w:pStyle w:val="Normal6a"/>
            </w:pPr>
            <w:r>
              <w:t xml:space="preserve">Uczestnicy rynku finansowego </w:t>
            </w:r>
            <w:r>
              <w:rPr>
                <w:b/>
                <w:i/>
              </w:rPr>
              <w:t>muszą spełnić wymóg dotyczący</w:t>
            </w:r>
            <w:r>
              <w:t xml:space="preserve"> ujawniania informacji </w:t>
            </w:r>
            <w:r>
              <w:rPr>
                <w:b/>
                <w:i/>
              </w:rPr>
              <w:t>opisany</w:t>
            </w:r>
            <w:r>
              <w:t xml:space="preserve"> w akapicie pierwszym lit. d)</w:t>
            </w:r>
            <w:r>
              <w:rPr>
                <w:b/>
                <w:i/>
              </w:rPr>
              <w:t>, stosując odpowiednie wskaźniki związane</w:t>
            </w:r>
            <w:r>
              <w:t xml:space="preserve"> ze zrównoważonym rozwojem. </w:t>
            </w:r>
            <w:r>
              <w:rPr>
                <w:b/>
                <w:i/>
              </w:rPr>
              <w:t>Do celów akapitu pierwszego lit. d) uczestnicy rynku finansowego stosują co najmniej jeden wskaźnik spośród wskaźników wymienionych w akcie delegowanym, który ma zostać przyjęty przez Komisję i o którym mowa w art. 19b lit. b) pkt a) ppkt (i), bardziej odpowiednim dla celu lub celów transformacji danego produktu finansowego.</w:t>
            </w:r>
            <w:r>
              <w:t xml:space="preserve"> </w:t>
            </w:r>
            <w:r>
              <w:rPr>
                <w:b/>
                <w:i/>
              </w:rPr>
              <w:t>W przypadku gdy uczestnicy rynku finansowego wykażą, że żaden z tych wskaźników nie jest odpowiedni dla danego produktu finansowego, mogą stosować alternatywne wskaźniki związane ze zrównoważonym rozwojem.</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252</w:t>
      </w:r>
      <w:r>
        <w:rPr>
          <w:rStyle w:val="HideTWBExt"/>
        </w:rPr>
        <w:t>&lt;/NumAm&gt;</w:t>
      </w:r>
    </w:p>
    <w:p>
      <w:pPr>
        <w:pStyle w:val="NormalBold"/>
      </w:pPr>
      <w:r>
        <w:rPr>
          <w:rStyle w:val="HideTWBExt"/>
          <w:b w:val="0"/>
        </w:rPr>
        <w:t>&lt;RepeatBlock-By&gt;</w:t>
      </w:r>
      <w:r>
        <w:rPr>
          <w:rStyle w:val="HideTWBExt"/>
          <w:b w:val="0"/>
        </w:rPr>
        <w:t>&lt;Members&gt;</w:t>
      </w:r>
      <w:r>
        <w:t>Luděk Niedermayer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ustęp 1 – punkt 8</w:t>
      </w:r>
      <w:r>
        <w:rPr>
          <w:rStyle w:val="HideTWBExt"/>
        </w:rPr>
        <w:t>&lt;/Article&gt;</w:t>
      </w:r>
    </w:p>
    <w:p>
      <w:r>
        <w:rPr>
          <w:rStyle w:val="HideTWBExt"/>
        </w:rPr>
        <w:t>&lt;DocAmend2&gt;</w:t>
      </w:r>
      <w:r>
        <w:t>Rozporządzenie (UE) 2019/2088</w:t>
      </w:r>
      <w:r>
        <w:rPr>
          <w:rStyle w:val="HideTWBExt"/>
        </w:rPr>
        <w:t>&lt;/DocAmend2&gt;</w:t>
      </w:r>
    </w:p>
    <w:p>
      <w:r>
        <w:rPr>
          <w:rStyle w:val="HideTWBExt"/>
        </w:rPr>
        <w:t>&lt;Article2&gt;</w:t>
      </w:r>
      <w:r>
        <w:t>Artykuł 7 – ustęp 1 – akapit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Uczestnicy rynku finansowego mogą zdecydować się na całkowite lub częściowe spełnienie wymogu dotyczącego ujawniania informacji </w:t>
            </w:r>
            <w:r>
              <w:rPr>
                <w:b/>
                <w:i/>
              </w:rPr>
              <w:t>opisanego</w:t>
            </w:r>
            <w:r>
              <w:t xml:space="preserve"> w akapicie pierwszym lit. d) </w:t>
            </w:r>
            <w:r>
              <w:rPr>
                <w:b/>
                <w:i/>
              </w:rPr>
              <w:t>przy użyciu odpowiednich wskaźników związanych</w:t>
            </w:r>
            <w:r>
              <w:t xml:space="preserve"> ze zrównoważonym rozwojem.</w:t>
            </w:r>
          </w:p>
        </w:tc>
        <w:tc>
          <w:tcPr>
            <w:tcW w:w="4876" w:type="dxa"/>
            <w:tcBorders>
              <w:top w:val="nil"/>
              <w:left w:val="nil"/>
              <w:bottom w:val="nil"/>
              <w:right w:val="nil"/>
            </w:tcBorders>
          </w:tcPr>
          <w:p>
            <w:pPr>
              <w:pStyle w:val="Normal6a"/>
            </w:pPr>
            <w:r>
              <w:t>Uczestnicy rynku finansowego mogą zdecydować się na całkowite lub częściowe spełnienie wymogu dotyczącego ujawniania informacji</w:t>
            </w:r>
            <w:r>
              <w:rPr>
                <w:b/>
                <w:i/>
              </w:rPr>
              <w:t>, o którym mowa</w:t>
            </w:r>
            <w:r>
              <w:t xml:space="preserve"> w akapicie pierwszym lit. d)</w:t>
            </w:r>
            <w:r>
              <w:rPr>
                <w:b/>
                <w:i/>
              </w:rPr>
              <w:t>, stosując, w całości lub w części, odpowiednie wskaźniki związane</w:t>
            </w:r>
            <w:r>
              <w:t xml:space="preserve"> ze zrównoważonym rozwojem</w:t>
            </w:r>
            <w:r>
              <w:rPr>
                <w:b/>
                <w:i/>
              </w:rPr>
              <w:t>, w tym wskaźniki ustanowione zgodnie z aktem delegowanym przyjętym na podstawie art</w:t>
            </w:r>
            <w:r>
              <w:t xml:space="preserve">. </w:t>
            </w:r>
            <w:r>
              <w:rPr>
                <w:b/>
                <w:i/>
              </w:rPr>
              <w:t>19b, lub stosując inną przejrzystą metodykę, która jest odpowiednia dla strategii inwestycyjnej produktu finansowego i umożliwia inwestorom zrozumienie głównych niekorzystnych wpływów inwestycji w ramach produktu finansowego na czynniki zrównoważonego rozwoju.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253</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ustęp 1 – punkt 8</w:t>
      </w:r>
      <w:r>
        <w:rPr>
          <w:rStyle w:val="HideTWBExt"/>
        </w:rPr>
        <w:t>&lt;/Article&gt;</w:t>
      </w:r>
    </w:p>
    <w:p>
      <w:r>
        <w:rPr>
          <w:rStyle w:val="HideTWBExt"/>
        </w:rPr>
        <w:t>&lt;DocAmend2&gt;</w:t>
      </w:r>
      <w:r>
        <w:t>Rozporządzenie (UE) 2019/2088</w:t>
      </w:r>
      <w:r>
        <w:rPr>
          <w:rStyle w:val="HideTWBExt"/>
        </w:rPr>
        <w:t>&lt;/DocAmend2&gt;</w:t>
      </w:r>
    </w:p>
    <w:p>
      <w:r>
        <w:rPr>
          <w:rStyle w:val="HideTWBExt"/>
        </w:rPr>
        <w:t>&lt;Article2&gt;</w:t>
      </w:r>
      <w:r>
        <w:t>Artykuł 7 – ustęp 1 – akapit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Uczestnicy rynku finansowego </w:t>
            </w:r>
            <w:r>
              <w:rPr>
                <w:b/>
                <w:i/>
              </w:rPr>
              <w:t>mogą zdecydować się na całkowite lub częściowe spełnienie wymogu dotyczącego</w:t>
            </w:r>
            <w:r>
              <w:t xml:space="preserve"> ujawniania informacji </w:t>
            </w:r>
            <w:r>
              <w:rPr>
                <w:b/>
                <w:i/>
              </w:rPr>
              <w:t>opisanego</w:t>
            </w:r>
            <w:r>
              <w:t xml:space="preserve"> w akapicie pierwszym lit. d) </w:t>
            </w:r>
            <w:r>
              <w:rPr>
                <w:b/>
                <w:i/>
              </w:rPr>
              <w:t>przy użyciu odpowiednich</w:t>
            </w:r>
            <w:r>
              <w:t xml:space="preserve"> wskaźników </w:t>
            </w:r>
            <w:r>
              <w:rPr>
                <w:b/>
                <w:i/>
              </w:rPr>
              <w:t>związanych ze zrównoważonym rozwojem</w:t>
            </w:r>
            <w:r>
              <w:t>.</w:t>
            </w:r>
          </w:p>
        </w:tc>
        <w:tc>
          <w:tcPr>
            <w:tcW w:w="4876" w:type="dxa"/>
            <w:tcBorders>
              <w:top w:val="nil"/>
              <w:left w:val="nil"/>
              <w:bottom w:val="nil"/>
              <w:right w:val="nil"/>
            </w:tcBorders>
          </w:tcPr>
          <w:p>
            <w:pPr>
              <w:pStyle w:val="Normal6a"/>
            </w:pPr>
            <w:r>
              <w:t xml:space="preserve">Uczestnicy rynku finansowego </w:t>
            </w:r>
            <w:r>
              <w:rPr>
                <w:b/>
                <w:i/>
              </w:rPr>
              <w:t>muszą spełniać wymóg</w:t>
            </w:r>
            <w:r>
              <w:t xml:space="preserve"> ujawniania informacji </w:t>
            </w:r>
            <w:r>
              <w:rPr>
                <w:b/>
                <w:i/>
              </w:rPr>
              <w:t>opisany</w:t>
            </w:r>
            <w:r>
              <w:t xml:space="preserve"> w akapicie pierwszym lit. d) </w:t>
            </w:r>
            <w:r>
              <w:rPr>
                <w:b/>
                <w:i/>
              </w:rPr>
              <w:t>niniejszego artykułu za pomocą obowiązkowych</w:t>
            </w:r>
            <w:r>
              <w:t xml:space="preserve"> wskaźników </w:t>
            </w:r>
            <w:r>
              <w:rPr>
                <w:b/>
                <w:i/>
              </w:rPr>
              <w:t>głównych negatywnych wpływów zgodnie z art</w:t>
            </w:r>
            <w:r>
              <w:t xml:space="preserve">. </w:t>
            </w:r>
            <w:r>
              <w:rPr>
                <w:b/>
                <w:i/>
              </w:rPr>
              <w:t>19aa.</w:t>
            </w:r>
            <w:r>
              <w:t xml:space="preserve"> </w:t>
            </w:r>
            <w:r>
              <w:rPr>
                <w:b/>
                <w:i/>
              </w:rPr>
              <w:t>Mogą również dobrowolnie ujawniać inne wskaźniki głównych negatywnych wpływów.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254</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ustęp 1 – punkt 8</w:t>
      </w:r>
      <w:r>
        <w:rPr>
          <w:rStyle w:val="HideTWBExt"/>
        </w:rPr>
        <w:t>&lt;/Article&gt;</w:t>
      </w:r>
    </w:p>
    <w:p>
      <w:r>
        <w:rPr>
          <w:rStyle w:val="HideTWBExt"/>
        </w:rPr>
        <w:t>&lt;DocAmend2&gt;</w:t>
      </w:r>
      <w:r>
        <w:t>Rozporządzenie (UE) 2019/2088</w:t>
      </w:r>
      <w:r>
        <w:rPr>
          <w:rStyle w:val="HideTWBExt"/>
        </w:rPr>
        <w:t>&lt;/DocAmend2&gt;</w:t>
      </w:r>
    </w:p>
    <w:p>
      <w:r>
        <w:rPr>
          <w:rStyle w:val="HideTWBExt"/>
        </w:rPr>
        <w:t>&lt;Article2&gt;</w:t>
      </w:r>
      <w:r>
        <w:t>Artykuł 7 – ustęp 1 – akapit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Uczestnicy rynku finansowego mogą zdecydować się na całkowite lub częściowe spełnienie wymogu dotyczącego ujawniania informacji opisanego w akapicie pierwszym lit. d) przy użyciu </w:t>
            </w:r>
            <w:r>
              <w:rPr>
                <w:b/>
                <w:i/>
              </w:rPr>
              <w:t>odpowiednich</w:t>
            </w:r>
            <w:r>
              <w:t xml:space="preserve"> wskaźników związanych ze zrównoważonym rozwojem.</w:t>
            </w:r>
          </w:p>
        </w:tc>
        <w:tc>
          <w:tcPr>
            <w:tcW w:w="4876" w:type="dxa"/>
            <w:tcBorders>
              <w:top w:val="nil"/>
              <w:left w:val="nil"/>
              <w:bottom w:val="nil"/>
              <w:right w:val="nil"/>
            </w:tcBorders>
          </w:tcPr>
          <w:p>
            <w:pPr>
              <w:pStyle w:val="Normal6a"/>
            </w:pPr>
            <w:r>
              <w:t xml:space="preserve">Uczestnicy rynku finansowego mogą zdecydować się na całkowite lub częściowe spełnienie wymogu dotyczącego ujawniania informacji opisanego w akapicie pierwszym lit. d) przy użyciu wskaźników </w:t>
            </w:r>
            <w:r>
              <w:rPr>
                <w:b/>
                <w:i/>
              </w:rPr>
              <w:t>opartych na podstawach naukowych</w:t>
            </w:r>
            <w:r>
              <w:t> związanych ze zrównoważonym rozwojem.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255</w:t>
      </w:r>
      <w:r>
        <w:rPr>
          <w:rStyle w:val="HideTWBExt"/>
        </w:rPr>
        <w:t>&lt;/NumAm&gt;</w:t>
      </w:r>
    </w:p>
    <w:p>
      <w:pPr>
        <w:pStyle w:val="NormalBold"/>
      </w:pPr>
      <w:r>
        <w:rPr>
          <w:rStyle w:val="HideTWBExt"/>
          <w:b w:val="0"/>
        </w:rPr>
        <w:t>&lt;RepeatBlock-By&gt;</w:t>
      </w:r>
      <w:r>
        <w:rPr>
          <w:rStyle w:val="HideTWBExt"/>
          <w:b w:val="0"/>
        </w:rPr>
        <w:t>&lt;Members&gt;</w:t>
      </w:r>
      <w:r>
        <w:t>Lara Wolters, Jonás Fernández, Aurore Lalucq, Niels Fuglsang, Evelyn Regner, César Luena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ustęp 1 – punkt 8</w:t>
      </w:r>
      <w:r>
        <w:rPr>
          <w:rStyle w:val="HideTWBExt"/>
        </w:rPr>
        <w:t>&lt;/Article&gt;</w:t>
      </w:r>
    </w:p>
    <w:p>
      <w:r>
        <w:rPr>
          <w:rStyle w:val="HideTWBExt"/>
        </w:rPr>
        <w:t>&lt;DocAmend2&gt;</w:t>
      </w:r>
      <w:r>
        <w:t>Rozporządzenie (UE) 2019/2088</w:t>
      </w:r>
      <w:r>
        <w:rPr>
          <w:rStyle w:val="HideTWBExt"/>
        </w:rPr>
        <w:t>&lt;/DocAmend2&gt;</w:t>
      </w:r>
    </w:p>
    <w:p>
      <w:r>
        <w:rPr>
          <w:rStyle w:val="HideTWBExt"/>
        </w:rPr>
        <w:t>&lt;Article2&gt;</w:t>
      </w:r>
      <w:r>
        <w:t>Artykuł 7 – ustęp 1 – akapit 2 a (nowy)</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Uczestnicy rynku finansowego uzupełniają wymóg ujawniania informacji opisany w akapicie pierwszym lit. d) za pomocą wskaźników negatywnych wpływów, które są istotne dla celu inwestycji, zgodnie z aktem delegowanym przyjętym na podstawie art. 19b.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256</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ustęp 1 – punkt 8</w:t>
      </w:r>
      <w:r>
        <w:rPr>
          <w:rStyle w:val="HideTWBExt"/>
        </w:rPr>
        <w:t>&lt;/Article&gt;</w:t>
      </w:r>
    </w:p>
    <w:p>
      <w:r>
        <w:rPr>
          <w:rStyle w:val="HideTWBExt"/>
        </w:rPr>
        <w:t>&lt;DocAmend2&gt;</w:t>
      </w:r>
      <w:r>
        <w:t>Rozporządzenie (UE) 2019/2088</w:t>
      </w:r>
      <w:r>
        <w:rPr>
          <w:rStyle w:val="HideTWBExt"/>
        </w:rPr>
        <w:t>&lt;/DocAmend2&gt;</w:t>
      </w:r>
    </w:p>
    <w:p>
      <w:r>
        <w:rPr>
          <w:rStyle w:val="HideTWBExt"/>
        </w:rPr>
        <w:t>&lt;Article2&gt;</w:t>
      </w:r>
      <w:r>
        <w:t>Artykuł 7 – ustęp 1 – akapit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Warunki opisane w akapicie pierwszym uznaje się za spełnione w odniesieniu do produktów finansowych, które powielają unijny wskaźnik referencyjny transformacji klimatycznej spełniający wymogi określone w sekcji 2 rozporządzenia delegowanego (UE) 2020/1818 lub unijny wskaźnik referencyjny dostosowany do porozumienia paryskiego, który spełnia wymogi określone w rozdziale II sekcja 3 tego rozporządzenia delegowanego, bądź są zarządzane w odniesieniu do takich wskaźników referencyjnych.</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257</w:t>
      </w:r>
      <w:r>
        <w:rPr>
          <w:rStyle w:val="HideTWBExt"/>
        </w:rPr>
        <w:t>&lt;/NumAm&gt;</w:t>
      </w:r>
    </w:p>
    <w:p>
      <w:pPr>
        <w:pStyle w:val="NormalBold"/>
      </w:pPr>
      <w:r>
        <w:rPr>
          <w:rStyle w:val="HideTWBExt"/>
          <w:b w:val="0"/>
        </w:rPr>
        <w:t>&lt;RepeatBlock-By&gt;</w:t>
      </w:r>
      <w:r>
        <w:rPr>
          <w:rStyle w:val="HideTWBExt"/>
          <w:b w:val="0"/>
        </w:rPr>
        <w:t>&lt;Members&gt;</w:t>
      </w:r>
      <w:r>
        <w:t>Lara Wolters, Jonás Fernández, Aurore Lalucq, Niels Fuglsang, Evelyn Regner, César Luena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ustęp 1 – punkt 8</w:t>
      </w:r>
      <w:r>
        <w:rPr>
          <w:rStyle w:val="HideTWBExt"/>
        </w:rPr>
        <w:t>&lt;/Article&gt;</w:t>
      </w:r>
    </w:p>
    <w:p>
      <w:r>
        <w:rPr>
          <w:rStyle w:val="HideTWBExt"/>
        </w:rPr>
        <w:t>&lt;DocAmend2&gt;</w:t>
      </w:r>
      <w:r>
        <w:t>Rozporządzenie (UE) 2019/2088</w:t>
      </w:r>
      <w:r>
        <w:rPr>
          <w:rStyle w:val="HideTWBExt"/>
        </w:rPr>
        <w:t>&lt;/DocAmend2&gt;</w:t>
      </w:r>
    </w:p>
    <w:p>
      <w:r>
        <w:rPr>
          <w:rStyle w:val="HideTWBExt"/>
        </w:rPr>
        <w:t>&lt;Article2&gt;</w:t>
      </w:r>
      <w:r>
        <w:t>Artykuł 7 – ustęp 1 – akapit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Warunki opisane w akapicie pierwszym uznaje się za spełnione w odniesieniu do produktów finansowych, które powielają unijny wskaźnik referencyjny transformacji klimatycznej spełniający wymogi określone w sekcji 2 rozporządzenia delegowanego (UE) 2020/1818 lub unijny wskaźnik referencyjny dostosowany do porozumienia paryskiego, który spełnia wymogi określone w rozdziale II sekcja 3 tego rozporządzenia delegowanego, bądź są zarządzane w odniesieniu do takich wskaźników referencyjnych.</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258</w:t>
      </w:r>
      <w:r>
        <w:rPr>
          <w:rStyle w:val="HideTWBExt"/>
        </w:rPr>
        <w:t>&lt;/NumAm&gt;</w:t>
      </w:r>
    </w:p>
    <w:p>
      <w:pPr>
        <w:pStyle w:val="NormalBold"/>
      </w:pPr>
      <w:r>
        <w:rPr>
          <w:rStyle w:val="HideTWBExt"/>
          <w:b w:val="0"/>
        </w:rPr>
        <w:t>&lt;RepeatBlock-By&gt;</w:t>
      </w:r>
      <w:r>
        <w:rPr>
          <w:rStyle w:val="HideTWBExt"/>
          <w:b w:val="0"/>
        </w:rPr>
        <w:t>&lt;Members&gt;</w:t>
      </w:r>
      <w:r>
        <w:t>Martin Günther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ustęp 1 – punkt 8</w:t>
      </w:r>
      <w:r>
        <w:rPr>
          <w:rStyle w:val="HideTWBExt"/>
        </w:rPr>
        <w:t>&lt;/Article&gt;</w:t>
      </w:r>
    </w:p>
    <w:p>
      <w:r>
        <w:rPr>
          <w:rStyle w:val="HideTWBExt"/>
        </w:rPr>
        <w:t>&lt;DocAmend2&gt;</w:t>
      </w:r>
      <w:r>
        <w:t>Rozporządzenie (UE) 2019/2088</w:t>
      </w:r>
      <w:r>
        <w:rPr>
          <w:rStyle w:val="HideTWBExt"/>
        </w:rPr>
        <w:t>&lt;/DocAmend2&gt;</w:t>
      </w:r>
    </w:p>
    <w:p>
      <w:r>
        <w:rPr>
          <w:rStyle w:val="HideTWBExt"/>
        </w:rPr>
        <w:t>&lt;Article2&gt;</w:t>
      </w:r>
      <w:r>
        <w:t>Artykuł 7 – ustęp 1 – akapit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Warunki opisane w akapicie pierwszym uznaje się za spełnione w odniesieniu do produktów finansowych, które powielają unijny wskaźnik referencyjny transformacji klimatycznej spełniający wymogi określone w sekcji 2 rozporządzenia delegowanego (UE) 2020/1818 lub unijny wskaźnik referencyjny dostosowany do porozumienia paryskiego, który spełnia wymogi określone w rozdziale II sekcja 3 tego rozporządzenia delegowanego, bądź są zarządzane w odniesieniu do takich wskaźników referencyjnych.</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259</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ustęp 1 – punkt 8</w:t>
      </w:r>
      <w:r>
        <w:rPr>
          <w:rStyle w:val="HideTWBExt"/>
        </w:rPr>
        <w:t>&lt;/Article&gt;</w:t>
      </w:r>
    </w:p>
    <w:p>
      <w:r>
        <w:rPr>
          <w:rStyle w:val="HideTWBExt"/>
        </w:rPr>
        <w:t>&lt;DocAmend2&gt;</w:t>
      </w:r>
      <w:r>
        <w:t>Rozporządzenie (UE) 2019/2088</w:t>
      </w:r>
      <w:r>
        <w:rPr>
          <w:rStyle w:val="HideTWBExt"/>
        </w:rPr>
        <w:t>&lt;/DocAmend2&gt;</w:t>
      </w:r>
    </w:p>
    <w:p>
      <w:r>
        <w:rPr>
          <w:rStyle w:val="HideTWBExt"/>
        </w:rPr>
        <w:t>&lt;Article2&gt;</w:t>
      </w:r>
      <w:r>
        <w:t>Artykuł 7 – ustęp 1 – akapit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Warunki opisane w akapicie pierwszym uznaje się za spełnione w odniesieniu do produktów finansowych, które powielają unijny wskaźnik referencyjny transformacji klimatycznej spełniający wymogi określone w sekcji 2 rozporządzenia delegowanego (UE) 2020/1818 lub unijny wskaźnik referencyjny dostosowany do porozumienia paryskiego, który spełnia wymogi określone w rozdziale II sekcja 3 tego rozporządzenia delegowanego, bądź są zarządzane w odniesieniu do takich wskaźników referencyjnych.</w:t>
            </w:r>
          </w:p>
        </w:tc>
        <w:tc>
          <w:tcPr>
            <w:tcW w:w="4876" w:type="dxa"/>
            <w:tcBorders>
              <w:top w:val="nil"/>
              <w:left w:val="nil"/>
              <w:bottom w:val="nil"/>
              <w:right w:val="nil"/>
            </w:tcBorders>
          </w:tcPr>
          <w:p>
            <w:pPr>
              <w:pStyle w:val="Normal6a"/>
            </w:pPr>
            <w:r>
              <w:t xml:space="preserve">Warunki opisane w akapicie pierwszym </w:t>
            </w:r>
            <w:r>
              <w:rPr>
                <w:b/>
                <w:i/>
              </w:rPr>
              <w:t>lit. a)</w:t>
            </w:r>
            <w:r>
              <w:t xml:space="preserve"> uznaje się za spełnione w odniesieniu do produktów finansowych, które powielają unijny wskaźnik referencyjny transformacji klimatycznej spełniający wymogi określone w sekcji 2 rozporządzenia delegowanego (UE) 2020/1818 lub unijny wskaźnik referencyjny dostosowany do porozumienia paryskiego, który spełnia wymogi określone w rozdziale II sekcja 3 tego rozporządzenia delegowanego, bądź są zarządzane w odniesieniu do takich wskaźników referencyjnych.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260</w:t>
      </w:r>
      <w:r>
        <w:rPr>
          <w:rStyle w:val="HideTWBExt"/>
        </w:rPr>
        <w:t>&lt;/NumAm&gt;</w:t>
      </w:r>
    </w:p>
    <w:p>
      <w:pPr>
        <w:pStyle w:val="NormalBold"/>
      </w:pPr>
      <w:r>
        <w:rPr>
          <w:rStyle w:val="HideTWBExt"/>
          <w:b w:val="0"/>
        </w:rPr>
        <w:t>&lt;RepeatBlock-By&gt;</w:t>
      </w:r>
      <w:r>
        <w:rPr>
          <w:rStyle w:val="HideTWBExt"/>
          <w:b w:val="0"/>
        </w:rPr>
        <w:t>&lt;Members&gt;</w:t>
      </w:r>
      <w:r>
        <w:t>Luděk Niedermayer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ustęp 1 – punkt 8</w:t>
      </w:r>
      <w:r>
        <w:rPr>
          <w:rStyle w:val="HideTWBExt"/>
        </w:rPr>
        <w:t>&lt;/Article&gt;</w:t>
      </w:r>
    </w:p>
    <w:p>
      <w:r>
        <w:rPr>
          <w:rStyle w:val="HideTWBExt"/>
        </w:rPr>
        <w:t>&lt;DocAmend2&gt;</w:t>
      </w:r>
      <w:r>
        <w:t>Rozporządzenie (UE) 2019/2088</w:t>
      </w:r>
      <w:r>
        <w:rPr>
          <w:rStyle w:val="HideTWBExt"/>
        </w:rPr>
        <w:t>&lt;/DocAmend2&gt;</w:t>
      </w:r>
    </w:p>
    <w:p>
      <w:r>
        <w:rPr>
          <w:rStyle w:val="HideTWBExt"/>
        </w:rPr>
        <w:t>&lt;Article2&gt;</w:t>
      </w:r>
      <w:r>
        <w:t>Artykuł 7 – ustęp 1 – akapit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Warunki opisane w akapicie pierwszym </w:t>
            </w:r>
            <w:r>
              <w:rPr>
                <w:b/>
                <w:i/>
              </w:rPr>
              <w:t>uznaje się za</w:t>
            </w:r>
            <w:r>
              <w:t xml:space="preserve"> spełnione w odniesieniu do produktów finansowych, które powielają unijny wskaźnik referencyjny transformacji klimatycznej spełniający wymogi określone w sekcji 2 rozporządzenia delegowanego (UE) 2020/1818 lub unijny wskaźnik referencyjny dostosowany do porozumienia paryskiego, który spełnia wymogi określone w rozdziale II sekcja 3 tego rozporządzenia delegowanego, bądź są zarządzane w odniesieniu do takich wskaźników referencyjnych.</w:t>
            </w:r>
          </w:p>
        </w:tc>
        <w:tc>
          <w:tcPr>
            <w:tcW w:w="4876" w:type="dxa"/>
            <w:tcBorders>
              <w:top w:val="nil"/>
              <w:left w:val="nil"/>
              <w:bottom w:val="nil"/>
              <w:right w:val="nil"/>
            </w:tcBorders>
          </w:tcPr>
          <w:p>
            <w:pPr>
              <w:pStyle w:val="Normal6a"/>
            </w:pPr>
            <w:r>
              <w:rPr>
                <w:b/>
                <w:i/>
              </w:rPr>
              <w:t>Należy uznać, że</w:t>
            </w:r>
            <w:r>
              <w:t xml:space="preserve"> warunki opisane w akapicie pierwszym </w:t>
            </w:r>
            <w:r>
              <w:rPr>
                <w:b/>
                <w:i/>
              </w:rPr>
              <w:t>są</w:t>
            </w:r>
            <w:r>
              <w:t xml:space="preserve"> spełnione w odniesieniu do produktów finansowych, które powielają unijny wskaźnik referencyjny transformacji klimatycznej spełniający wymogi określone w sekcji 2 rozporządzenia delegowanego (UE) 2020/1818 lub unijny wskaźnik referencyjny dostosowany do porozumienia paryskiego, który spełnia wymogi określone w rozdziale II sekcja 3 tego rozporządzenia delegowanego, bądź są zarządzane w odniesieniu do takich wskaźników referencyjnych.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261</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ustęp 1 – punkt 8</w:t>
      </w:r>
      <w:r>
        <w:rPr>
          <w:rStyle w:val="HideTWBExt"/>
        </w:rPr>
        <w:t>&lt;/Article&gt;</w:t>
      </w:r>
    </w:p>
    <w:p>
      <w:r>
        <w:rPr>
          <w:rStyle w:val="HideTWBExt"/>
        </w:rPr>
        <w:t>&lt;DocAmend2&gt;</w:t>
      </w:r>
      <w:r>
        <w:t>Rozporządzenie (UE) 2019/2088</w:t>
      </w:r>
      <w:r>
        <w:rPr>
          <w:rStyle w:val="HideTWBExt"/>
        </w:rPr>
        <w:t>&lt;/DocAmend2&gt;</w:t>
      </w:r>
    </w:p>
    <w:p>
      <w:r>
        <w:rPr>
          <w:rStyle w:val="HideTWBExt"/>
        </w:rPr>
        <w:t>&lt;Article2&gt;</w:t>
      </w:r>
      <w:r>
        <w:t>Artykuł 7 – ustęp 1 – akapit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Warunki opisane w akapicie pierwszym lit. a) uznaje się za spełnione w odniesieniu do produktów finansowych, w przypadku których udział inwestycji w działalność gospodarczą zgodną z systematyką, w rozumieniu art. 1 pkt 2 rozporządzenia delegowanego (UE) 2021/2178</w:t>
            </w:r>
            <w:r>
              <w:rPr>
                <w:b/>
                <w:i/>
                <w:vertAlign w:val="superscript"/>
              </w:rPr>
              <w:t>*6</w:t>
            </w:r>
            <w:r>
              <w:rPr>
                <w:b/>
                <w:i/>
              </w:rPr>
              <w:t>, wynosi co najmniej 15 %.</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262</w:t>
      </w:r>
      <w:r>
        <w:rPr>
          <w:rStyle w:val="HideTWBExt"/>
        </w:rPr>
        <w:t>&lt;/NumAm&gt;</w:t>
      </w:r>
    </w:p>
    <w:p>
      <w:pPr>
        <w:pStyle w:val="NormalBold"/>
      </w:pPr>
      <w:r>
        <w:rPr>
          <w:rStyle w:val="HideTWBExt"/>
          <w:b w:val="0"/>
        </w:rPr>
        <w:t>&lt;RepeatBlock-By&gt;</w:t>
      </w:r>
      <w:r>
        <w:rPr>
          <w:rStyle w:val="HideTWBExt"/>
          <w:b w:val="0"/>
        </w:rPr>
        <w:t>&lt;Members&gt;</w:t>
      </w:r>
      <w:r>
        <w:t>Martin Günther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ustęp 1 – punkt 8</w:t>
      </w:r>
      <w:r>
        <w:rPr>
          <w:rStyle w:val="HideTWBExt"/>
        </w:rPr>
        <w:t>&lt;/Article&gt;</w:t>
      </w:r>
    </w:p>
    <w:p>
      <w:r>
        <w:rPr>
          <w:rStyle w:val="HideTWBExt"/>
        </w:rPr>
        <w:t>&lt;DocAmend2&gt;</w:t>
      </w:r>
      <w:r>
        <w:t>Rozporządzenie (UE) 2019/2088</w:t>
      </w:r>
      <w:r>
        <w:rPr>
          <w:rStyle w:val="HideTWBExt"/>
        </w:rPr>
        <w:t>&lt;/DocAmend2&gt;</w:t>
      </w:r>
    </w:p>
    <w:p>
      <w:r>
        <w:rPr>
          <w:rStyle w:val="HideTWBExt"/>
        </w:rPr>
        <w:t>&lt;Article2&gt;</w:t>
      </w:r>
      <w:r>
        <w:t>Artykuł 7 – ustęp 1 – akapit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Warunki opisane w akapicie pierwszym lit. a) uznaje się za spełnione w odniesieniu do produktów finansowych, w przypadku których udział inwestycji w działalność gospodarczą zgodną z systematyką, w rozumieniu art. 1 pkt 2 rozporządzenia delegowanego (UE) 2021/2178</w:t>
            </w:r>
            <w:r>
              <w:rPr>
                <w:b/>
                <w:i/>
                <w:vertAlign w:val="superscript"/>
              </w:rPr>
              <w:t>*6</w:t>
            </w:r>
            <w:r>
              <w:rPr>
                <w:b/>
                <w:i/>
              </w:rPr>
              <w:t>, wynosi co najmniej 15 %.</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263</w:t>
      </w:r>
      <w:r>
        <w:rPr>
          <w:rStyle w:val="HideTWBExt"/>
        </w:rPr>
        <w:t>&lt;/NumAm&gt;</w:t>
      </w:r>
    </w:p>
    <w:p>
      <w:pPr>
        <w:pStyle w:val="NormalBold"/>
      </w:pPr>
      <w:r>
        <w:rPr>
          <w:rStyle w:val="HideTWBExt"/>
          <w:b w:val="0"/>
        </w:rPr>
        <w:t>&lt;RepeatBlock-By&gt;</w:t>
      </w:r>
      <w:r>
        <w:rPr>
          <w:rStyle w:val="HideTWBExt"/>
          <w:b w:val="0"/>
        </w:rPr>
        <w:t>&lt;Members&gt;</w:t>
      </w:r>
      <w:r>
        <w:t>Luděk Niedermayer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ustęp 1 – punkt 8</w:t>
      </w:r>
      <w:r>
        <w:rPr>
          <w:rStyle w:val="HideTWBExt"/>
        </w:rPr>
        <w:t>&lt;/Article&gt;</w:t>
      </w:r>
    </w:p>
    <w:p>
      <w:r>
        <w:rPr>
          <w:rStyle w:val="HideTWBExt"/>
        </w:rPr>
        <w:t>&lt;DocAmend2&gt;</w:t>
      </w:r>
      <w:r>
        <w:t>Rozporządzenie (UE) 2019/2088</w:t>
      </w:r>
      <w:r>
        <w:rPr>
          <w:rStyle w:val="HideTWBExt"/>
        </w:rPr>
        <w:t>&lt;/DocAmend2&gt;</w:t>
      </w:r>
    </w:p>
    <w:p>
      <w:r>
        <w:rPr>
          <w:rStyle w:val="HideTWBExt"/>
        </w:rPr>
        <w:t>&lt;Article2&gt;</w:t>
      </w:r>
      <w:r>
        <w:t>Artykuł 7 – ustęp 1 – akapit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Warunki opisane w akapicie pierwszym lit. a) uznaje się za spełnione w odniesieniu do produktów finansowych, w przypadku których udział inwestycji w działalność gospodarczą zgodną z systematyką, w rozumieniu art. 1 pkt 2 rozporządzenia delegowanego (UE) 2021/2178</w:t>
            </w:r>
            <w:r>
              <w:rPr>
                <w:vertAlign w:val="superscript"/>
              </w:rPr>
              <w:t>*6</w:t>
            </w:r>
            <w:r>
              <w:t>, wynosi co najmniej 15 %.</w:t>
            </w:r>
          </w:p>
        </w:tc>
        <w:tc>
          <w:tcPr>
            <w:tcW w:w="4876" w:type="dxa"/>
            <w:tcBorders>
              <w:top w:val="nil"/>
              <w:left w:val="nil"/>
              <w:bottom w:val="nil"/>
              <w:right w:val="nil"/>
            </w:tcBorders>
          </w:tcPr>
          <w:p>
            <w:pPr>
              <w:pStyle w:val="Normal6a"/>
            </w:pPr>
            <w:r>
              <w:t>Warunki opisane w akapicie pierwszym lit. a) uznaje się za spełnione w odniesieniu do produktów finansowych, w przypadku których udział inwestycji w działalność gospodarczą zgodną z systematyką, w rozumieniu art. 1 pkt 2 rozporządzenia delegowanego (UE) 2021/2178</w:t>
            </w:r>
            <w:r>
              <w:rPr>
                <w:b/>
                <w:i/>
                <w:vertAlign w:val="superscript"/>
              </w:rPr>
              <w:t>\</w:t>
            </w:r>
            <w:r>
              <w:rPr>
                <w:vertAlign w:val="superscript"/>
              </w:rPr>
              <w:t>*6</w:t>
            </w:r>
            <w:r>
              <w:t>, wynosi co najmniej 15 %.</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Do celów oceny, czy osiągnięto minimalny udział inwestycji wymagany na podstawie akapitu pierwszego, w przypadku gdy udział inwestycji w działalność gospodarczą zgodną z systematyką w ramach produktu finansowego wynosi poniżej 15 %, każdy punkt procentowy takich inwestycji liczy się jako cztery punkty procentowe.</w:t>
            </w:r>
            <w:r>
              <w:t xml:space="preserve"> </w:t>
            </w:r>
            <w:r>
              <w:rPr>
                <w:b/>
                <w:i/>
              </w:rPr>
              <w:t>Wkład takich inwestycji może być łączony z innymi inwestycjami spełniającymi kryteria określone w akapicie pierwszym lit. b)–h) w celu osiągnięcia tego minimalnego odsetka.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264</w:t>
      </w:r>
      <w:r>
        <w:rPr>
          <w:rStyle w:val="HideTWBExt"/>
        </w:rPr>
        <w:t>&lt;/NumAm&gt;</w:t>
      </w:r>
    </w:p>
    <w:p>
      <w:pPr>
        <w:pStyle w:val="NormalBold"/>
      </w:pPr>
      <w:r>
        <w:rPr>
          <w:rStyle w:val="HideTWBExt"/>
          <w:b w:val="0"/>
        </w:rPr>
        <w:t>&lt;RepeatBlock-By&gt;</w:t>
      </w:r>
      <w:r>
        <w:rPr>
          <w:rStyle w:val="HideTWBExt"/>
          <w:b w:val="0"/>
        </w:rPr>
        <w:t>&lt;Members&gt;</w:t>
      </w:r>
      <w:r>
        <w:t>Lara Wolters, Jonás Fernández, Aurore Lalucq, Niels Fuglsang, Evelyn Regner, César Luena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ustęp 1 – punkt 8</w:t>
      </w:r>
      <w:r>
        <w:rPr>
          <w:rStyle w:val="HideTWBExt"/>
        </w:rPr>
        <w:t>&lt;/Article&gt;</w:t>
      </w:r>
    </w:p>
    <w:p>
      <w:r>
        <w:rPr>
          <w:rStyle w:val="HideTWBExt"/>
        </w:rPr>
        <w:t>&lt;DocAmend2&gt;</w:t>
      </w:r>
      <w:r>
        <w:t>Rozporządzenie (UE) 2019/2088</w:t>
      </w:r>
      <w:r>
        <w:rPr>
          <w:rStyle w:val="HideTWBExt"/>
        </w:rPr>
        <w:t>&lt;/DocAmend2&gt;</w:t>
      </w:r>
    </w:p>
    <w:p>
      <w:r>
        <w:rPr>
          <w:rStyle w:val="HideTWBExt"/>
        </w:rPr>
        <w:t>&lt;Article2&gt;</w:t>
      </w:r>
      <w:r>
        <w:t>Artykuł 7 – ustęp 1 – akapit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Warunki opisane w akapicie pierwszym lit. a) uznaje się za spełnione w odniesieniu do produktów finansowych, w przypadku których udział inwestycji w działalność gospodarczą zgodną z systematyką, w rozumieniu art. 1 pkt 2 rozporządzenia delegowanego (UE) 2021/2178</w:t>
            </w:r>
            <w:r>
              <w:rPr>
                <w:vertAlign w:val="superscript"/>
              </w:rPr>
              <w:t>*6</w:t>
            </w:r>
            <w:r>
              <w:t xml:space="preserve">, wynosi co najmniej </w:t>
            </w:r>
            <w:r>
              <w:rPr>
                <w:b/>
                <w:i/>
              </w:rPr>
              <w:t>15</w:t>
            </w:r>
            <w:r>
              <w:t xml:space="preserve"> %.</w:t>
            </w:r>
          </w:p>
        </w:tc>
        <w:tc>
          <w:tcPr>
            <w:tcW w:w="4876" w:type="dxa"/>
            <w:tcBorders>
              <w:top w:val="nil"/>
              <w:left w:val="nil"/>
              <w:bottom w:val="nil"/>
              <w:right w:val="nil"/>
            </w:tcBorders>
          </w:tcPr>
          <w:p>
            <w:pPr>
              <w:pStyle w:val="Normal6a"/>
            </w:pPr>
            <w:r>
              <w:t>Warunki opisane w akapicie pierwszym lit. a) uznaje się za spełnione w odniesieniu do produktów finansowych, w przypadku których udział inwestycji w działalność gospodarczą zgodną z systematyką, w rozumieniu art. 1 pkt 2 rozporządzenia delegowanego (UE) 2021/2178</w:t>
            </w:r>
            <w:r>
              <w:rPr>
                <w:b/>
                <w:i/>
              </w:rPr>
              <w:t>\</w:t>
            </w:r>
            <w:r>
              <w:t xml:space="preserve">*6, wynosi co najmniej </w:t>
            </w:r>
            <w:r>
              <w:rPr>
                <w:b/>
                <w:i/>
              </w:rPr>
              <w:t>25</w:t>
            </w:r>
            <w:r>
              <w:t>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265</w:t>
      </w:r>
      <w:r>
        <w:rPr>
          <w:rStyle w:val="HideTWBExt"/>
        </w:rPr>
        <w:t>&lt;/NumAm&gt;</w:t>
      </w:r>
    </w:p>
    <w:p>
      <w:pPr>
        <w:pStyle w:val="NormalBold"/>
      </w:pPr>
      <w:r>
        <w:rPr>
          <w:rStyle w:val="HideTWBExt"/>
          <w:b w:val="0"/>
        </w:rPr>
        <w:t>&lt;RepeatBlock-By&gt;</w:t>
      </w:r>
      <w:r>
        <w:rPr>
          <w:rStyle w:val="HideTWBExt"/>
          <w:b w:val="0"/>
        </w:rPr>
        <w:t>&lt;Members&gt;</w:t>
      </w:r>
      <w:r>
        <w:t>Markus Ferber, Janusz Lewandowski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ustęp 1 – punkt 8</w:t>
      </w:r>
      <w:r>
        <w:rPr>
          <w:rStyle w:val="HideTWBExt"/>
        </w:rPr>
        <w:t>&lt;/Article&gt;</w:t>
      </w:r>
    </w:p>
    <w:p>
      <w:r>
        <w:rPr>
          <w:rStyle w:val="HideTWBExt"/>
        </w:rPr>
        <w:t>&lt;DocAmend2&gt;</w:t>
      </w:r>
      <w:r>
        <w:t>Rozporządzenie (UE) 2019/2088</w:t>
      </w:r>
      <w:r>
        <w:rPr>
          <w:rStyle w:val="HideTWBExt"/>
        </w:rPr>
        <w:t>&lt;/DocAmend2&gt;</w:t>
      </w:r>
    </w:p>
    <w:p>
      <w:r>
        <w:rPr>
          <w:rStyle w:val="HideTWBExt"/>
        </w:rPr>
        <w:t>&lt;Article2&gt;</w:t>
      </w:r>
      <w:r>
        <w:t>Artykuł 7 – ustęp 1 – akapit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Warunki opisane w akapicie pierwszym lit. a) uznaje się za spełnione w odniesieniu do produktów finansowych, w przypadku których udział inwestycji w działalność gospodarczą zgodną z systematyką, w rozumieniu art. 1 pkt 2 rozporządzenia delegowanego (UE) 2021/2178</w:t>
            </w:r>
            <w:r>
              <w:rPr>
                <w:vertAlign w:val="superscript"/>
              </w:rPr>
              <w:t>*6</w:t>
            </w:r>
            <w:r>
              <w:t xml:space="preserve">, wynosi co najmniej </w:t>
            </w:r>
            <w:r>
              <w:rPr>
                <w:b/>
                <w:i/>
              </w:rPr>
              <w:t>15</w:t>
            </w:r>
            <w:r>
              <w:t xml:space="preserve"> %.</w:t>
            </w:r>
          </w:p>
        </w:tc>
        <w:tc>
          <w:tcPr>
            <w:tcW w:w="4876" w:type="dxa"/>
            <w:tcBorders>
              <w:top w:val="nil"/>
              <w:left w:val="nil"/>
              <w:bottom w:val="nil"/>
              <w:right w:val="nil"/>
            </w:tcBorders>
          </w:tcPr>
          <w:p>
            <w:pPr>
              <w:pStyle w:val="Normal6a"/>
            </w:pPr>
            <w:r>
              <w:t xml:space="preserve">Warunki opisane w akapicie pierwszym lit. a) uznaje się za spełnione w odniesieniu do produktów finansowych, w przypadku których udział inwestycji w działalność gospodarczą zgodną z systematyką, w rozumieniu art. 1 pkt 2 rozporządzenia delegowanego (UE) 2021/2178*6, wynosi co najmniej </w:t>
            </w:r>
            <w:r>
              <w:rPr>
                <w:b/>
                <w:i/>
              </w:rPr>
              <w:t>10</w:t>
            </w:r>
            <w:r>
              <w:t xml:space="preserve"> %.</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Dane rynkowe pokazują, że zdecydowana większość funduszy europejskich zgłasza zgodność z systematyką na poziomie poniżej 10 %.</w:t>
      </w:r>
      <w:r>
        <w:t xml:space="preserve"> </w:t>
      </w:r>
      <w:r>
        <w:t>Biorąc pod uwagę ograniczony zakres CSRD i brak danych dotyczących emitentów spoza UE, próg 10 % jest już ambitny.</w:t>
      </w:r>
    </w:p>
    <w:p>
      <w:r>
        <w:rPr>
          <w:rStyle w:val="HideTWBExt"/>
        </w:rPr>
        <w:t>&lt;/Amend&gt;</w:t>
      </w:r>
    </w:p>
    <w:p>
      <w:pPr>
        <w:pStyle w:val="AmNumberTabs"/>
      </w:pPr>
      <w:r>
        <w:rPr>
          <w:rStyle w:val="HideTWBExt"/>
        </w:rPr>
        <w:t>&lt;Amend&gt;</w:t>
      </w:r>
      <w:r>
        <w:t>Poprawka</w:t>
      </w:r>
      <w:r>
        <w:tab/>
      </w:r>
      <w:r>
        <w:tab/>
      </w:r>
      <w:r>
        <w:rPr>
          <w:rStyle w:val="HideTWBExt"/>
        </w:rPr>
        <w:t>&lt;NumAm&gt;</w:t>
      </w:r>
      <w:r>
        <w:t>266</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ustęp 1 – punkt 8</w:t>
      </w:r>
      <w:r>
        <w:rPr>
          <w:rStyle w:val="HideTWBExt"/>
        </w:rPr>
        <w:t>&lt;/Article&gt;</w:t>
      </w:r>
    </w:p>
    <w:p>
      <w:r>
        <w:rPr>
          <w:rStyle w:val="HideTWBExt"/>
        </w:rPr>
        <w:t>&lt;DocAmend2&gt;</w:t>
      </w:r>
      <w:r>
        <w:t>Rozporządzenie (UE) 2019/2088</w:t>
      </w:r>
      <w:r>
        <w:rPr>
          <w:rStyle w:val="HideTWBExt"/>
        </w:rPr>
        <w:t>&lt;/DocAmend2&gt;</w:t>
      </w:r>
    </w:p>
    <w:p>
      <w:r>
        <w:rPr>
          <w:rStyle w:val="HideTWBExt"/>
        </w:rPr>
        <w:t>&lt;Article2&gt;</w:t>
      </w:r>
      <w:r>
        <w:t>Artykuł 7 – ustęp 1 – akapit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Warunki opisane w akapicie pierwszym lit. a) uznaje się za spełnione w odniesieniu do produktów finansowych, w przypadku których udział inwestycji w działalność gospodarczą zgodną z systematyką, w rozumieniu art. 1 pkt 2 rozporządzenia delegowanego (UE) 2021/2178</w:t>
            </w:r>
            <w:r>
              <w:rPr>
                <w:vertAlign w:val="superscript"/>
              </w:rPr>
              <w:t>*6</w:t>
            </w:r>
            <w:r>
              <w:t xml:space="preserve">, wynosi co najmniej </w:t>
            </w:r>
            <w:r>
              <w:rPr>
                <w:b/>
                <w:i/>
              </w:rPr>
              <w:t>15</w:t>
            </w:r>
            <w:r>
              <w:t xml:space="preserve"> %.</w:t>
            </w:r>
          </w:p>
        </w:tc>
        <w:tc>
          <w:tcPr>
            <w:tcW w:w="4876" w:type="dxa"/>
            <w:tcBorders>
              <w:top w:val="nil"/>
              <w:left w:val="nil"/>
              <w:bottom w:val="nil"/>
              <w:right w:val="nil"/>
            </w:tcBorders>
          </w:tcPr>
          <w:p>
            <w:pPr>
              <w:pStyle w:val="Normal6a"/>
            </w:pPr>
            <w:r>
              <w:t xml:space="preserve">Warunki opisane w akapicie pierwszym lit. a) uznaje się za spełnione w odniesieniu do produktów finansowych, w przypadku których udział inwestycji w działalność gospodarczą zgodną z systematyką, w rozumieniu art. 1 pkt 2 rozporządzenia delegowanego (UE) 2021/2178*6, wynosi co najmniej </w:t>
            </w:r>
            <w:r>
              <w:rPr>
                <w:b/>
                <w:i/>
              </w:rPr>
              <w:t>5</w:t>
            </w:r>
            <w:r>
              <w:t>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267</w:t>
      </w:r>
      <w:r>
        <w:rPr>
          <w:rStyle w:val="HideTWBExt"/>
        </w:rPr>
        <w:t>&lt;/NumAm&gt;</w:t>
      </w:r>
    </w:p>
    <w:p>
      <w:pPr>
        <w:pStyle w:val="NormalBold"/>
      </w:pPr>
      <w:r>
        <w:rPr>
          <w:rStyle w:val="HideTWBExt"/>
          <w:b w:val="0"/>
        </w:rPr>
        <w:t>&lt;RepeatBlock-By&gt;</w:t>
      </w:r>
      <w:r>
        <w:rPr>
          <w:rStyle w:val="HideTWBExt"/>
          <w:b w:val="0"/>
        </w:rPr>
        <w:t>&lt;Members&gt;</w:t>
      </w:r>
      <w:r>
        <w:t>Katri Kulmuni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ustęp 1 – punkt 8</w:t>
      </w:r>
      <w:r>
        <w:rPr>
          <w:rStyle w:val="HideTWBExt"/>
        </w:rPr>
        <w:t>&lt;/Article&gt;</w:t>
      </w:r>
    </w:p>
    <w:p>
      <w:r>
        <w:rPr>
          <w:rStyle w:val="HideTWBExt"/>
        </w:rPr>
        <w:t>&lt;DocAmend2&gt;</w:t>
      </w:r>
      <w:r>
        <w:t>Rozporządzenie (UE) 2019/2088</w:t>
      </w:r>
      <w:r>
        <w:rPr>
          <w:rStyle w:val="HideTWBExt"/>
        </w:rPr>
        <w:t>&lt;/DocAmend2&gt;</w:t>
      </w:r>
    </w:p>
    <w:p>
      <w:r>
        <w:rPr>
          <w:rStyle w:val="HideTWBExt"/>
        </w:rPr>
        <w:t>&lt;Article2&gt;</w:t>
      </w:r>
      <w:r>
        <w:t>Artykuł 7 – ustęp 1 – akapit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Warunki opisane w akapicie pierwszym lit. a) uznaje się za spełnione w odniesieniu do produktów finansowych, w przypadku których udział inwestycji w działalność gospodarczą zgodną z systematyką, w rozumieniu art. 1 pkt 2 rozporządzenia delegowanego (UE) 2021/2178</w:t>
            </w:r>
            <w:r>
              <w:rPr>
                <w:b/>
                <w:i/>
                <w:vertAlign w:val="superscript"/>
              </w:rPr>
              <w:t>*6</w:t>
            </w:r>
            <w:r>
              <w:t xml:space="preserve">, wynosi co najmniej </w:t>
            </w:r>
            <w:r>
              <w:rPr>
                <w:b/>
                <w:i/>
              </w:rPr>
              <w:t>15</w:t>
            </w:r>
            <w:r>
              <w:t xml:space="preserve"> %.</w:t>
            </w:r>
          </w:p>
        </w:tc>
        <w:tc>
          <w:tcPr>
            <w:tcW w:w="4876" w:type="dxa"/>
            <w:tcBorders>
              <w:top w:val="nil"/>
              <w:left w:val="nil"/>
              <w:bottom w:val="nil"/>
              <w:right w:val="nil"/>
            </w:tcBorders>
          </w:tcPr>
          <w:p>
            <w:pPr>
              <w:pStyle w:val="Normal6a"/>
            </w:pPr>
            <w:r>
              <w:t xml:space="preserve">Warunki opisane w akapicie pierwszym lit. a) uznaje się za spełnione w odniesieniu do produktów finansowych, w przypadku których udział inwestycji w działalność gospodarczą zgodną z systematyką, w rozumieniu art. 1 pkt 2 rozporządzenia delegowanego (UE) 2021/2178, wynosi co najmniej </w:t>
            </w:r>
            <w:r>
              <w:rPr>
                <w:b/>
                <w:i/>
              </w:rPr>
              <w:t>10</w:t>
            </w:r>
            <w:r>
              <w:t>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268</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ustęp 1 – punkt 8</w:t>
      </w:r>
      <w:r>
        <w:rPr>
          <w:rStyle w:val="HideTWBExt"/>
        </w:rPr>
        <w:t>&lt;/Article&gt;</w:t>
      </w:r>
    </w:p>
    <w:p>
      <w:r>
        <w:rPr>
          <w:rStyle w:val="HideTWBExt"/>
        </w:rPr>
        <w:t>&lt;DocAmend2&gt;</w:t>
      </w:r>
      <w:r>
        <w:t>Rozporządzenie (UE) 2019/2088</w:t>
      </w:r>
      <w:r>
        <w:rPr>
          <w:rStyle w:val="HideTWBExt"/>
        </w:rPr>
        <w:t>&lt;/DocAmend2&gt;</w:t>
      </w:r>
    </w:p>
    <w:p>
      <w:r>
        <w:rPr>
          <w:rStyle w:val="HideTWBExt"/>
        </w:rPr>
        <w:t>&lt;Article2&gt;</w:t>
      </w:r>
      <w:r>
        <w:t>Artykuł 7 – ustęp 1 – akapit 3 a (nowy)</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 przypadku produktów finansowych sklasyfikowanych na podstawie niniejszego artykułu inwestujących w inne produkty finansowe sklasyfikowane na podstawie niniejszego artykułu przy obliczaniu progu, o którym mowa w lit. a), uwzględnia się odsetek ujawniony przez te bazowe produkty finansowe zgodnie z ust. 3 lit. 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269</w:t>
      </w:r>
      <w:r>
        <w:rPr>
          <w:rStyle w:val="HideTWBExt"/>
        </w:rPr>
        <w:t>&lt;/NumAm&gt;</w:t>
      </w:r>
    </w:p>
    <w:p>
      <w:pPr>
        <w:pStyle w:val="NormalBold"/>
      </w:pPr>
      <w:r>
        <w:rPr>
          <w:rStyle w:val="HideTWBExt"/>
          <w:b w:val="0"/>
        </w:rPr>
        <w:t>&lt;RepeatBlock-By&gt;</w:t>
      </w:r>
      <w:r>
        <w:rPr>
          <w:rStyle w:val="HideTWBExt"/>
          <w:b w:val="0"/>
        </w:rPr>
        <w:t>&lt;Members&gt;</w:t>
      </w:r>
      <w:r>
        <w:t>Denis Nesci, Francesco Ventola, Mariateresa Vivaldini, Marco Falcone, Marco Squarta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rozporządzenia</w:t>
      </w:r>
      <w:r>
        <w:rPr>
          <w:rStyle w:val="HideTWBExt"/>
        </w:rPr>
        <w:t>&lt;/DocAmend&gt;</w:t>
      </w:r>
    </w:p>
    <w:p>
      <w:pPr>
        <w:pStyle w:val="NormalBold"/>
      </w:pPr>
      <w:r>
        <w:rPr>
          <w:rStyle w:val="HideTWBExt"/>
        </w:rPr>
        <w:t>&lt;Article&gt;</w:t>
      </w:r>
      <w:r>
        <w:t>Artykuł 1 – akapit 1 – punkt 8</w:t>
      </w:r>
      <w:r>
        <w:rPr>
          <w:rStyle w:val="HideTWBExt"/>
        </w:rPr>
        <w:t>&lt;/Article&gt;</w:t>
      </w:r>
    </w:p>
    <w:p>
      <w:r>
        <w:rPr>
          <w:rStyle w:val="HideTWBExt"/>
        </w:rPr>
        <w:t>&lt;DocAmend2&gt;</w:t>
      </w:r>
      <w:r>
        <w:t>Rozporządzenie (UE) 2019/2088</w:t>
      </w:r>
      <w:r>
        <w:rPr>
          <w:rStyle w:val="HideTWBExt"/>
        </w:rPr>
        <w:t>&lt;/DocAmend2&gt;</w:t>
      </w:r>
    </w:p>
    <w:p>
      <w:r>
        <w:rPr>
          <w:rStyle w:val="HideTWBExt"/>
        </w:rPr>
        <w:t>&lt;Article2&gt;</w:t>
      </w:r>
      <w:r>
        <w:t>Artykuł 7 – ustęp 1 – akapit 3 a (nowy)</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Komisję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Produkty finansowe, o których mowa w akapicie pierwszym, nie obejmują inwestycji w emisje dokonywanych przez podmioty sektora publicznego, z wyjątkiem instrumentów o konkretnym przeznaczeniu przychodów emitowanych przez podmioty sektora publicznego:</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789.857</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212</w:t>
    </w:r>
    <w:r>
      <w:fldChar w:fldCharType="end"/>
    </w:r>
    <w:r>
      <w:t>/</w:t>
    </w:r>
    <w:r>
      <w:fldChar w:fldCharType="begin"/>
    </w:r>
    <w:r>
      <w:instrText xml:space="preserve"> NUMPAGES </w:instrText>
    </w:r>
    <w:r>
      <w:fldChar w:fldCharType="separate"/>
    </w:r>
    <w:r>
      <w:t>213</w:t>
    </w:r>
    <w:r>
      <w:fldChar w:fldCharType="end"/>
    </w:r>
    <w:r>
      <w:tab/>
    </w:r>
    <w:r>
      <w:rPr>
        <w:rStyle w:val="HideTWBExt"/>
      </w:rPr>
      <w:t>&lt;PathFdR&gt;</w:t>
    </w:r>
    <w:r>
      <w:t>AM\1345144PL.docx</w:t>
    </w:r>
    <w:r>
      <w:rPr>
        <w:rStyle w:val="HideTWBExt"/>
      </w:rPr>
      <w:t>&lt;/PathFdR&gt;</w:t>
    </w:r>
  </w:p>
  <w:p>
    <w:pPr>
      <w:pStyle w:val="EPFooter2"/>
    </w:pPr>
    <w:r>
      <w:t>PL</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AM\1345144PL.docx</w:t>
    </w:r>
    <w:r>
      <w:rPr>
        <w:rStyle w:val="HideTWBExt"/>
      </w:rPr>
      <w:t>&lt;/PathFdR&gt;</w:t>
    </w:r>
    <w:r>
      <w:tab/>
    </w:r>
    <w:r>
      <w:fldChar w:fldCharType="begin"/>
    </w:r>
    <w:r>
      <w:instrText xml:space="preserve"> PAGE </w:instrText>
    </w:r>
    <w:r>
      <w:fldChar w:fldCharType="separate"/>
    </w:r>
    <w:r>
      <w:t>213</w:t>
    </w:r>
    <w:r>
      <w:fldChar w:fldCharType="end"/>
    </w:r>
    <w:r>
      <w:t>/</w:t>
    </w:r>
    <w:r>
      <w:fldChar w:fldCharType="begin"/>
    </w:r>
    <w:r>
      <w:instrText xml:space="preserve"> NUMPAGES </w:instrText>
    </w:r>
    <w:r>
      <w:fldChar w:fldCharType="separate"/>
    </w:r>
    <w:r>
      <w:t>213</w:t>
    </w:r>
    <w:r>
      <w:fldChar w:fldCharType="end"/>
    </w:r>
    <w:r>
      <w:tab/>
    </w:r>
    <w:r>
      <w:t>PE</w:t>
    </w:r>
    <w:r>
      <w:rPr>
        <w:rStyle w:val="HideTWBExt"/>
      </w:rPr>
      <w:t>&lt;NoPE&gt;</w:t>
    </w:r>
    <w:r>
      <w:t>789.857</w:t>
    </w:r>
    <w:r>
      <w:rPr>
        <w:rStyle w:val="HideTWBExt"/>
      </w:rPr>
      <w:t>&lt;/NoPE&gt;</w:t>
    </w:r>
    <w:r>
      <w:rPr>
        <w:rStyle w:val="HideTWBExt"/>
      </w:rPr>
      <w:t>&lt;Version&gt;</w:t>
    </w:r>
    <w:r>
      <w:t>v01-00</w:t>
    </w:r>
    <w:r>
      <w:rPr>
        <w:rStyle w:val="HideTWBExt"/>
      </w:rPr>
      <w:t>&lt;/Version&gt;</w:t>
    </w:r>
  </w:p>
  <w:p>
    <w:pPr>
      <w:pStyle w:val="EPFooter2"/>
    </w:pPr>
    <w:r>
      <w:tab/>
    </w:r>
    <w:r>
      <w:tab/>
    </w:r>
    <w:r>
      <w:t>PL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AM\1345144PL.docx</w:t>
    </w:r>
    <w:r>
      <w:rPr>
        <w:rStyle w:val="HideTWBExt"/>
      </w:rPr>
      <w:t>&lt;/PathFdR&gt;</w:t>
    </w:r>
    <w:r>
      <w:tab/>
    </w:r>
    <w:r>
      <w:tab/>
    </w:r>
    <w:r>
      <w:t>PE</w:t>
    </w:r>
    <w:r>
      <w:rPr>
        <w:rStyle w:val="HideTWBExt"/>
      </w:rPr>
      <w:t>&lt;NoPE&gt;</w:t>
    </w:r>
    <w:r>
      <w:t>789.857</w:t>
    </w:r>
    <w:r>
      <w:rPr>
        <w:rStyle w:val="HideTWBExt"/>
      </w:rPr>
      <w:t>&lt;/NoPE&gt;</w:t>
    </w:r>
    <w:r>
      <w:rPr>
        <w:rStyle w:val="HideTWBExt"/>
      </w:rPr>
      <w:t>&lt;Version&gt;</w:t>
    </w:r>
    <w:r>
      <w:t>v01-00</w:t>
    </w:r>
    <w:r>
      <w:rPr>
        <w:rStyle w:val="HideTWBExt"/>
      </w:rPr>
      <w:t>&lt;/Version&gt;</w:t>
    </w:r>
  </w:p>
  <w:p>
    <w:pPr>
      <w:pStyle w:val="EPFooter2"/>
    </w:pPr>
    <w:r>
      <w:t>PL</w:t>
    </w:r>
    <w:r>
      <w:tab/>
    </w:r>
    <w:r>
      <w:rPr>
        <w:rStyle w:val="EPFooter2Motto"/>
      </w:rPr>
      <w:t>Zjednoczona w różnorodności</w:t>
    </w:r>
    <w:r>
      <w:tab/>
    </w:r>
    <w:r>
      <w:t>PL</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l-PL"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213</Pages>
  <Words>57960</Words>
  <Characters>405486</Characters>
  <Application>Microsoft Office Word</Application>
  <DocSecurity>0</DocSecurity>
  <Lines>1</Lines>
  <Paragraphs>2473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461862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1345144</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544987</vt:lpwstr>
  </property>
  <property fmtid="{D5CDD505-2E9C-101B-9397-08002B2CF9AE}" pid="7" name="dmxml.render.traceId">
    <vt:lpwstr>6a3bf00a5d0a0d0dd3b7c86ea3768d21</vt:lpwstr>
  </property>
  <property fmtid="{D5CDD505-2E9C-101B-9397-08002B2CF9AE}" pid="8" name="FooterPath">
    <vt:lpwstr>AM\1345144PL.docx</vt:lpwstr>
  </property>
  <property fmtid="{D5CDD505-2E9C-101B-9397-08002B2CF9AE}" pid="9" name="PE Number">
    <vt:lpwstr>789.857</vt:lpwstr>
  </property>
  <property fmtid="{D5CDD505-2E9C-101B-9397-08002B2CF9AE}" pid="10" name="UID">
    <vt:lpwstr>eu.europa.europarl-DIN1-2026-0000165973_02.00-pl-01.00_text-xml</vt:lpwstr>
  </property>
</Properties>
</file>